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 WASHINGTON, DC 20549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0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-5080</wp:posOffset>
            </wp:positionV>
            <wp:extent cx="4946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142875</wp:posOffset>
            </wp:positionV>
            <wp:extent cx="2322830" cy="711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283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4" w:right="339" w:bottom="1440" w:gutter="0" w:footer="0" w:header="0"/>
        </w:sectPr>
      </w:pPr>
    </w:p>
    <w:p>
      <w:pPr>
        <w:spacing w:after="0" w:line="203"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260" w:space="720"/>
            <w:col w:w="4260"/>
          </w:cols>
          <w:pgMar w:left="320" w:top="68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 Holliston, Massachusetts 01746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r>
        <w:rPr>
          <w:rFonts w:ascii="Times New Roman" w:cs="Times New Roman" w:eastAsia="Times New Roman" w:hAnsi="Times New Roman"/>
          <w:sz w:val="18"/>
          <w:szCs w:val="18"/>
          <w:color w:val="auto"/>
        </w:rPr>
        <w: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25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HBIO</w:t>
            </w:r>
          </w:p>
        </w:tc>
        <w:tc>
          <w:tcPr>
            <w:tcW w:w="43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there were 43,616,621shares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912"/>
        </w:trPr>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6"/>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0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19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0000EE"/>
              </w:rPr>
              <w:t>1</w:t>
            </w:r>
          </w:p>
        </w:tc>
        <w:tc>
          <w:tcPr>
            <w:tcW w:w="340" w:type="dxa"/>
            <w:vAlign w:val="bottom"/>
          </w:tcPr>
          <w:p>
            <w:pPr>
              <w:spacing w:after="0"/>
              <w:rPr>
                <w:sz w:val="24"/>
                <w:szCs w:val="24"/>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9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1.  Condensed Consolidated Financial Statements (unaudited)</w:t>
            </w:r>
          </w:p>
        </w:tc>
        <w:tc>
          <w:tcPr>
            <w:tcW w:w="4020" w:type="dxa"/>
            <w:vAlign w:val="bottom"/>
            <w:gridSpan w:val="4"/>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34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19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0000EE"/>
              </w:rPr>
              <w:t>1</w:t>
            </w:r>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5300" w:type="dxa"/>
            <w:vAlign w:val="bottom"/>
            <w:gridSpan w:val="9"/>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2</w:t>
            </w:r>
          </w:p>
        </w:tc>
        <w:tc>
          <w:tcPr>
            <w:tcW w:w="34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Loss</w:t>
            </w:r>
          </w:p>
        </w:tc>
        <w:tc>
          <w:tcPr>
            <w:tcW w:w="4580" w:type="dxa"/>
            <w:vAlign w:val="bottom"/>
            <w:gridSpan w:val="6"/>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3</w:t>
            </w:r>
          </w:p>
        </w:tc>
        <w:tc>
          <w:tcPr>
            <w:tcW w:w="34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4600" w:type="dxa"/>
            <w:vAlign w:val="bottom"/>
            <w:gridSpan w:val="7"/>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4</w:t>
            </w:r>
          </w:p>
        </w:tc>
        <w:tc>
          <w:tcPr>
            <w:tcW w:w="34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19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0000EE"/>
              </w:rPr>
              <w:t>5</w:t>
            </w:r>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19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0000EE"/>
              </w:rPr>
              <w:t>6</w:t>
            </w:r>
          </w:p>
        </w:tc>
        <w:tc>
          <w:tcPr>
            <w:tcW w:w="340" w:type="dxa"/>
            <w:vAlign w:val="bottom"/>
          </w:tcPr>
          <w:p>
            <w:pPr>
              <w:spacing w:after="0"/>
              <w:rPr>
                <w:sz w:val="24"/>
                <w:szCs w:val="24"/>
                <w:color w:val="auto"/>
              </w:rPr>
            </w:pPr>
          </w:p>
        </w:tc>
      </w:tr>
      <w:tr>
        <w:trPr>
          <w:trHeight w:val="20"/>
        </w:trPr>
        <w:tc>
          <w:tcPr>
            <w:tcW w:w="82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17</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72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740" w:type="dxa"/>
            <w:vAlign w:val="bottom"/>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25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2520" w:type="dxa"/>
            <w:vAlign w:val="bottom"/>
            <w:gridSpan w:val="10"/>
          </w:tcPr>
          <w:p>
            <w:pPr>
              <w:spacing w:after="0"/>
              <w:rPr>
                <w:sz w:val="24"/>
                <w:szCs w:val="24"/>
                <w:color w:val="auto"/>
              </w:rPr>
            </w:pPr>
          </w:p>
        </w:tc>
        <w:tc>
          <w:tcPr>
            <w:tcW w:w="3900" w:type="dxa"/>
            <w:vAlign w:val="bottom"/>
            <w:gridSpan w:val="3"/>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24</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26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7"/>
              </w:rPr>
              <w:t>PART II - OTHER INFORMATION</w:t>
            </w:r>
          </w:p>
        </w:tc>
        <w:tc>
          <w:tcPr>
            <w:tcW w:w="6300" w:type="dxa"/>
            <w:vAlign w:val="bottom"/>
            <w:gridSpan w:val="12"/>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1.</w:t>
            </w:r>
          </w:p>
        </w:tc>
        <w:tc>
          <w:tcPr>
            <w:tcW w:w="1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580" w:type="dxa"/>
            <w:vAlign w:val="bottom"/>
            <w:gridSpan w:val="2"/>
          </w:tcPr>
          <w:p>
            <w:pPr>
              <w:spacing w:after="0"/>
              <w:rPr>
                <w:sz w:val="24"/>
                <w:szCs w:val="24"/>
                <w:color w:val="auto"/>
              </w:rPr>
            </w:pPr>
          </w:p>
        </w:tc>
        <w:tc>
          <w:tcPr>
            <w:tcW w:w="6300" w:type="dxa"/>
            <w:vAlign w:val="bottom"/>
            <w:gridSpan w:val="12"/>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Item1A.</w:t>
            </w:r>
          </w:p>
        </w:tc>
        <w:tc>
          <w:tcPr>
            <w:tcW w:w="1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0000EE"/>
              </w:rPr>
              <w:t>Risk Factors</w:t>
            </w:r>
          </w:p>
        </w:tc>
        <w:tc>
          <w:tcPr>
            <w:tcW w:w="6880" w:type="dxa"/>
            <w:vAlign w:val="bottom"/>
            <w:gridSpan w:val="14"/>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5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800" w:type="dxa"/>
            <w:vAlign w:val="bottom"/>
            <w:gridSpan w:val="2"/>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5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3800" w:type="dxa"/>
            <w:vAlign w:val="bottom"/>
            <w:gridSpan w:val="2"/>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10"/>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25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gridSpan w:val="3"/>
          </w:tcPr>
          <w:p>
            <w:pPr>
              <w:spacing w:after="0"/>
              <w:rPr>
                <w:sz w:val="24"/>
                <w:szCs w:val="24"/>
                <w:color w:val="auto"/>
              </w:rPr>
            </w:pPr>
          </w:p>
        </w:tc>
        <w:tc>
          <w:tcPr>
            <w:tcW w:w="5880" w:type="dxa"/>
            <w:vAlign w:val="bottom"/>
            <w:gridSpan w:val="10"/>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420" w:type="dxa"/>
            <w:vAlign w:val="bottom"/>
            <w:gridSpan w:val="13"/>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5.</w:t>
            </w:r>
          </w:p>
        </w:tc>
        <w:tc>
          <w:tcPr>
            <w:tcW w:w="1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tcPr>
          <w:p>
            <w:pPr>
              <w:spacing w:after="0"/>
              <w:rPr>
                <w:sz w:val="24"/>
                <w:szCs w:val="24"/>
                <w:color w:val="auto"/>
              </w:rPr>
            </w:pPr>
          </w:p>
        </w:tc>
        <w:tc>
          <w:tcPr>
            <w:tcW w:w="6420" w:type="dxa"/>
            <w:vAlign w:val="bottom"/>
            <w:gridSpan w:val="13"/>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880" w:type="dxa"/>
            <w:vAlign w:val="bottom"/>
            <w:gridSpan w:val="14"/>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0000EE"/>
              </w:rPr>
              <w:t>Item 6.</w:t>
            </w:r>
          </w:p>
        </w:tc>
        <w:tc>
          <w:tcPr>
            <w:tcW w:w="1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0000EE"/>
              </w:rPr>
              <w:t>Exhibits</w:t>
            </w:r>
          </w:p>
        </w:tc>
        <w:tc>
          <w:tcPr>
            <w:tcW w:w="6880" w:type="dxa"/>
            <w:vAlign w:val="bottom"/>
            <w:gridSpan w:val="14"/>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c>
          <w:tcPr>
            <w:tcW w:w="18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r>
      <w:tr>
        <w:trPr>
          <w:trHeight w:val="412"/>
        </w:trPr>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600" w:type="dxa"/>
            <w:vAlign w:val="bottom"/>
            <w:gridSpan w:val="16"/>
          </w:tcPr>
          <w:p>
            <w:pPr>
              <w:spacing w:after="0"/>
              <w:rPr>
                <w:sz w:val="24"/>
                <w:szCs w:val="24"/>
                <w:color w:val="auto"/>
              </w:rPr>
            </w:pPr>
          </w:p>
        </w:tc>
        <w:tc>
          <w:tcPr>
            <w:tcW w:w="230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0000EE"/>
                <w:w w:val="99"/>
              </w:rPr>
              <w:t>26</w:t>
            </w:r>
          </w:p>
        </w:tc>
      </w:tr>
      <w:tr>
        <w:trPr>
          <w:trHeight w:val="1458"/>
        </w:trPr>
        <w:tc>
          <w:tcPr>
            <w:tcW w:w="6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5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16,099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24,716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3,940</w:t>
            </w: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49,038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57,065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6,473</w:t>
            </w:r>
          </w:p>
        </w:tc>
      </w:tr>
      <w:tr>
        <w:trPr>
          <w:trHeight w:val="24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137,366</w:t>
            </w:r>
          </w:p>
        </w:tc>
      </w:tr>
      <w:tr>
        <w:trPr>
          <w:trHeight w:val="156"/>
        </w:trPr>
        <w:tc>
          <w:tcPr>
            <w:tcW w:w="8000" w:type="dxa"/>
            <w:vAlign w:val="bottom"/>
            <w:tcBorders>
              <w:top w:val="single" w:sz="8" w:color="CCEEFF"/>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r>
      <w:tr>
        <w:trPr>
          <w:trHeight w:val="20"/>
        </w:trPr>
        <w:tc>
          <w:tcPr>
            <w:tcW w:w="2580" w:type="dxa"/>
            <w:vAlign w:val="bottom"/>
            <w:tcBorders>
              <w:top w:val="single" w:sz="8" w:color="auto"/>
            </w:tcBorders>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10,621</w:t>
            </w: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30,704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1,476</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64,292</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 Note 13</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80,000,000 shares authorized: 43,616,621 shares issued and</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2024; 43,394,509 shares issued and outstanding at December 31, 2023</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235,973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(14,190)</w:t>
            </w:r>
          </w:p>
        </w:tc>
      </w:tr>
      <w:tr>
        <w:trPr>
          <w:trHeight w:val="209"/>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137,366</w:t>
            </w:r>
          </w:p>
        </w:tc>
      </w:tr>
      <w:tr>
        <w:trPr>
          <w:trHeight w:val="20"/>
        </w:trPr>
        <w:tc>
          <w:tcPr>
            <w:tcW w:w="25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8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46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4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4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21,970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25,363</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69,579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84,097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10,636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34,351</w:t>
            </w:r>
          </w:p>
        </w:tc>
      </w:tr>
      <w:tr>
        <w:trPr>
          <w:trHeight w:val="209"/>
        </w:trPr>
        <w:tc>
          <w:tcPr>
            <w:tcW w:w="3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12,765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40,755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49,746</w:t>
            </w: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17,888</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17,494</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8,614</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4,138</w:t>
            </w: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 - Note 1</w:t>
            </w:r>
          </w:p>
        </w:tc>
        <w:tc>
          <w:tcPr>
            <w:tcW w:w="2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14,639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46,977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48,134</w:t>
            </w: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1,612</w:t>
            </w: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pension settlement - Note 16</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equity securities - Note 6</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09"/>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5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4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196"/>
        </w:trPr>
        <w:tc>
          <w:tcPr>
            <w:tcW w:w="1280" w:type="dxa"/>
            <w:vAlign w:val="bottom"/>
            <w:tcBorders>
              <w:top w:val="single" w:sz="8" w:color="CCEEFF"/>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94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6"/>
        </w:trPr>
        <w:tc>
          <w:tcPr>
            <w:tcW w:w="3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42,345</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20" w:type="dxa"/>
            <w:vAlign w:val="bottom"/>
            <w:gridSpan w:val="7"/>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4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34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889"/>
        </w:trPr>
        <w:tc>
          <w:tcPr>
            <w:tcW w:w="128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gridSpan w:val="7"/>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HARVARD BIOSCIENCE,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60" w:type="dxa"/>
            <w:vAlign w:val="bottom"/>
            <w:gridSpan w:val="11"/>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43,611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234,905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67,247</w:t>
            </w: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2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r>
      <w:tr>
        <w:trPr>
          <w:trHeight w:val="216"/>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w:t>
            </w:r>
          </w:p>
        </w:tc>
      </w:tr>
      <w:tr>
        <w:trPr>
          <w:trHeight w:val="209"/>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43,617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235,973</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65,322</w:t>
            </w:r>
          </w:p>
        </w:tc>
      </w:tr>
      <w:tr>
        <w:trPr>
          <w:trHeight w:val="20"/>
        </w:trPr>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right="460" w:hanging="16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at June 30, 2023 </w:t>
      </w:r>
      <w:r>
        <w:rPr>
          <w:rFonts w:ascii="Times New Roman" w:cs="Times New Roman" w:eastAsia="Times New Roman" w:hAnsi="Times New Roman"/>
          <w:sz w:val="18"/>
          <w:szCs w:val="18"/>
          <w:color w:val="auto"/>
        </w:rPr>
        <w:t>Stock-based compensation Net loss</w:t>
      </w:r>
    </w:p>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91"/>
        </w:trPr>
        <w:tc>
          <w:tcPr>
            <w:tcW w:w="12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42,688</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231,533</w:t>
            </w:r>
          </w:p>
        </w:tc>
        <w:tc>
          <w:tcPr>
            <w:tcW w:w="120" w:type="dxa"/>
            <w:vAlign w:val="bottom"/>
          </w:tcPr>
          <w:p>
            <w:pPr>
              <w:spacing w:after="0"/>
              <w:rPr>
                <w:sz w:val="16"/>
                <w:szCs w:val="16"/>
                <w:color w:val="auto"/>
              </w:rPr>
            </w:pPr>
          </w:p>
        </w:tc>
        <w:tc>
          <w:tcPr>
            <w:tcW w:w="20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(142,548)</w:t>
            </w:r>
          </w:p>
        </w:tc>
        <w:tc>
          <w:tcPr>
            <w:tcW w:w="100" w:type="dxa"/>
            <w:vAlign w:val="bottom"/>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(14,054)</w:t>
            </w:r>
          </w:p>
        </w:tc>
        <w:tc>
          <w:tcPr>
            <w:tcW w:w="10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75,388</w:t>
            </w:r>
          </w:p>
        </w:tc>
      </w:tr>
      <w:tr>
        <w:trPr>
          <w:trHeight w:val="216"/>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r>
      <w:tr>
        <w:trPr>
          <w:trHeight w:val="216"/>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4"/>
        </w:trPr>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09"/>
        </w:trPr>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42,688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232,896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74,286</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-719455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-445135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-162560</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60" w:space="720"/>
            <w:col w:w="79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232,435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(145,605)</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3,379</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43,617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235,973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65,322</w:t>
            </w:r>
          </w:p>
        </w:tc>
      </w:tr>
      <w:tr>
        <w:trPr>
          <w:trHeight w:val="390"/>
        </w:trPr>
        <w:tc>
          <w:tcPr>
            <w:tcW w:w="328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3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42,082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229,008</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72,220</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 exercises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3,618</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42,688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232,896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74,286</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HARVARD BIOSCIENCE, INC.</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(12,423)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 and other</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equity securities - Note 6</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pension settlement - Note 16</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product line - Note 14</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product line</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 from revolving line of credit</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9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2,369</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800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Cash paid for income taxes, net of refunds</w:t>
            </w:r>
          </w:p>
        </w:tc>
        <w:tc>
          <w:tcPr>
            <w:tcW w:w="920" w:type="dxa"/>
            <w:vAlign w:val="bottom"/>
            <w:tcBorders>
              <w:bottom w:val="single" w:sz="8" w:color="auto"/>
            </w:tcBorders>
            <w:shd w:val="clear" w:color="auto" w:fill="CCEEFF"/>
          </w:tcPr>
          <w:p>
            <w:pPr>
              <w:jc w:val="right"/>
              <w:ind w:right="7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168</w:t>
            </w: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Basis of Presentation and Summary of Significant Accounting Policies</w:t>
      </w:r>
    </w:p>
    <w:p>
      <w:pPr>
        <w:spacing w:after="0" w:line="227"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 unaudited consolidated financial statements of Harvard Bioscience, Inc. and its wholly-owned subsidiaries (collectively, the “Company”) as of September 30, 2024 and for the three and nine months ended September 30, 2024 and 2023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2023 consolidated balance sheet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2023.</w:t>
      </w:r>
    </w:p>
    <w:p>
      <w:pPr>
        <w:spacing w:after="0" w:line="19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financial position as of September 30, 2024, results of operations and comprehensive loss for the three and nine months ended September 30, 2024 and 2023, and cash flows for the nine months ended September 30, 2024 and 2023, as applicable, have been made. The results of operations for the three and nine months ended September 30, 2024, are not necessarily indicative of the anticipated operating results for the full year ending December 31, 2024, or any future periods.</w:t>
      </w:r>
    </w:p>
    <w:p>
      <w:pPr>
        <w:spacing w:after="0" w:line="18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accounting policies underlying the accompanying unaudited consolidated financial statements are set forth in Note 2 to the consolidated financial statements included in the Company’s Annual Report on Form 10-K for the year ended December 31, 2023. There have been no material changes in the Company’s significant accounting policies during the nine months ended September 30, 2024.</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Primarily due to a decline in revenues, the Company experienced a net cash outflow from operations during the nine months ended September 30, 2024. The Company has substantial debt and other financial obligations. Any failure to meet these obligations or maintain compliance with the debt covenants contained in its credit agreement could have a material adverse effect on its business, financial condition and results of operations. As of the date of this report, the Company is unable to make additional borrowings under its revolving credit facility due to net leverage ratio requirements set forth in the Company’s credit agreement and will be unable to make any such borrowings until it delivers to the lenders its financial statements for the year ending December 31, 2024 (see note 8).</w:t>
      </w:r>
    </w:p>
    <w:p>
      <w:pPr>
        <w:spacing w:after="0" w:line="18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Company continues to take actions intended to improve liquidity, including actions related to cost containment and inventory reduction. Based on its current operating plans, the Company expects that its available cash and cash generated from operations will be sufficient to finance operations and capital expenditures and service its debt for at least the next 12 months. The Company’s ongoing cash flows and ability to meet its debt covenants are dependent on its revenues and operating performance. If the Company is unable to successfully carry out its operating plans or increase its revenues, its ability to maintain compliance with its debt covenants could be adversely affected.</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lower of cost or net realizable value, stock-based compensation expense, and the recoverability of long-lived and intangible assets, including goodwill. On an ongoing basis, the Company assesses its previous estimates based upon currently available information. Actual results could differ materially from those estimates.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other operating expenses for the three and nine months ended September 30, 2024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 (see Note 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Unclaimed property audits expense (see Note 13)</w:t>
            </w:r>
          </w:p>
        </w:tc>
        <w:tc>
          <w:tcPr>
            <w:tcW w:w="1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retention credit fees (see Note 5)</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0"/>
        </w:trPr>
        <w:tc>
          <w:tcPr>
            <w:tcW w:w="7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Yet to Be Adopted</w:t>
      </w:r>
    </w:p>
    <w:p>
      <w:pPr>
        <w:spacing w:after="0" w:line="22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is intended to improve reportable segment disclosure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through enhanced disclosures about significant segment expenses on an annual and interim basis. Entities with a single reportable segment must provide all the disclosures required by this ASU and all existing segment disclosures in Topic 280. ASU 2023-07 is effective for fiscal years beginning after December 15, 2023, and interim periods within fiscal years beginning after December 15, 2024. The adoption of this standard only impacts footnote disclosures and is not expected to have a material impact on the Company's consolidated financial statements.</w:t>
      </w:r>
    </w:p>
    <w:p>
      <w:pPr>
        <w:spacing w:after="0" w:line="18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which is intended to enhance disclosures related to the effective tax rate reconciliation, income taxes paid, and other disclosures. This new standard impacts footnote disclosures and will be effective for the Company’s annual consolidated financial statements for the year ending December 31, 2025. The Company is currently evaluating the impact that adoption of ASU No. 2023-09 will have on the footnote disclosures in its consolidated financial statements.</w:t>
      </w: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Basic earnings (loss) per share (EPS) is calculated by dividing net income (loss) by the number of weighted average shares of common stock outstanding during the period. The calculation of diluted earnings per share assumes conversion of stock options and restricted stock units into common stock using the treasury method unless the effect is antidilutive.</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share of common stock:</w:t>
      </w: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7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6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43,614</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42,688</w:t>
            </w: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43,499</w:t>
            </w: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42,345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43,614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42,688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43,499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7"/>
        </w:trPr>
        <w:tc>
          <w:tcPr>
            <w:tcW w:w="5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3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3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Shares excluded from diluted loss per share due to their anti-dilutive</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effect</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The following tables represent a disaggregation of revenues from contracts with customers for the three and nine months ended September 30, 2024 and 2023:</w:t>
      </w:r>
    </w:p>
    <w:p>
      <w:pPr>
        <w:spacing w:after="0" w:line="162"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by type were as follows: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0"/>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24"/>
                <w:szCs w:val="24"/>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0" w:type="dxa"/>
            <w:vAlign w:val="bottom"/>
            <w:tcBorders>
              <w:bottom w:val="single" w:sz="8" w:color="auto"/>
            </w:tcBorders>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equipment, software and accessories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64,594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79,261</w:t>
            </w:r>
          </w:p>
        </w:tc>
      </w:tr>
      <w:tr>
        <w:trPr>
          <w:trHeight w:val="216"/>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4,985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84,097</w:t>
            </w:r>
          </w:p>
        </w:tc>
      </w:tr>
      <w:tr>
        <w:trPr>
          <w:trHeight w:val="41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by timing of recognition were as follows: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0"/>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24"/>
                <w:szCs w:val="24"/>
                <w:color w:val="auto"/>
              </w:rPr>
            </w:pPr>
          </w:p>
        </w:tc>
        <w:tc>
          <w:tcPr>
            <w:tcW w:w="26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00" w:type="dxa"/>
            <w:vAlign w:val="bottom"/>
            <w:tcBorders>
              <w:bottom w:val="single" w:sz="8" w:color="auto"/>
            </w:tcBorders>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21,119</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24,668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66,845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81,610</w:t>
            </w:r>
          </w:p>
        </w:tc>
      </w:tr>
      <w:tr>
        <w:trPr>
          <w:trHeight w:val="216"/>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50"/>
        </w:trPr>
        <w:tc>
          <w:tcPr>
            <w:tcW w:w="4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56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Revenues by geographic destination were as follows: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0"/>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7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24"/>
                <w:szCs w:val="24"/>
                <w:color w:val="auto"/>
              </w:rPr>
            </w:pPr>
          </w:p>
        </w:tc>
        <w:tc>
          <w:tcPr>
            <w:tcW w:w="26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r>
      <w:tr>
        <w:trPr>
          <w:trHeight w:val="209"/>
        </w:trPr>
        <w:tc>
          <w:tcPr>
            <w:tcW w:w="4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4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31,495</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36,655</w:t>
            </w:r>
          </w:p>
        </w:tc>
      </w:tr>
      <w:tr>
        <w:trPr>
          <w:trHeight w:val="216"/>
        </w:trPr>
        <w:tc>
          <w:tcPr>
            <w:tcW w:w="4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23,836</w:t>
            </w:r>
          </w:p>
        </w:tc>
      </w:tr>
      <w:tr>
        <w:trPr>
          <w:trHeight w:val="216"/>
        </w:trPr>
        <w:tc>
          <w:tcPr>
            <w:tcW w:w="44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r>
      <w:tr>
        <w:trPr>
          <w:trHeight w:val="216"/>
        </w:trPr>
        <w:tc>
          <w:tcPr>
            <w:tcW w:w="4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r>
      <w:tr>
        <w:trPr>
          <w:trHeight w:val="249"/>
        </w:trPr>
        <w:tc>
          <w:tcPr>
            <w:tcW w:w="4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contract liabilities as of the periods indicated:</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maintenance and warranty contracts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Changes in the Company’s contract liabilities are primarily due to the timing of receipt of payments under service, maintenance and warranty contracts and lower sales volumes. During the three months ended September 30, 2024 and 2023, the Company recognized revenues of $0.4 million and $1.0 million from contract liabilities existing at December 31, 2023 and 2022, respectively. During the nine months ended September 30, 2024 and 2023, the Company recognized revenues of $3.0 million and $2.3 million from contract liabilities existing at December 31, 2023 and 2022, respectively.</w:t>
      </w:r>
    </w:p>
    <w:p>
      <w:pPr>
        <w:sectPr>
          <w:pgSz w:w="11900" w:h="16838" w:orient="portrait"/>
          <w:cols w:equalWidth="0" w:num="1">
            <w:col w:w="11240"/>
          </w:cols>
          <w:pgMar w:left="320" w:top="108" w:right="339" w:bottom="1440" w:gutter="0" w:footer="0" w:header="0"/>
        </w:sectPr>
      </w:pP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Provision for Expected Credit Losses on Receivables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in the provision for expected credit losses on receivables was as follows:</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67722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5715</wp:posOffset>
            </wp:positionV>
            <wp:extent cx="67722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Charge-offs and other</w:t>
      </w:r>
    </w:p>
    <w:p>
      <w:pPr>
        <w:spacing w:after="0" w:line="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191</w:t>
            </w:r>
          </w:p>
        </w:tc>
      </w:tr>
      <w:tr>
        <w:trPr>
          <w:trHeight w:val="216"/>
        </w:trPr>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9"/>
        </w:trPr>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100" w:space="720"/>
            <w:col w:w="3420"/>
          </w:cols>
          <w:pgMar w:left="320" w:top="108" w:right="339" w:bottom="1440" w:gutter="0" w:footer="0" w:header="0"/>
          <w:type w:val="continuous"/>
        </w:sectPr>
      </w:pPr>
    </w:p>
    <w:p>
      <w:pPr>
        <w:spacing w:after="0" w:line="27" w:lineRule="exact"/>
        <w:rPr>
          <w:sz w:val="20"/>
          <w:szCs w:val="20"/>
          <w:color w:val="auto"/>
        </w:rPr>
      </w:pPr>
    </w:p>
    <w:p>
      <w:pPr>
        <w:ind w:right="20" w:firstLine="396"/>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revenues for the three and nine months ended September 30, 2024 and 2023. At September 30, 2024 and December 31, 2023, no customer accounted for more than 10% of net accounts receivable.</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in the product warranties accrual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warranties</w:t>
            </w: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claims</w:t>
            </w:r>
          </w:p>
        </w:tc>
        <w:tc>
          <w:tcPr>
            <w:tcW w:w="3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76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 in the carrying amount of goodwill for the nine months ended September 30, 2024 was as follows:</w:t>
      </w:r>
    </w:p>
    <w:p>
      <w:pPr>
        <w:spacing w:after="0" w:line="200" w:lineRule="exact"/>
        <w:rPr>
          <w:sz w:val="20"/>
          <w:szCs w:val="20"/>
          <w:color w:val="auto"/>
        </w:rPr>
      </w:pPr>
    </w:p>
    <w:p>
      <w:pPr>
        <w:spacing w:after="0" w:line="241"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December 31, 2023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of change in currency 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September 30, 2024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Intangible assets, net at September 30, 2024 and December 31, 2023 consisted of the following:</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2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4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Gross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Amortization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Gross</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Amortization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(9,706)</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Technology and software</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patents</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(6,094)</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amortizable intangible</w:t>
            </w:r>
          </w:p>
        </w:tc>
        <w:tc>
          <w:tcPr>
            <w:tcW w:w="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59,100</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(46,967)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58,658</w:t>
            </w:r>
          </w:p>
        </w:tc>
        <w:tc>
          <w:tcPr>
            <w:tcW w:w="2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(42,829)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2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assets</w:t>
            </w:r>
          </w:p>
        </w:tc>
        <w:tc>
          <w:tcPr>
            <w:tcW w:w="3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12,133</w:t>
            </w:r>
          </w:p>
        </w:tc>
        <w:tc>
          <w:tcPr>
            <w:tcW w:w="2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gridSpan w:val="5"/>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15,829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24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Indefinite-lived intangible</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0" w:type="dxa"/>
            <w:vAlign w:val="bottom"/>
          </w:tcPr>
          <w:p>
            <w:pPr>
              <w:spacing w:after="0"/>
              <w:rPr>
                <w:sz w:val="1"/>
                <w:szCs w:val="1"/>
                <w:color w:val="auto"/>
              </w:rPr>
            </w:pPr>
          </w:p>
        </w:tc>
      </w:tr>
      <w:tr>
        <w:trPr>
          <w:trHeight w:val="20"/>
        </w:trPr>
        <w:tc>
          <w:tcPr>
            <w:tcW w:w="5300" w:type="dxa"/>
            <w:vAlign w:val="bottom"/>
            <w:gridSpan w:val="10"/>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Intangible asset amortization expense for the three and nine months ended September 30, 2024 and 2023 was as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2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4,129</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413"/>
        </w:trPr>
        <w:tc>
          <w:tcPr>
            <w:tcW w:w="82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As of September 30, 2024, estimated future amortization expense of amortizable intangible assets is as follows: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Information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provide details of selected balance sheet items as of the periods indicated:</w:t>
      </w: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40" w:type="dxa"/>
            <w:vAlign w:val="bottom"/>
          </w:tcPr>
          <w:p>
            <w:pPr>
              <w:spacing w:after="0"/>
              <w:rPr>
                <w:sz w:val="18"/>
                <w:szCs w:val="18"/>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25,990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r>
      <w:tr>
        <w:trPr>
          <w:trHeight w:val="20"/>
        </w:trPr>
        <w:tc>
          <w:tcPr>
            <w:tcW w:w="7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100"/>
          </w:cols>
          <w:pgMar w:left="320" w:top="121" w:right="479" w:bottom="1440" w:gutter="0" w:footer="0" w:header="0"/>
        </w:sectPr>
      </w:pPr>
    </w:p>
    <w:p>
      <w:pPr>
        <w:jc w:val="center"/>
        <w:ind w:right="-1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62"/>
        </w:trPr>
        <w:tc>
          <w:tcPr>
            <w:tcW w:w="44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14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4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4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credits</w:t>
            </w:r>
          </w:p>
        </w:tc>
        <w:tc>
          <w:tcPr>
            <w:tcW w:w="1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16"/>
        </w:trPr>
        <w:tc>
          <w:tcPr>
            <w:tcW w:w="44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4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retention tax credit funds</w:t>
            </w:r>
          </w:p>
        </w:tc>
        <w:tc>
          <w:tcPr>
            <w:tcW w:w="1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4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1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440" w:type="dxa"/>
            <w:vAlign w:val="bottom"/>
          </w:tcPr>
          <w:p>
            <w:pPr>
              <w:spacing w:after="0"/>
              <w:rPr>
                <w:sz w:val="18"/>
                <w:szCs w:val="18"/>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09"/>
        </w:trPr>
        <w:tc>
          <w:tcPr>
            <w:tcW w:w="4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r>
      <w:tr>
        <w:trPr>
          <w:trHeight w:val="20"/>
        </w:trPr>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 xml:space="preserve">The Coronavirus Aid, Relief, and Economic Security Act of 2020 (“CARES Act”) provided an employee retention tax credit (“ERTC”) that was a refundable tax credit against certain employer taxes. The Company elected to account for the credit as a government grant. As there is no authoritative guidance under U.S. GAAP on accounting for grants to for-profit business entities from government entities, the Company accounts for government assistance by analogy to International Accounting Standards Topic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(“IAS 20”). Under IAS 20, government grants are recognized when there is reasonable assurance that the grant will be received and that all conditions related to the grant will be met.</w:t>
      </w:r>
    </w:p>
    <w:p>
      <w:pPr>
        <w:spacing w:after="0" w:line="18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Company received ERTC refunds of $3.2 million during the nine months ended September 30, 2024. Due to the subjectivity of the credit, the Company has included the refunds received in other current liabilities in the consolidated balance sheet as of September 30, 2024, subject to a determination that the refunds are recognizable.</w:t>
      </w:r>
    </w:p>
    <w:p>
      <w:pPr>
        <w:spacing w:after="0" w:line="176"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Company engaged a professional services firm under a commission fee arrangement to assist with determining the Company’s eligibility to claim the ERTC refunds and accumulating the necessary support that was used as a basis in the filing. During the nine months ended September 30, 2024, the Company paid fees of $0.5 million for these services, which are included in other operating expenses in the consolidated statement of operations.</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Equity Securities</w:t>
      </w:r>
    </w:p>
    <w:p>
      <w:pPr>
        <w:spacing w:after="0" w:line="229"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In April 2023, the Company received shares of common stock of Harvard Apparatus Regenerative Technology, Inc. (“HRGN”, formerly known as Biostage, Inc.) in connection with settlement of indemnification obligations related to litigation which was resolved during the year ended December 31, 2022. As of December 31, 2023, these shares had an estimated fair value $3.5 million and are included in the consolidated balance sheet as a component of other long-term assets. During the nine months ended September 30, 2024, the Company sold its HRGN shares for $1.9 million and recorded a loss on equity securities of $1.6 million. The Company recorded unrealized gains (losses) of $1.2 million and $(0.4) million during the three and nine months ended September 30, 2023, respectively.</w:t>
      </w: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The Company has noncancelable operating leases for offices, manufacturing facilities, warehouse space, automobiles and equipment expiring at various dates through 2030.</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2024 and 2023, were as follows: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7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620" w:type="dxa"/>
            <w:vAlign w:val="bottom"/>
            <w:gridSpan w:val="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80" w:type="dxa"/>
            <w:vAlign w:val="bottom"/>
            <w:tcBorders>
              <w:bottom w:val="single" w:sz="8" w:color="auto"/>
            </w:tcBorders>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425"/>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is as follows: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Borders>
              <w:bottom w:val="single" w:sz="8" w:color="auto"/>
            </w:tcBorders>
            <w:gridSpan w:val="10"/>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1,745</w:t>
            </w: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34"/>
        </w:trPr>
        <w:tc>
          <w:tcPr>
            <w:tcW w:w="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2,945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68"/>
        </w:trPr>
        <w:tc>
          <w:tcPr>
            <w:tcW w:w="78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is as follows:</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9"/>
        </w:trPr>
        <w:tc>
          <w:tcPr>
            <w:tcW w:w="440" w:type="dxa"/>
            <w:vAlign w:val="bottom"/>
          </w:tcPr>
          <w:p>
            <w:pPr>
              <w:spacing w:after="0"/>
              <w:rPr>
                <w:sz w:val="21"/>
                <w:szCs w:val="21"/>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6,523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197"/>
        </w:trPr>
        <w:tc>
          <w:tcPr>
            <w:tcW w:w="44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65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4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r>
      <w:tr>
        <w:trPr>
          <w:trHeight w:val="250"/>
        </w:trPr>
        <w:tc>
          <w:tcPr>
            <w:tcW w:w="440" w:type="dxa"/>
            <w:vAlign w:val="bottom"/>
          </w:tcPr>
          <w:p>
            <w:pPr>
              <w:spacing w:after="0"/>
              <w:rPr>
                <w:sz w:val="21"/>
                <w:szCs w:val="21"/>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7,833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196"/>
        </w:trPr>
        <w:tc>
          <w:tcPr>
            <w:tcW w:w="440" w:type="dxa"/>
            <w:vAlign w:val="bottom"/>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65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for operating leases, with initial terms in excess of one year at September 30,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4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16"/>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44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16"/>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16"/>
        </w:trPr>
        <w:tc>
          <w:tcPr>
            <w:tcW w:w="44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r>
      <w:tr>
        <w:trPr>
          <w:trHeight w:val="209"/>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r>
      <w:tr>
        <w:trPr>
          <w:trHeight w:val="216"/>
        </w:trPr>
        <w:tc>
          <w:tcPr>
            <w:tcW w:w="44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49"/>
        </w:trPr>
        <w:tc>
          <w:tcPr>
            <w:tcW w:w="44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r>
      <w:tr>
        <w:trPr>
          <w:trHeight w:val="65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7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Company’s long-term debt was as follows: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0"/>
        </w:trPr>
        <w:tc>
          <w:tcPr>
            <w:tcW w:w="4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25,700</w:t>
            </w:r>
          </w:p>
        </w:tc>
        <w:tc>
          <w:tcPr>
            <w:tcW w:w="1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w:t>
            </w:r>
          </w:p>
        </w:tc>
      </w:tr>
      <w:tr>
        <w:trPr>
          <w:trHeight w:val="216"/>
        </w:trPr>
        <w:tc>
          <w:tcPr>
            <w:tcW w:w="44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Revolving line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r>
      <w:tr>
        <w:trPr>
          <w:trHeight w:val="216"/>
        </w:trPr>
        <w:tc>
          <w:tcPr>
            <w:tcW w:w="44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9"/>
        </w:trPr>
        <w:tc>
          <w:tcPr>
            <w:tcW w:w="44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36,563</w:t>
            </w:r>
          </w:p>
        </w:tc>
      </w:tr>
      <w:tr>
        <w:trPr>
          <w:trHeight w:val="216"/>
        </w:trPr>
        <w:tc>
          <w:tcPr>
            <w:tcW w:w="44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16"/>
        </w:trPr>
        <w:tc>
          <w:tcPr>
            <w:tcW w:w="44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unamortized deferred financing costs</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44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34,252</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30,704</w:t>
            </w:r>
          </w:p>
        </w:tc>
      </w:tr>
      <w:tr>
        <w:trPr>
          <w:trHeight w:val="20"/>
        </w:trPr>
        <w:tc>
          <w:tcPr>
            <w:tcW w:w="4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Company maintains a Credit Agreement (as amended, the “Credit Agreement”) with Citizens Bank, N.A., Wells Fargo Bank, National Association, and First Citizens Bank &amp; Trust Company (together, the “Lenders”). The Credit Agreement provides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are secured by substantially all of the assets of Harvard Bioscience, Inc., including all or a portion of the equity interests in certain of the Company’s domestic and foreign subsidiaries. The Company’s obligations under the Credit Agreement are guaranteed by certain of the Company’s direct, domestic wholly-owned subsidiaries; none of the Company’s direct or indirect foreign subsidiaries has guaranteed the Credit Facility. Issuance costs of $1.6 million are amortized over the contractual term to maturity date on a straight-line basis, which approximates the effective interest method. Total revolver borrowing capacity is limited by the consolidated net leverage ratio as defined under the amended Credit Agreement. As of the date of this report, the Company is unable to make additional borrowings under its revolving credit facility and will be unable to make any such borrowings until it delivers to the lenders its financial statements for the year ending December 31, 2024, due to net leverage ratio requirements set forth in the August 6, 2024 amendment to the Credit Agreement (the “August 2024 Amendment”), as described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Facility will, at the option of the Company, bear interest at either (i) a rate per annum based on the Secured Overnight Financing Rate (“SOFR”) for an interest period of one, two, three or six months, plus an applicable interest rate margin determined as provided in the Credit Agreement (a “SOFR Loan”), subject to a floor of 0.50%, or (ii) an alternative base rate plus an applicable interest rate margin, each as determined as provided in the Credit Agreement (an “ABR Loan”). The alternative base rate is based on the Citizens Bank prime rate or the federal funds effective rate of the Federal Reserve Bank of New York and is subject to a floor of 1.0%. Pursuant to the August 2024 Amendment, the applicable interest rate margin varies from 2.0% per annum to 3.75% per annum for SOFR Loans, and from 1.5% per annum to 3.5% per annum for ABR Loans, in each case depending on the Company’s consolidated net leverage ratio, and is determined in accordance with a pricing grid set forth in the Credit Agreement, as amended. There are no prepayment penalties in the event the Company elects to prepay and terminate the Credit Facility prior to its scheduled maturity date, subject to SOFR Loan breakage and redeployment costs in certain circumstances.</w:t>
      </w:r>
    </w:p>
    <w:p>
      <w:pPr>
        <w:spacing w:after="0" w:line="188"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effective interest rate on the Company’s borrowings for the three months ended September 30, 2024 and 2023, was 8.7% and 8.3%, respectively, and for the nine months ended September 30, 2024 and 2023, was 8.1% and 8.2%, respectively. The weighted average interest rate as of September 30, 2024, net of the effect of the Company’s interest rate swap agreement, was 8.6%. The carrying value of the debt approximates fair value because the interest rate under the obligation approximates market rates of interest available to the Company for similar instruments.</w:t>
      </w:r>
    </w:p>
    <w:p>
      <w:pPr>
        <w:spacing w:after="0" w:line="180"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As of September 30, 2024, the term loan requires quarterly installment payments of $1.0 million with a balloon payment at maturity on December 22, 2025. Furthermore, within ninety days after the end of the Company’s fiscal year, the term loan may be permanently reduced pursuant to certain mandatory prepayment events including an annual “excess cash flow sweep”, as defined in the Credit Agreement, provided that, in any fiscal year, any voluntary prepayments of the term loan shall be credited against the Company’s “excess cash flow” prepayment obligations on a dollar-for-dollar basis for such fiscal year. As of December 31, 2023, the current portion of long-term debt included amounts due under the excess cash flow sweep of $2.0 million which was paid on March 29, 2024. Amounts outstanding under the revolving credit facility can be repaid at any time but are due in full at maturity.</w:t>
      </w:r>
    </w:p>
    <w:p>
      <w:pPr>
        <w:spacing w:after="0" w:line="18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Credit Agreement includes various customary financial covenants and other affirmative and negative covenants binding on the Company. The negative covenants limit the ability of the Company, among other things, to incur debt, permit liens, make investments, sell assets, or pay dividends on its capital stock. The financial covenants include a maximum consolidated net leverage ratio and a minimum consolidated fixed charge coverage ratio. The Credit Agreement also includes customary events of default.</w:t>
      </w:r>
    </w:p>
    <w:p>
      <w:pPr>
        <w:spacing w:after="0" w:line="18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Credit Agreement pursuant to which the Lenders and administrative agent modified the definition of Consolidated EBITDA used in the calculation of certain financial covenants to adjust for charges related to an abandoned property audit (see Note 13) and commission fees in connection with ERTC filings (see Note 5).</w:t>
      </w:r>
    </w:p>
    <w:p>
      <w:pPr>
        <w:spacing w:after="0" w:line="176"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In August 2024, the Company entered into an amendment to the Credit Agreement that, among other things, modified the financial covenants relating to the consolidated net leverage ratio and consolidated fixed charge coverage ratio through the period ended December 31, 2024. The amendment also added a net leverage ratio requirement with respect to additional borrowing under the Company’s revolving credit facility and restrictions on certain additional indebtedness and investments, in each case until the Company delivers to the Lenders the Company’s financial statements for the fiscal year ending December 31, 2024. In addition, until delivery of such financial statements, the applicable interest rate margin is increased by 50bps during such time as the Company’s consolidated net leverage ratio is greater than 3.0. The Company paid fees of $0.2 million to the Lenders in connection with the amendment. As of September 30, 2024, the Company was in compliance with the financial covenants of the Credit Agreement. As of the date of this report, the Company is unable to make additional borrowings under its revolving credit facility and will be unable to make any such borrowings until it delivers to the lenders its financial statements for the year ending December 31, 2024, due to net leverage ratio requirements set forth in the August 2024 Amendment.</w:t>
      </w:r>
    </w:p>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interest rate swap contract to improve the predictability of cash flows from interest payments related to its variable, SOFR-based debt. The swap contract had a notional amount of $23.1 million as of September 30, 2024 and matures on December 22, 2025. This swap contract effectively converts the SOFR-based variable portion of the interest payable under the Credit Agreement into fixed-rate debt at an annual rate of 4.75%. The swap contract does not impact the additional interest related to the applicable interest rate margin as discussed above in Note 8, Long-Term Debt. The swap contract is considered an effective cash flow hedge, and as a result, net gains or losses are reported as a component of other comprehensive income (“OCI”) in the consolidated financial statements and are reclassified when the underlying hedged interest impacts earnings. An assessment is performed quarterly to evaluate the ongoing hedge effectiveness.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the Company’s derivative instruments as of September 30, 2024 and December 31, 2023:</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20" w:type="dxa"/>
            <w:vAlign w:val="bottom"/>
            <w:tcBorders>
              <w:bottom w:val="single" w:sz="8" w:color="auto"/>
            </w:tcBorders>
          </w:tcPr>
          <w:p>
            <w:pPr>
              <w:spacing w:after="0"/>
              <w:rPr>
                <w:sz w:val="20"/>
                <w:szCs w:val="20"/>
                <w:color w:val="auto"/>
              </w:rPr>
            </w:pPr>
          </w:p>
        </w:tc>
      </w:tr>
      <w:tr>
        <w:trPr>
          <w:trHeight w:val="187"/>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8"/>
        </w:trPr>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Derivatives Instruments</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 (a)</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 (a)</w:t>
            </w:r>
          </w:p>
        </w:tc>
      </w:tr>
      <w:tr>
        <w:trPr>
          <w:trHeight w:val="210"/>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23,062</w:t>
            </w:r>
          </w:p>
        </w:tc>
        <w:tc>
          <w:tcPr>
            <w:tcW w:w="8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27,375</w:t>
            </w:r>
          </w:p>
        </w:tc>
        <w:tc>
          <w:tcPr>
            <w:tcW w:w="8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See Note 10 for the fair value measurements related to these financial instruments.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 of the cash flow hedge on other comprehensive income (loss) and earnings for the periods presented was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20" w:type="dxa"/>
            <w:vAlign w:val="bottom"/>
            <w:tcBorders>
              <w:bottom w:val="single" w:sz="8" w:color="auto"/>
            </w:tcBorders>
          </w:tcPr>
          <w:p>
            <w:pPr>
              <w:spacing w:after="0"/>
              <w:rPr>
                <w:sz w:val="20"/>
                <w:szCs w:val="20"/>
                <w:color w:val="auto"/>
              </w:rPr>
            </w:pPr>
          </w:p>
        </w:tc>
      </w:tr>
      <w:tr>
        <w:trPr>
          <w:trHeight w:val="187"/>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c>
          <w:tcPr>
            <w:tcW w:w="13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128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6"/>
                <w:szCs w:val="16"/>
                <w:color w:val="auto"/>
              </w:rPr>
            </w:pPr>
          </w:p>
        </w:tc>
        <w:tc>
          <w:tcPr>
            <w:tcW w:w="12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Derivatives Qualifying as Hedges, net of tax </w:t>
            </w: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recognized in OCI on derivatives (effective portion)</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9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reclassified from accumulated OCI to interest expense</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Assets (Liabilities) </w:t>
            </w:r>
            <w:r>
              <w:rPr>
                <w:rFonts w:ascii="Times New Roman" w:cs="Times New Roman" w:eastAsia="Times New Roman" w:hAnsi="Times New Roman"/>
                <w:sz w:val="18"/>
                <w:szCs w:val="18"/>
                <w:color w:val="auto"/>
              </w:rPr>
              <w:t>(in thousands)</w:t>
            </w:r>
          </w:p>
        </w:tc>
        <w:tc>
          <w:tcPr>
            <w:tcW w:w="12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as of September 30, 2024</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as of December 31, 2023</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Company uses the market approach technique to value its financial liabilities. The Company’s financial assets and liabilities carried at fair value include, when applicable, investments in common stock and derivative instruments used to hedge the Company’s interest rate risks. The fair value of the Company’s interest rate swap agreement was based on SOFR yield curves at the reporting date. The fair value of the Company’s investment in HRGN common stock (see Note 6) was based on the closing price per the OTCQB Marketplace at the reporting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Stock-based compensation expense for the three and nine months ended September 30, 2024 and 2023 was allocated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70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6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49"/>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compensation costs related to unvested awards not yet recognized was $5.7 million and the weighted average period over which it is expected to be recognized is approximately 1.8 years. The Company did not capitalize any stock-based compensation.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Restricted stock unit (“RSU”) activity for the nine months ended September 30, 2024 was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Performance-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460" w:type="dxa"/>
            <w:vAlign w:val="bottom"/>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1,164,996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801,845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375,895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1,896,241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801,845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375,895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Unvested shares related to market-based and performance-based vesting conditions are reflected at 100% of their target vesting amount in the table above. Actual vesting could range from zero up to 150% of their target amounts.</w:t>
      </w:r>
    </w:p>
    <w:p>
      <w:pPr>
        <w:spacing w:after="0" w:line="16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Stock option activity for the nine months ended September 30, 2024 was as follows:</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4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5240" w:type="dxa"/>
            <w:vAlign w:val="bottom"/>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8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December 31, 2023</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924,067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Cancelled/Forfeited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September 30, 2024</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886,715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Company’s closing stock price of $2.69 as of the last trading day of the reporting period, which would have been received by the option holders had all option holders exercised their options as of that date. The aggregate intrinsic value of options exercised during the nine months ended September 30, 2024, was not significant.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spacing w:after="0" w:line="18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Income tax expense was $0.3 million and $0.7 million for the three months ended September 30, 2024 and 2023, respectively, and was $0.2 million and $0.1 million for the nine months ended September 30, 2024 and 2023, respectively. The Company’s effective tax rates of (6.9)% and (1.4)% for the three and nine months ended September 30, 2024, respectively, were different than the U.S. statutory rate primarily due to the inclusion of non-deductible executive compensation and changes in valuation allowances associated with the Company’s assessment of the likelihood of the recoverability of deferred tax assets. The Company’s effective tax rates of (120.5)% and (9.9)% for the three and nine months ended September 30, 2023, respectively, were different than the U.S. statutory rate primarily due to the mix of forecasted income or losses in the U.S. and foreign tax jurisdictions and a Global Intangible Low-Taxed Income (“GILTI”) inclusion to taxable income. The effective tax rates in both the three and nine months ended September 30, 2023, were also impacted by changes in valuation allowances associated with the Company’s assessment of the likelihood of the recoverability of deferred tax assets.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Contingent Liabilities</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183"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its directors and officers. It is not possible to determine the maximum potential liability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September 30, 2024.</w:t>
      </w:r>
    </w:p>
    <w:p>
      <w:pPr>
        <w:spacing w:after="0" w:line="180"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Company is subject to unclaimed property laws in the ordinary course of its business.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The Company recorded an expense of $0.3 million during the nine months ended September 30, 2024 related to unclaimed property audits which have been included in other operating expenses in the consolidated statement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Product Line Disposition</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February 2023, the Company sold its Hoefer product line for $0.5 million. The carrying value of assets sold was $0.1 million resulting in a gain on disposition of $0.4 million which was recorded in other income (expense), net in the consolidated statement of operations for the nine months ended September 30, 2023. Revenues and gross profit of this disposed product line included in the condensed consolidated statement of operations for the nine months ended September 30, 2023 were not significant.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Other Exit Costs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 xml:space="preserve">On an ongoing basis, the Company reviews the global economy, the life sciences industry, and the markets in which it competes to identify operational efficiencies, enhance commercial capabilities and align its cost base and infrastructure with customer needs and its strategic plans. In order to realize these opportunities, the Company undertakes activities from time to time to transform its business. A portion of these transformation activities are considered restructuring costs under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and are discussed below.</w:t>
      </w:r>
    </w:p>
    <w:p>
      <w:pPr>
        <w:spacing w:after="0" w:line="18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completed restructurings and incurred expenses of $0.6 million, primarily consisting of severance incurred in connection with headcount reductions in Europe and North America. The changes in the accrued liability for restructuring and other charges for the nine months ended September 30, 2024 were as follows: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Inventory-Related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exit costs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(470)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7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 inventory-related costs are included in cost of revenues and the severance costs have been included as a component of other operating expenses (see Note 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Benefit Plan Settlement</w:t>
      </w:r>
    </w:p>
    <w:p>
      <w:pPr>
        <w:spacing w:after="0" w:line="229"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terminated its obligations under a defined benefit plan that was maintained by its subsidiary in the United Kingdom. This plan had been closed to new employees, as well as closed to the future accrual of benefits for existing employees since 2014 and represented approximately 11% percent of the Company's total pension liabilities as of December 31, 2023. The Company used $2.3 million of plan assets to purchase non-participating annuity contracts resulting in the full settlement of the benefit obligations. The Company recorded a non-cash charge of $1.2 million, including the immediate recognition of the portion of the accumulated OCI balances related to this plan. This charge has been presented as a component of other income (expense), net, for the three and nine months ended September 30,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39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 forward-looking statements are principally, but not exclusively, contained in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confidence or expectations, and our plans, objectives, expectations, and intentions that are not historical facts. In some cases, you can identify forward-looking statements by terms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should,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aim,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estimates,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think,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objectives,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optimistic,</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strategy,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goals,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new,</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guidance,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future,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drive,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growth,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long-term,</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develop,</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possible,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emerging,</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opportunity,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pursue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similar expressions intended to identify forward-looking statements. These statements reflect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2023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the Company.</w:t>
      </w:r>
      <w:r>
        <w:rPr>
          <w:rFonts w:ascii="Times New Roman" w:cs="Times New Roman" w:eastAsia="Times New Roman" w:hAnsi="Times New Roman"/>
          <w:sz w:val="17"/>
          <w:szCs w:val="17"/>
          <w:color w:val="auto"/>
        </w:rPr>
        <w: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Harvard Bioscience, Inc., a Delaware corporation, is a leading developer, manufacturer and seller of technologies, products and services that enable fundamental advances in life science applications, including research, pharmaceutical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Developments</w:t>
      </w:r>
    </w:p>
    <w:p>
      <w:pPr>
        <w:spacing w:after="0" w:line="22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Our business, results of operations, and cash flows have been impacted by macroeconomic trends affecting the life sciences industry and the global economy. These trends include inflationary and interest rate pressures, fluctuations in exchange rates, economic conditions in China, and the events in Ukraine and the Middle East. Our business has also been affected by the softening of certain international markets, especially in China and the Asia-Pacific region, as well as by delays in government funding for certain customers. Our business has also been affected by reduced demand from our biotechnology and pharmaceutical company customers, principally due to the increased cost of capital and a reduction in spending following the COVID-19 pandemic. We expect that any continuation of these trends, or any further delay in market recovery, would continue to impact our business,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Selected Results of Operations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380" w:type="dxa"/>
            <w:vAlign w:val="bottom"/>
            <w:tcBorders>
              <w:bottom w:val="single" w:sz="8" w:color="auto"/>
            </w:tcBorders>
          </w:tcPr>
          <w:p>
            <w:pPr>
              <w:spacing w:after="0"/>
              <w:rPr>
                <w:sz w:val="20"/>
                <w:szCs w:val="20"/>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21,970</w:t>
            </w:r>
          </w:p>
        </w:tc>
        <w:tc>
          <w:tcPr>
            <w:tcW w:w="18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25,363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5,732</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pension settlement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Gain on equity securities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Revenues decreased $3.4 million, or 13.4%, to $22.0 million for the three months ended September 30, 2024, compared to $25.4 million for the three months ended September 30, 2023. The decrease in revenues was primarily due to continued softening of worldwide demand primarily from CRO’s and academic medical research institutions.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Gross profit decreased $1.9 million, or 13.3%, to $12.8 million for the three months ended September 30, 2024, compared with $14.7 million for the three months ended September 30, 2023, primarily due to the decrease in revenues. Gross margin was 58.1% for both the three months ended September 30, 2024, and September 30, 2023. Gross margin was unfavorably impacted by the under-absorption of fixed manufacturing overhead costs due to the decrease in revenues which was offset by a better mix of high margin products and lower labor costs.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$0.2 million, or 3.7%, to $5.5 million for the three months ended September 30, 2024, compared with $5.7 million for the three months ended September 30,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$0.8 million, or 13.2%, to $5.0 million for the three months ended September 30, 2024, compared with $5.8 million for the three months ended September 30, 2023. The decrease was primarily due to lower compensation costs and increased capitalization of costs for internal-use software.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remained relatively unchanged and decreased $0.2 million, or 7.0%, to $2.6 million for the three months ended September 30, 2024, compared with $2.8 million for the three months ended September 30,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included in operating expenses was $1.3 million for the three months ended September 30, 2024, compared with $1.4 million for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ind w:right="500" w:firstLine="396"/>
        <w:spacing w:after="0" w:line="282" w:lineRule="auto"/>
        <w:rPr>
          <w:sz w:val="20"/>
          <w:szCs w:val="20"/>
          <w:color w:val="auto"/>
        </w:rPr>
      </w:pPr>
      <w:r>
        <w:rPr>
          <w:rFonts w:ascii="Times New Roman" w:cs="Times New Roman" w:eastAsia="Times New Roman" w:hAnsi="Times New Roman"/>
          <w:sz w:val="18"/>
          <w:szCs w:val="18"/>
          <w:color w:val="auto"/>
        </w:rPr>
        <w:t>Other operating expenses for the three months ended September 30, 2024 were $0.2 million and included restructuring costs in connection with headcount reductions in North America and Europe.</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Interest expense was $0.9 million for both the three months ended September 30, 2024 and September 30, 2023. During the three months ended September 30, 2024, lower average borrowings were offset by increased interest rates under our Credit Facility.</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pension settlement</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we settled our obligations under one of our defined benefit plans by using plan assets to purchase non-participating annuity contracts. The settlement resulted in the recognition of a non-cash charge of $1.2 million, which has been presented as a component of other income (expense), net. This amount includes the immediate recognition of the portion of the accumulated other comprehensive income (“AOCI”) balance related to this plan.</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Gain on equity securities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2023 we recorded an unrealized gain of $1.2 million related to shares of common stock of Harvard Apparatus Regenerative Technology Inc. (“HRGN”). These shares were received in connection with settlement of indemnification obligations related to litigation and were all sold during the six months ended June 30, 2024.</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The income tax expense was $0.3 million and $0.7 million for the three months ended September 30, 2024 and 2023, respectively. The effective tax rates for the three months ended September 30, 2024 and 2023 were (6.9)% and (120.5)%, respectively. The higher effective tax rate during the three months ended September 30, 2024 compared to the three months ended September 30, 2023 was related to a change in the mix of forecasted income and losses in the U.S. and foreign tax jurisdictions. The Company’s effective tax rate for the three months ended September 30, 2024, was different than the U.S. statutory rate primarily due to the inclusion of non-deductible executive compensation and changes in valuation allowances associated with the Company’s assessment of the likelihood of the recoverability of deferred tax assets. The Company’s effective tax rate for the three months ended September 30, 2023, was different than the U.S. statutory rate primarily due to the mix of forecasted income or losses in the U.S. and foreign tax jurisdictions and a Global Intangible Low-Taxed Income (“GILTI”) inclusion to taxable income. The effective tax rate for the three months ended September 30, 2023, was also impacted by changes in valuation allowances associated with the Company’s assessment of the likelihood of the recoverability of deferred tax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400" w:type="dxa"/>
            <w:vAlign w:val="bottom"/>
            <w:gridSpan w:val="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3"/>
        </w:trPr>
        <w:tc>
          <w:tcPr>
            <w:tcW w:w="8680" w:type="dxa"/>
            <w:vAlign w:val="bottom"/>
            <w:gridSpan w:val="9"/>
          </w:tcPr>
          <w:p>
            <w:pPr>
              <w:jc w:val="right"/>
              <w:ind w:right="138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360" w:type="dxa"/>
            <w:vAlign w:val="bottom"/>
            <w:tcBorders>
              <w:bottom w:val="single" w:sz="8" w:color="auto"/>
            </w:tcBorders>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09"/>
        </w:trPr>
        <w:tc>
          <w:tcPr>
            <w:tcW w:w="4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69,579</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84,097</w:t>
            </w:r>
          </w:p>
        </w:tc>
        <w:tc>
          <w:tcPr>
            <w:tcW w:w="13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49,746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4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17,888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17,494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4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8,614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pension settlement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equity securities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Revenues decreased $14.5 million, or 17.3%, to $69.6 million for the nine months ended September 30, 2024, compared to $84.1 million for the nine months ended September 30, 2023. The decrease in revenues was primarily due to continued softening of worldwide demand primarily from distributors, CRO’s and academic medical research institutions.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Gross profit decreased $8.9 million, or 18.1%, to $40.8 million for the nine months ended September 30, 2024 compared with $49.7 million for the nine months ended September 30, 2023, primarily due to the decrease in revenues. Gross margin decreased to 58.6% for the nine months ended September 30, 2024, compared with 59.2% for the nine months ended September 30, 2023. Gross margin was unfavorably impacted by a lower mix of high margin products and the under-absorption of fixed manufacturing overhead costs due to the decrease in revenues, which was partially offset by lower labor costs.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$1.1 million, or 6.0%, to $16.8 million for the nine months ended September 30, 2024, compared with $17.9 million for the nine months ended September 30, 2023. The decrease was primarily due to lower compensation and travel costs.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$0.8 million, or 4.6%, to $16.7 million for the nine months ended September 30, 2024, compared with $17.5 million for the nine months ended September 30, 2023. The decrease was primarily due to lower compensation costs and increased capitalization of costs for internal-use software.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0" w:firstLine="39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$0.5 million, or 6.2%, to $8.1 million for the nine months ended September 30, 2024, compared with $8.6 million for the nine months ended September 30, 2023. The decrease was primarily due to lower compensation costs and higher capitalized software development costs.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included in operating expenses remained relatively unchanged and was $4.0 million for the nine months ended September 30, 2024, compared with $4.1 million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nine months ended September 30, 2024, were $1.4 million and included restructuring costs of $0.6 million in connection with headcount reductions, a fee of $0.5 million in connection with the receipt of employee retention tax credits, and $0.3 million related to settlement of an unclaimed property audit.</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Interest expense decreased $0.4 million, or 15.8%, to $2.4 million for the nine months ended September 30, 2024, compared with $2.8 million for the nine months ended September 30, 2023. The decrease was primarily due to lower average borrowings during the period.</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pension settlement</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settled our obligations under one of our defined benefit plans by using plan assets to purchase non-participating annuity contracts. The settlement resulted in the recognition of a non-cash charge of $1.2 million which has been presented as a component of other income (expense), net. This amount included the immediate recognition of the portion of the AOCI balances related to this plan.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Loss on equity securities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As of December 31, 2023, we held shares of common stock of HRGN with an estimated fair value of $3.5 million. These shares were received in connection with settlement of indemnification obligations related to litigation which was resolved during the year ended December 31, 2022. During the nine months ended September 30, 2024, we sold all of our HRGN shares for $1.9 million and recorded a loss on sale of $1.6 million. During the nine months ended September 30, 2023, we recorded unrealized losses $0.4 million related to these shares.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The income tax expense was $0.2 million and $0.1 million for the nine months ended September 30, 2024 and 2023, respectively. The effective tax rates for the nine months ended September 30, 2024 and 2023 were (1.4)% and (9.9)%, respectively. The higher effective tax rate during the nine months ended September 30, 2024, compared to the nine months ended September 30, 2023, was related to a change in the mix of forecasted income and losses in the U.S. and foreign tax jurisdictions and changes to uncertain tax positions. The Company’s effective tax rate for the nine months ended September 30, 2024, was different than the U.S. statutory rate primarily due to the inclusion of non-deductible executive compensation and changes in valuation allowances associated with the Company’s assessment of the likelihood of the recoverability of deferred tax assets. The Company’s effective tax rate for the nine months ended September 30, 2023, was different than the U.S. statutory rate primarily due to the mix of forecasted income or losses in the U.S. and foreign tax jurisdictions and a GILTI inclusion to taxable income. The effective tax rate for the nine months ended September 30, 2023, was also impacted by changes in valuation allowances associated with the Company’s assessment of the likelihood of the recoverability of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396"/>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salaries, inventory, and capital expenditures.</w:t>
      </w:r>
    </w:p>
    <w:p>
      <w:pPr>
        <w:spacing w:after="0" w:line="176"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We held cash and cash equivalents of $4.6 million and $4.3 million as of September 30, 2024 and December 31, 2023, respectively. Borrowings outstanding were $38.3 million and $37.1 million as of September 30, 2024 and December 31, 2023, respectively.</w:t>
      </w:r>
    </w:p>
    <w:p>
      <w:pPr>
        <w:spacing w:after="0" w:line="16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We maintain a Credit Agreement that provides for a term loan of $40.0 million and a $25.0 million revolving credit facility both maturing on December 22, 2025. On March 28, 2024, we entered into an amendment to the Credit Agreement pursuant to which the Lenders and administrative agent modified the definition of Consolidated EBITDA used in the calculation of certain financial covenants to adjust for charges related to an abandoned property audit and commission fees in connection with our employee retention tax credit filings.</w:t>
      </w:r>
    </w:p>
    <w:p>
      <w:pPr>
        <w:spacing w:after="0" w:line="180"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On August 6, 2024, we entered into an amendment to the Credit Agreement that, among other things, modified the financial covenants relating to the consolidated net leverage ratio and consolidated fixed charge coverage ratio through the period ended December 31, 2024. The amendment also added a net leverage ratio requirement with respect to additional borrowing under our revolving credit facility and restrictions on certain additional indebtedness and investments, which remains in effect until we deliver to the Lenders our financial statements for the fiscal year ending December 31, 2024. In addition, until delivery of such financial statements, the applicable interest rate margin is increased by 50bps during such time as the consolidated net leverage ratio is greater than 3.0. We paid fees of $0.2 million to the Lenders in connection with the amendment. As of September 30, 2024, we were in compliance with the financial covenants of the Credit Agreement (see Note 8 to the Consolidated Condensed Financial Statements included in Part I, Item 1. of this report).</w:t>
      </w:r>
    </w:p>
    <w:p>
      <w:pPr>
        <w:spacing w:after="0" w:line="18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As of September 30, 2024, the weighted average interest rate on our borrowings, net of the effect of the interest rate swap, was 8.6%. Total revolver borrowing capacity is limited by our consolidated net leverage ratio as defined under the Credit Agreement. As of September 30, 2024, there was no available and unused borrowing capacity under our revolving line of credit, as amended on August 6, 2024 (see Note 8 to the Consolidated Condensed Financial Statements included in Part I, Item 1. of this report).</w:t>
      </w:r>
    </w:p>
    <w:p>
      <w:pPr>
        <w:spacing w:after="0" w:line="18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Primarily due to a decline in revenues, we experienced a net cash outflow from operations during the nine months ended September 30, 2024. We have substantial debt and other financial obligations. Any failure to meet these obligations or maintain compliance with the debt covenants contained in our Credit Agreement could have a material adverse effect on our business, financial condition and results of operations. As of the date of this report, we are unable to make additional borrowings under our revolving credit facility and will be unable to make any such borrowings until we deliver to the lenders our financial statements for the year ending December 31, 2024, due to net leverage ratio requirements set forth in the August 2024 Amendment.</w:t>
      </w:r>
    </w:p>
    <w:p>
      <w:pPr>
        <w:spacing w:after="0" w:line="183"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We continue to take actions intended to improve liquidity, including actions related to cost containment and inventory reduction. Based on our current operating plans, we expect that our available cash and cash generated from operations will be sufficient to finance operations and capital expenditures and service our debt for at least the next 12 months. Our ongoing cash flows and ability to meet our debt covenants are dependent on our revenues and operating performance. If we are unable to successfully carry out our operating plans or increase our revenues, our ability to maintain compliance with our debt covenants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CASH FLOW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67722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Cash (used in) provided by operating activities</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5715</wp:posOffset>
            </wp:positionV>
            <wp:extent cx="67722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7"/>
          <w:szCs w:val="17"/>
          <w:color w:val="auto"/>
        </w:rPr>
        <w:t>Cash provided by (used in) financing activities</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67722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Increase in cash and cash equivalents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9,725</w:t>
            </w:r>
          </w:p>
        </w:tc>
      </w:tr>
      <w:tr>
        <w:trPr>
          <w:trHeight w:val="216"/>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r>
      <w:tr>
        <w:trPr>
          <w:trHeight w:val="234"/>
        </w:trPr>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9"/>
        </w:trPr>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100" w:space="720"/>
            <w:col w:w="3420"/>
          </w:cols>
          <w:pgMar w:left="320" w:top="121" w:right="339" w:bottom="1440" w:gutter="0" w:footer="0" w:header="0"/>
          <w:type w:val="continuous"/>
        </w:sect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Cash (used in) provided by operating activities was $(0.3) million and $9.7 million for the nine months ended September 30, 2024 and 2023, respectively. Cash flow from operations for the nine months ended September 30, 2024 was negatively impacted as a result of the decline in net income for the period adjusted for non-cash items and was positively impacted by the receipt of $3.2 million of employee retention tax credits.</w:t>
      </w:r>
    </w:p>
    <w:p>
      <w:pPr>
        <w:spacing w:after="0" w:line="176"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was $0.9 million for the nine months ended September 30, 2024, and consisted of $2.8 million of capital expenditures for manufacturing and information technology infrastructure and software development, offset by $1.9 million in proceeds from the sale of marketable equity securities. Cash used in investing activities was $0.7 million for the nine months ended September 30, 2023, and consisted of $1.2 million of capital expenditures in manufacturing, information technology infrastructure, and software development, partially offset by $0.5 million from proceeds of the sale of our Hoefer product line.</w:t>
      </w:r>
    </w:p>
    <w:p>
      <w:pPr>
        <w:spacing w:after="0" w:line="183"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Cash provided by (used in) financing activities was $1.2 million and $(8.0) million for the nine months ended September 30, 2024 and 2023, respectively. During the nine months ended September 30, 2024, debt outstanding under our credit facility increased by $1.2 million, due to net borrowings under our revolver of $6.2 million and payments of $5.0 million against the term loan. During the nine months ended September 30, 2023, debt outstanding under our credit facility decreased by $8.3 million, due to net payments against our revolver of $5.0 million and payments of $3.3 million against the term loan.</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Impact of Foreign Currencies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Our international operations in some instances operate in a natural hedge, as we sell our products in many countries and a substantial portion of our revenues, costs and expenses are denominated in foreign currencies, primarily the euro and British pound.</w:t>
      </w:r>
    </w:p>
    <w:p>
      <w:pPr>
        <w:spacing w:after="0" w:line="162"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changes in foreign currency exchange rates had an insignificant effect on our revenues and expenses.</w:t>
      </w:r>
    </w:p>
    <w:p>
      <w:pPr>
        <w:spacing w:after="0" w:line="162"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gain (loss) associated with the translation of our foreign equity into U.S. dollars included as a component of other comprehensive loss was $1.6 million and $(1.3) million for the three months ended September 30, 2024 and 2023, respectively, and $0.7 million and $(0.4) million for the nine months ended September 30, 2024 and 2023, respectively.</w:t>
      </w:r>
    </w:p>
    <w:p>
      <w:pPr>
        <w:spacing w:after="0" w:line="176"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Currency exchange rate fluctuations included as a component of net loss resulted in losses of $(0.4) million and gains of $0.2 million for the three months ended September 30, 2024 and 2023, respectively, and losses of $(0.5) million and gains of $0.1 million for the nine months ended September 30, 2024 and 2023, respectively.</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underlying the accompanying unaudited consolidated financial statements and as set forth in Part II, Item 7 included in our Annual Report on Form 10-K for the fiscal year ended December 31, 2023.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For information on recent accounting pronouncements impacting our business, see “Recently Issued Accounting Pronouncements Yet to Be Adopted” included in Note 1 to our Condensed Consolidated Financial Statements included in Part I, Item 1. of this report.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As of September 30, 2024,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second quarter of fiscal 2024 that have materially affected, or are reasonably likely to materially affect, our internal control over financial reporting.</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22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8"/>
          <w:szCs w:val="18"/>
          <w:color w:val="auto"/>
        </w:rPr>
        <w:t>The information included in Note 13 to the Condensed Consolidated Financial Statements (Unaudited) included in Part I, Item 1 of this quarterly report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Annual Report on Form 10-K for the fiscal year ended December 31, 2023,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 The risk factor set forth below updates, and should be read together with, the risk factors described in our Annual Report on Form 10-K for the fiscal year ended December 31, 2023.</w:t>
      </w:r>
    </w:p>
    <w:p>
      <w:pPr>
        <w:spacing w:after="0" w:line="179" w:lineRule="exact"/>
        <w:rPr>
          <w:sz w:val="20"/>
          <w:szCs w:val="20"/>
          <w:color w:val="auto"/>
        </w:rPr>
      </w:pPr>
    </w:p>
    <w:p>
      <w:pPr>
        <w:jc w:val="both"/>
        <w:ind w:right="20" w:firstLine="39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make additional borrowings under our revolving credit facility could materially affect our ability to fund our existing operations or execute our current business strategy.</w:t>
      </w:r>
    </w:p>
    <w:p>
      <w:pPr>
        <w:spacing w:after="0" w:line="15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As of September 30, 2024, we had outstanding borrowings of $38.4 million under the Credit Agreement. Primarily due to a decline in revenues, we are currently unable to make additional borrowings under our revolving credit facility due to the amended net leverage ratio requirements in the Credit Agreement as amended in August 2024, and we will be unable to make any such borrowings until we deliver to the lenders our financial statements for the year ending December 31, 2024. Depending on our revenues and operating performance, our inability to make such additional borrowings could materially affect our ability to fund our existing operations or execute our current business strategy.</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40"/>
          </w:cols>
          <w:pgMar w:left="320" w:top="121" w:right="33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Rules 13a-14(a) and 15d-14(a), as adopted pursuant to Section 302 of the Sarbanes-Oxley Act of 2002.</w:t>
      </w:r>
    </w:p>
    <w:p>
      <w:pPr>
        <w:ind w:right="20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Rules 13a-14(a) and 15d-14(a), as adopted pursuant to Section 302 of the Sarbanes-Oxley Act of 2002.</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Financial Officer of Harvard Bioscience, Inc., pursuant to 18 U.S.C. Section 1350, as adopted pursuant to Section 906 of the Sarbanes-Oxley Act of 2002.</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Chief Executive Officer of Harvard Bioscience, Inc., pursuant to 18 U.S.C. Section 1350, as adopted pursuant to Section 906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200" w:lineRule="exact"/>
        <w:rPr>
          <w:sz w:val="20"/>
          <w:szCs w:val="20"/>
          <w:color w:val="auto"/>
        </w:rPr>
      </w:pPr>
    </w:p>
    <w:p>
      <w:pPr>
        <w:sectPr>
          <w:pgSz w:w="11900" w:h="16838" w:orient="portrait"/>
          <w:cols w:equalWidth="0" w:num="2">
            <w:col w:w="680" w:space="600"/>
            <w:col w:w="99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undersigned thereunto duly authorized.</w:t>
      </w:r>
    </w:p>
    <w:p>
      <w:pPr>
        <w:spacing w:after="0" w:line="16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9" w:lineRule="exact"/>
        <w:rPr>
          <w:sz w:val="20"/>
          <w:szCs w:val="20"/>
          <w:color w:val="auto"/>
        </w:rPr>
      </w:pPr>
    </w:p>
    <w:tbl>
      <w:tblPr>
        <w:tblLayout w:type="fixed"/>
        <w:tblInd w:w="61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GREEN</w:t>
            </w:r>
          </w:p>
        </w:tc>
      </w:tr>
      <w:tr>
        <w:trPr>
          <w:trHeight w:val="191"/>
        </w:trPr>
        <w:tc>
          <w:tcPr>
            <w:tcW w:w="700" w:type="dxa"/>
            <w:vAlign w:val="bottom"/>
          </w:tcPr>
          <w:p>
            <w:pPr>
              <w:spacing w:after="0"/>
              <w:rPr>
                <w:sz w:val="16"/>
                <w:szCs w:val="16"/>
                <w:color w:val="auto"/>
              </w:rPr>
            </w:pPr>
          </w:p>
        </w:tc>
        <w:tc>
          <w:tcPr>
            <w:tcW w:w="3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James Green</w:t>
            </w:r>
          </w:p>
        </w:tc>
      </w:tr>
      <w:tr>
        <w:trPr>
          <w:trHeight w:val="234"/>
        </w:trPr>
        <w:tc>
          <w:tcPr>
            <w:tcW w:w="7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64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 JENNIFER COTE</w:t>
            </w:r>
          </w:p>
        </w:tc>
      </w:tr>
      <w:tr>
        <w:trPr>
          <w:trHeight w:val="191"/>
        </w:trPr>
        <w:tc>
          <w:tcPr>
            <w:tcW w:w="700" w:type="dxa"/>
            <w:vAlign w:val="bottom"/>
          </w:tcPr>
          <w:p>
            <w:pPr>
              <w:spacing w:after="0"/>
              <w:rPr>
                <w:sz w:val="16"/>
                <w:szCs w:val="16"/>
                <w:color w:val="auto"/>
              </w:rPr>
            </w:pPr>
          </w:p>
        </w:tc>
        <w:tc>
          <w:tcPr>
            <w:tcW w:w="3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Jennifer Cote</w:t>
            </w:r>
          </w:p>
        </w:tc>
      </w:tr>
      <w:tr>
        <w:trPr>
          <w:trHeight w:val="234"/>
        </w:trPr>
        <w:tc>
          <w:tcPr>
            <w:tcW w:w="700" w:type="dxa"/>
            <w:vAlign w:val="bottom"/>
          </w:tcPr>
          <w:p>
            <w:pPr>
              <w:spacing w:after="0"/>
              <w:rPr>
                <w:sz w:val="20"/>
                <w:szCs w:val="20"/>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Cote, certify that:</w:t>
      </w:r>
    </w:p>
    <w:p>
      <w:pPr>
        <w:spacing w:after="0" w:line="22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2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7"/>
          <w:szCs w:val="17"/>
          <w:color w:val="auto"/>
        </w:rPr>
        <w:t>/s/ JENNIFER COTE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Jennifer Cote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Green, certify that:</w:t>
      </w:r>
    </w:p>
    <w:p>
      <w:pPr>
        <w:spacing w:after="0" w:line="22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Harvard Bioscience,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2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486"/>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486"/>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Green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her knowledge that the Company’s Quarterly Report on Form 10-Q for the quarterly period ended September 30, 2024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7"/>
          <w:szCs w:val="17"/>
          <w:color w:val="auto"/>
        </w:rPr>
        <w:t>/s/ JENNIFER COTE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Jennifer Cote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 PURSUANT TO 18 U.S.C. SECTION 1350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undersigned officer of Harvard Bioscience, Inc. (the “Company”) hereby certifies to his knowledge that the Company’s Quarterly Report on Form 10-Q for the quarterly period ended September 30, 2024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/s/ JAMES GREEN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James Green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2024-11-08T16:31:16Z</dcterms:created>
  <dcterms:modified xsi:type="dcterms:W3CDTF">2024-11-08T16:31:16Z</dcterms:modified>
</cp:coreProperties>
</file>