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bio20250930_10q.htm"/>
      <w:bookmarkStart w:id="1" w:name="kshbio202509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 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001-33957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7240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04-3306140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 Holliston, Massachusetts 01746</w:t>
            </w:r>
          </w:p>
        </w:tc>
      </w:tr>
      <w:tr>
        <w:trPr/>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(508) 893-8999</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w:t>
        <w:br/>
        <w:t> </w:t>
      </w:r>
    </w:p>
    <w:tbl>
      <w:tblPr>
        <w:tblW w:w="7740" w:type="dxa"/>
        <w:jc w:val="left"/>
        <w:tblInd w:w="0" w:type="dxa"/>
        <w:tblLayout w:type="fixed"/>
        <w:tblCellMar>
          <w:top w:w="28" w:type="dxa"/>
          <w:left w:w="28" w:type="dxa"/>
          <w:bottom w:w="28" w:type="dxa"/>
          <w:right w:w="0" w:type="dxa"/>
        </w:tblCellMar>
      </w:tblPr>
      <w:tblGrid>
        <w:gridCol w:w="2630"/>
        <w:gridCol w:w="1535"/>
        <w:gridCol w:w="3575"/>
      </w:tblGrid>
      <w:tr>
        <w:trPr/>
        <w:tc>
          <w:tcPr>
            <w:tcW w:w="26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HBIO</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3, 2025, there were 44,579,665 shares of the registrant’s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HARVARD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8015"/>
        <w:gridCol w:w="440"/>
      </w:tblGrid>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0"/>
              <w:ind w:left="0" w:right="0" w:hanging="0"/>
              <w:jc w:val="left"/>
              <w:rPr/>
            </w:pPr>
            <w:hyperlink w:anchor="p1">
              <w:r>
                <w:rPr>
                  <w:rStyle w:val="InternetLink"/>
                  <w:rFonts w:ascii="Times New Roman" w:hAnsi="Times New Roman"/>
                  <w:caps w:val="false"/>
                  <w:smallCaps w:val="false"/>
                  <w:sz w:val="20"/>
                </w:rPr>
                <w:t>PART I - FINANCIAL INFORMATION</w:t>
              </w:r>
            </w:hyperlink>
          </w:p>
        </w:tc>
        <w:tc>
          <w:tcPr>
            <w:tcW w:w="440" w:type="dxa"/>
            <w:tcBorders/>
            <w:vAlign w:val="center"/>
          </w:tcPr>
          <w:p>
            <w:pPr>
              <w:pStyle w:val="TableContents"/>
              <w:bidi w:val="0"/>
              <w:spacing w:before="0" w:after="283"/>
              <w:jc w:val="center"/>
              <w:rPr/>
            </w:pPr>
            <w:hyperlink w:anchor="p1">
              <w:r>
                <w:rPr>
                  <w:rStyle w:val="InternetLink"/>
                </w:rPr>
                <w:t>1</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Item 1.   Financial Statements (Unaudited)</w:t>
              </w:r>
            </w:hyperlink>
          </w:p>
        </w:tc>
        <w:tc>
          <w:tcPr>
            <w:tcW w:w="440" w:type="dxa"/>
            <w:tcBorders/>
            <w:vAlign w:val="center"/>
          </w:tcPr>
          <w:p>
            <w:pPr>
              <w:pStyle w:val="TableContents"/>
              <w:bidi w:val="0"/>
              <w:spacing w:before="0" w:after="283"/>
              <w:jc w:val="center"/>
              <w:rPr/>
            </w:pPr>
            <w:hyperlink w:anchor="i1">
              <w:r>
                <w:rPr>
                  <w:rStyle w:val="InternetLink"/>
                </w:rPr>
                <w:t>1</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90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283"/>
              <w:jc w:val="center"/>
              <w:rPr/>
            </w:pPr>
            <w:hyperlink w:anchor="bs">
              <w:r>
                <w:rPr>
                  <w:rStyle w:val="InternetLink"/>
                </w:rPr>
                <w:t>1</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900" w:right="0" w:hanging="0"/>
              <w:jc w:val="left"/>
              <w:rPr/>
            </w:pPr>
            <w:hyperlink w:anchor="s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283"/>
              <w:jc w:val="center"/>
              <w:rPr/>
            </w:pPr>
            <w:hyperlink w:anchor="sops">
              <w:r>
                <w:rPr>
                  <w:rStyle w:val="InternetLink"/>
                </w:rPr>
                <w:t>2</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900" w:right="0" w:hanging="0"/>
              <w:jc w:val="left"/>
              <w:rPr/>
            </w:pPr>
            <w:hyperlink w:anchor="cl">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283"/>
              <w:jc w:val="center"/>
              <w:rPr/>
            </w:pPr>
            <w:hyperlink w:anchor="cl">
              <w:r>
                <w:rPr>
                  <w:rStyle w:val="InternetLink"/>
                </w:rPr>
                <w:t>3</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900" w:right="0" w:hanging="0"/>
              <w:jc w:val="left"/>
              <w:rPr/>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283"/>
              <w:jc w:val="center"/>
              <w:rPr/>
            </w:pPr>
            <w:hyperlink w:anchor="se">
              <w:r>
                <w:rPr>
                  <w:rStyle w:val="InternetLink"/>
                </w:rPr>
                <w:t>4</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90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283"/>
              <w:jc w:val="center"/>
              <w:rPr/>
            </w:pPr>
            <w:hyperlink w:anchor="cf">
              <w:r>
                <w:rPr>
                  <w:rStyle w:val="InternetLink"/>
                </w:rPr>
                <w:t>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90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440" w:type="dxa"/>
            <w:tcBorders/>
            <w:vAlign w:val="center"/>
          </w:tcPr>
          <w:p>
            <w:pPr>
              <w:pStyle w:val="TableContents"/>
              <w:bidi w:val="0"/>
              <w:spacing w:before="0" w:after="283"/>
              <w:jc w:val="center"/>
              <w:rPr/>
            </w:pPr>
            <w:hyperlink w:anchor="notes">
              <w:r>
                <w:rPr>
                  <w:rStyle w:val="InternetLink"/>
                </w:rPr>
                <w:t>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    Management’s Discussion and Analysis of Financial Condition and Results of Operations</w:t>
              </w:r>
            </w:hyperlink>
          </w:p>
        </w:tc>
        <w:tc>
          <w:tcPr>
            <w:tcW w:w="440" w:type="dxa"/>
            <w:tcBorders/>
            <w:vAlign w:val="center"/>
          </w:tcPr>
          <w:p>
            <w:pPr>
              <w:pStyle w:val="TableContents"/>
              <w:bidi w:val="0"/>
              <w:spacing w:before="0" w:after="283"/>
              <w:jc w:val="center"/>
              <w:rPr/>
            </w:pPr>
            <w:hyperlink w:anchor="p1i2">
              <w:r>
                <w:rPr>
                  <w:rStyle w:val="InternetLink"/>
                </w:rPr>
                <w:t>19</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    Quantitative and Qualitative Disclosures about Market Risk</w:t>
              </w:r>
            </w:hyperlink>
          </w:p>
        </w:tc>
        <w:tc>
          <w:tcPr>
            <w:tcW w:w="440" w:type="dxa"/>
            <w:tcBorders/>
            <w:vAlign w:val="center"/>
          </w:tcPr>
          <w:p>
            <w:pPr>
              <w:pStyle w:val="TableContents"/>
              <w:bidi w:val="0"/>
              <w:spacing w:before="0" w:after="283"/>
              <w:jc w:val="center"/>
              <w:rPr/>
            </w:pPr>
            <w:hyperlink w:anchor="p1i3">
              <w:r>
                <w:rPr>
                  <w:rStyle w:val="InternetLink"/>
                </w:rPr>
                <w:t>25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    Controls and Procedures</w:t>
              </w:r>
            </w:hyperlink>
          </w:p>
        </w:tc>
        <w:tc>
          <w:tcPr>
            <w:tcW w:w="440" w:type="dxa"/>
            <w:tcBorders/>
            <w:vAlign w:val="center"/>
          </w:tcPr>
          <w:p>
            <w:pPr>
              <w:pStyle w:val="TableContents"/>
              <w:bidi w:val="0"/>
              <w:spacing w:before="0" w:after="283"/>
              <w:jc w:val="center"/>
              <w:rPr/>
            </w:pPr>
            <w:hyperlink w:anchor="p1i4">
              <w:r>
                <w:rPr>
                  <w:rStyle w:val="InternetLink"/>
                </w:rPr>
                <w:t>25</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rPr>
                <w:t>PART II - OTHER INFORMATION</w:t>
              </w:r>
            </w:hyperlink>
          </w:p>
        </w:tc>
        <w:tc>
          <w:tcPr>
            <w:tcW w:w="440" w:type="dxa"/>
            <w:tcBorders/>
            <w:vAlign w:val="center"/>
          </w:tcPr>
          <w:p>
            <w:pPr>
              <w:pStyle w:val="TableContents"/>
              <w:bidi w:val="0"/>
              <w:spacing w:before="0" w:after="283"/>
              <w:jc w:val="center"/>
              <w:rPr/>
            </w:pPr>
            <w:hyperlink w:anchor="p2">
              <w:r>
                <w:rPr>
                  <w:rStyle w:val="InternetLink"/>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440" w:type="dxa"/>
            <w:tcBorders/>
            <w:vAlign w:val="center"/>
          </w:tcPr>
          <w:p>
            <w:pPr>
              <w:pStyle w:val="TableContents"/>
              <w:bidi w:val="0"/>
              <w:spacing w:before="0" w:after="283"/>
              <w:jc w:val="center"/>
              <w:rPr/>
            </w:pPr>
            <w:hyperlink w:anchor="p2i1">
              <w:r>
                <w:rPr>
                  <w:rStyle w:val="InternetLink"/>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Item1A.  Risk Factors</w:t>
              </w:r>
            </w:hyperlink>
          </w:p>
        </w:tc>
        <w:tc>
          <w:tcPr>
            <w:tcW w:w="440" w:type="dxa"/>
            <w:tcBorders/>
            <w:vAlign w:val="center"/>
          </w:tcPr>
          <w:p>
            <w:pPr>
              <w:pStyle w:val="TableContents"/>
              <w:bidi w:val="0"/>
              <w:spacing w:before="0" w:after="283"/>
              <w:jc w:val="center"/>
              <w:rPr/>
            </w:pPr>
            <w:hyperlink w:anchor="p2i1a">
              <w:r>
                <w:rPr>
                  <w:rStyle w:val="InternetLink"/>
                </w:rPr>
                <w:t>26</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440" w:type="dxa"/>
            <w:tcBorders/>
            <w:vAlign w:val="center"/>
          </w:tcPr>
          <w:p>
            <w:pPr>
              <w:pStyle w:val="TableContents"/>
              <w:bidi w:val="0"/>
              <w:spacing w:before="0" w:after="283"/>
              <w:jc w:val="center"/>
              <w:rPr/>
            </w:pPr>
            <w:hyperlink w:anchor="p2i2">
              <w:r>
                <w:rPr>
                  <w:rStyle w:val="InternetLink"/>
                </w:rPr>
                <w:t>27</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440" w:type="dxa"/>
            <w:tcBorders/>
            <w:vAlign w:val="center"/>
          </w:tcPr>
          <w:p>
            <w:pPr>
              <w:pStyle w:val="TableContents"/>
              <w:bidi w:val="0"/>
              <w:spacing w:before="0" w:after="283"/>
              <w:jc w:val="center"/>
              <w:rPr/>
            </w:pPr>
            <w:hyperlink w:anchor="p2i3">
              <w:r>
                <w:rPr>
                  <w:rStyle w:val="InternetLink"/>
                </w:rPr>
                <w:t>27</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440" w:type="dxa"/>
            <w:tcBorders/>
            <w:vAlign w:val="center"/>
          </w:tcPr>
          <w:p>
            <w:pPr>
              <w:pStyle w:val="TableContents"/>
              <w:bidi w:val="0"/>
              <w:spacing w:before="0" w:after="283"/>
              <w:jc w:val="center"/>
              <w:rPr/>
            </w:pPr>
            <w:hyperlink w:anchor="p2i4">
              <w:r>
                <w:rPr>
                  <w:rStyle w:val="InternetLink"/>
                </w:rPr>
                <w:t>27</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440" w:type="dxa"/>
            <w:tcBorders/>
            <w:vAlign w:val="center"/>
          </w:tcPr>
          <w:p>
            <w:pPr>
              <w:pStyle w:val="TableContents"/>
              <w:bidi w:val="0"/>
              <w:spacing w:before="0" w:after="283"/>
              <w:jc w:val="center"/>
              <w:rPr/>
            </w:pPr>
            <w:hyperlink w:anchor="p2i5">
              <w:r>
                <w:rPr>
                  <w:rStyle w:val="InternetLink"/>
                </w:rPr>
                <w:t>27</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440" w:type="dxa"/>
            <w:tcBorders/>
            <w:vAlign w:val="center"/>
          </w:tcPr>
          <w:p>
            <w:pPr>
              <w:pStyle w:val="TableContents"/>
              <w:bidi w:val="0"/>
              <w:spacing w:before="0" w:after="283"/>
              <w:jc w:val="center"/>
              <w:rPr/>
            </w:pPr>
            <w:hyperlink w:anchor="p2i6">
              <w:r>
                <w:rPr>
                  <w:rStyle w:val="InternetLink"/>
                </w:rPr>
                <w:t>28</w:t>
              </w:r>
            </w:hyperlink>
          </w:p>
        </w:tc>
      </w:tr>
      <w:tr>
        <w:trPr/>
        <w:tc>
          <w:tcPr>
            <w:tcW w:w="80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15" w:type="dxa"/>
            <w:tcBorders/>
            <w:vAlign w:val="center"/>
          </w:tcPr>
          <w:p>
            <w:pPr>
              <w:pStyle w:val="TableContents"/>
              <w:bidi w:val="0"/>
              <w:spacing w:before="0" w:after="0"/>
              <w:ind w:left="0" w:right="0" w:hanging="0"/>
              <w:jc w:val="left"/>
              <w:rPr/>
            </w:pPr>
            <w:hyperlink w:anchor="sign">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283"/>
              <w:jc w:val="center"/>
              <w:rPr/>
            </w:pPr>
            <w:hyperlink w:anchor="sign">
              <w:r>
                <w:rPr>
                  <w:rStyle w:val="InternetLink"/>
                </w:rPr>
                <w:t>29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p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bookmarkStart w:id="4" w:name="i1"/>
      <w:bookmarkEnd w:id="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bookmarkStart w:id="5" w:name="bs"/>
      <w:bookmarkEnd w:id="5"/>
      <w:r>
        <w:rPr>
          <w:rFonts w:ascii="Times New Roman" w:hAnsi="Times New Roman"/>
          <w:b/>
          <w:sz w:val="20"/>
        </w:rPr>
        <w:t>HARVARD BIOSCIENCE, INC.</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CONDENSED CONSOLIDATED BALANCE SHEETS</w:t>
      </w:r>
      <w:r>
        <w:rPr>
          <w:rFonts w:ascii="Times New Roman" w:hAnsi="Times New Roman"/>
          <w:sz w:val="20"/>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 except share and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85"/>
        <w:gridCol w:w="60"/>
        <w:gridCol w:w="146"/>
        <w:gridCol w:w="883"/>
        <w:gridCol w:w="80"/>
        <w:gridCol w:w="60"/>
        <w:gridCol w:w="143"/>
        <w:gridCol w:w="866"/>
        <w:gridCol w:w="82"/>
      </w:tblGrid>
      <w:tr>
        <w:trPr/>
        <w:tc>
          <w:tcPr>
            <w:tcW w:w="7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9" w:type="dxa"/>
            <w:gridSpan w:val="2"/>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56,324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77,992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126,644</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54,958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63,304</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 Note 13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$0.01 per share, 5,000,000 shares authorized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$0.01 per share, 80,000,000 shares authorized: 44,579,665 shares issued and outstanding at September 30, 2025; 44,074,475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236,579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(158,010</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77,992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126,644</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bookmarkStart w:id="6" w:name="sops"/>
      <w:bookmarkEnd w:id="6"/>
      <w:r>
        <w:rPr>
          <w:rFonts w:ascii="Times New Roman" w:hAnsi="Times New Roman"/>
          <w:b/>
          <w:sz w:val="20"/>
        </w:rPr>
        <w:t>HARVARD BIOSCIENCE,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 except per share data)</w:t>
      </w:r>
    </w:p>
    <w:p>
      <w:pPr>
        <w:pStyle w:val="TextBody"/>
        <w:bidi w:val="0"/>
        <w:spacing w:before="0" w:after="0"/>
        <w:ind w:left="0" w:right="0" w:hanging="0"/>
        <w:jc w:val="left"/>
        <w:rPr/>
      </w:pPr>
      <w:r>
        <w:rPr/>
        <w:t> </w:t>
      </w:r>
    </w:p>
    <w:tbl>
      <w:tblPr>
        <w:tblW w:w="9723" w:type="dxa"/>
        <w:jc w:val="left"/>
        <w:tblInd w:w="0" w:type="dxa"/>
        <w:tblLayout w:type="fixed"/>
        <w:tblCellMar>
          <w:top w:w="0" w:type="dxa"/>
          <w:left w:w="0" w:type="dxa"/>
          <w:bottom w:w="0" w:type="dxa"/>
          <w:right w:w="0" w:type="dxa"/>
        </w:tblCellMar>
      </w:tblPr>
      <w:tblGrid>
        <w:gridCol w:w="3455"/>
        <w:gridCol w:w="60"/>
        <w:gridCol w:w="241"/>
        <w:gridCol w:w="1140"/>
        <w:gridCol w:w="154"/>
        <w:gridCol w:w="115"/>
        <w:gridCol w:w="241"/>
        <w:gridCol w:w="1140"/>
        <w:gridCol w:w="80"/>
        <w:gridCol w:w="60"/>
        <w:gridCol w:w="218"/>
        <w:gridCol w:w="1138"/>
        <w:gridCol w:w="140"/>
        <w:gridCol w:w="105"/>
        <w:gridCol w:w="218"/>
        <w:gridCol w:w="1138"/>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4" w:type="dxa"/>
            <w:tcBorders>
              <w:bottom w:val="single" w:sz="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20,591</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62,815</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8,570</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27,077</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12,021</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35,738</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14,123</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4,176</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6,642</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4</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 - Note 1</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11,824</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86,028</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(50,290</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pension settlement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 - Note 6</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(54,182</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44,556</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44,320</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bookmarkStart w:id="7" w:name="cl"/>
      <w:bookmarkEnd w:id="7"/>
      <w:r>
        <w:rPr>
          <w:rFonts w:ascii="Times New Roman" w:hAnsi="Times New Roman"/>
          <w:b/>
          <w:sz w:val="20"/>
        </w:rPr>
        <w:t>HARVARD BIOSCIENCE,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COMPREHENSIVE LOSS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10010" w:type="dxa"/>
        <w:jc w:val="left"/>
        <w:tblInd w:w="0" w:type="dxa"/>
        <w:tblLayout w:type="fixed"/>
        <w:tblCellMar>
          <w:top w:w="0" w:type="dxa"/>
          <w:left w:w="0" w:type="dxa"/>
          <w:bottom w:w="0" w:type="dxa"/>
          <w:right w:w="0" w:type="dxa"/>
        </w:tblCellMar>
      </w:tblPr>
      <w:tblGrid>
        <w:gridCol w:w="3785"/>
        <w:gridCol w:w="60"/>
        <w:gridCol w:w="256"/>
        <w:gridCol w:w="1117"/>
        <w:gridCol w:w="164"/>
        <w:gridCol w:w="123"/>
        <w:gridCol w:w="256"/>
        <w:gridCol w:w="1117"/>
        <w:gridCol w:w="80"/>
        <w:gridCol w:w="60"/>
        <w:gridCol w:w="215"/>
        <w:gridCol w:w="1121"/>
        <w:gridCol w:w="137"/>
        <w:gridCol w:w="103"/>
        <w:gridCol w:w="215"/>
        <w:gridCol w:w="1121"/>
        <w:gridCol w:w="8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4" w:type="dxa"/>
            <w:tcBorders>
              <w:bottom w:val="single" w:sz="2" w:space="0" w:color="000000"/>
            </w:tcBorders>
            <w:tcMar>
              <w:bottom w:w="28" w:type="dxa"/>
            </w:tcMar>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Defined benefit pension plans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(50,620</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40" w:right="0" w:hanging="328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bookmarkStart w:id="8" w:name="se"/>
      <w:bookmarkEnd w:id="8"/>
      <w:r>
        <w:rPr>
          <w:rFonts w:ascii="Times New Roman" w:hAnsi="Times New Roman"/>
          <w:b/>
          <w:sz w:val="20"/>
        </w:rPr>
        <w:t>HARVARD BIOSCIENCE,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STOCKHOLDERS' EQUITY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9657" w:type="dxa"/>
        <w:jc w:val="left"/>
        <w:tblInd w:w="0" w:type="dxa"/>
        <w:tblLayout w:type="fixed"/>
        <w:tblCellMar>
          <w:top w:w="0" w:type="dxa"/>
          <w:left w:w="0" w:type="dxa"/>
          <w:bottom w:w="0" w:type="dxa"/>
          <w:right w:w="0" w:type="dxa"/>
        </w:tblCellMar>
      </w:tblPr>
      <w:tblGrid>
        <w:gridCol w:w="2630"/>
        <w:gridCol w:w="60"/>
        <w:gridCol w:w="73"/>
        <w:gridCol w:w="726"/>
        <w:gridCol w:w="80"/>
        <w:gridCol w:w="60"/>
        <w:gridCol w:w="217"/>
        <w:gridCol w:w="583"/>
        <w:gridCol w:w="60"/>
        <w:gridCol w:w="60"/>
        <w:gridCol w:w="146"/>
        <w:gridCol w:w="818"/>
        <w:gridCol w:w="80"/>
        <w:gridCol w:w="60"/>
        <w:gridCol w:w="160"/>
        <w:gridCol w:w="970"/>
        <w:gridCol w:w="80"/>
        <w:gridCol w:w="60"/>
        <w:gridCol w:w="215"/>
        <w:gridCol w:w="1125"/>
        <w:gridCol w:w="80"/>
        <w:gridCol w:w="60"/>
        <w:gridCol w:w="204"/>
        <w:gridCol w:w="970"/>
        <w:gridCol w:w="80"/>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7" w:type="dxa"/>
        <w:jc w:val="left"/>
        <w:tblInd w:w="0" w:type="dxa"/>
        <w:tblLayout w:type="fixed"/>
        <w:tblCellMar>
          <w:top w:w="0" w:type="dxa"/>
          <w:left w:w="0" w:type="dxa"/>
          <w:bottom w:w="0" w:type="dxa"/>
          <w:right w:w="0" w:type="dxa"/>
        </w:tblCellMar>
      </w:tblPr>
      <w:tblGrid>
        <w:gridCol w:w="2630"/>
        <w:gridCol w:w="60"/>
        <w:gridCol w:w="73"/>
        <w:gridCol w:w="726"/>
        <w:gridCol w:w="60"/>
        <w:gridCol w:w="60"/>
        <w:gridCol w:w="217"/>
        <w:gridCol w:w="583"/>
        <w:gridCol w:w="60"/>
        <w:gridCol w:w="60"/>
        <w:gridCol w:w="146"/>
        <w:gridCol w:w="818"/>
        <w:gridCol w:w="60"/>
        <w:gridCol w:w="60"/>
        <w:gridCol w:w="160"/>
        <w:gridCol w:w="970"/>
        <w:gridCol w:w="80"/>
        <w:gridCol w:w="60"/>
        <w:gridCol w:w="215"/>
        <w:gridCol w:w="1125"/>
        <w:gridCol w:w="80"/>
        <w:gridCol w:w="60"/>
        <w:gridCol w:w="204"/>
        <w:gridCol w:w="970"/>
        <w:gridCol w:w="80"/>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67,247</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2024</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57" w:type="dxa"/>
        <w:jc w:val="left"/>
        <w:tblInd w:w="0" w:type="dxa"/>
        <w:tblLayout w:type="fixed"/>
        <w:tblCellMar>
          <w:top w:w="0" w:type="dxa"/>
          <w:left w:w="0" w:type="dxa"/>
          <w:bottom w:w="0" w:type="dxa"/>
          <w:right w:w="0" w:type="dxa"/>
        </w:tblCellMar>
      </w:tblPr>
      <w:tblGrid>
        <w:gridCol w:w="2630"/>
        <w:gridCol w:w="60"/>
        <w:gridCol w:w="73"/>
        <w:gridCol w:w="726"/>
        <w:gridCol w:w="80"/>
        <w:gridCol w:w="60"/>
        <w:gridCol w:w="217"/>
        <w:gridCol w:w="583"/>
        <w:gridCol w:w="60"/>
        <w:gridCol w:w="60"/>
        <w:gridCol w:w="146"/>
        <w:gridCol w:w="818"/>
        <w:gridCol w:w="80"/>
        <w:gridCol w:w="60"/>
        <w:gridCol w:w="160"/>
        <w:gridCol w:w="970"/>
        <w:gridCol w:w="80"/>
        <w:gridCol w:w="60"/>
        <w:gridCol w:w="215"/>
        <w:gridCol w:w="1125"/>
        <w:gridCol w:w="80"/>
        <w:gridCol w:w="60"/>
        <w:gridCol w:w="188"/>
        <w:gridCol w:w="986"/>
        <w:gridCol w:w="80"/>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63,340</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2025</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57" w:type="dxa"/>
        <w:jc w:val="left"/>
        <w:tblInd w:w="0" w:type="dxa"/>
        <w:tblLayout w:type="fixed"/>
        <w:tblCellMar>
          <w:top w:w="0" w:type="dxa"/>
          <w:left w:w="0" w:type="dxa"/>
          <w:bottom w:w="0" w:type="dxa"/>
          <w:right w:w="0" w:type="dxa"/>
        </w:tblCellMar>
      </w:tblPr>
      <w:tblGrid>
        <w:gridCol w:w="2630"/>
        <w:gridCol w:w="60"/>
        <w:gridCol w:w="73"/>
        <w:gridCol w:w="726"/>
        <w:gridCol w:w="80"/>
        <w:gridCol w:w="60"/>
        <w:gridCol w:w="217"/>
        <w:gridCol w:w="583"/>
        <w:gridCol w:w="60"/>
        <w:gridCol w:w="60"/>
        <w:gridCol w:w="146"/>
        <w:gridCol w:w="818"/>
        <w:gridCol w:w="80"/>
        <w:gridCol w:w="60"/>
        <w:gridCol w:w="160"/>
        <w:gridCol w:w="970"/>
        <w:gridCol w:w="80"/>
        <w:gridCol w:w="60"/>
        <w:gridCol w:w="215"/>
        <w:gridCol w:w="1125"/>
        <w:gridCol w:w="80"/>
        <w:gridCol w:w="60"/>
        <w:gridCol w:w="188"/>
        <w:gridCol w:w="986"/>
        <w:gridCol w:w="80"/>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73,074</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September 30, 2024</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bookmarkStart w:id="9" w:name="cf"/>
      <w:bookmarkEnd w:id="9"/>
      <w:r>
        <w:rPr>
          <w:rFonts w:ascii="Times New Roman" w:hAnsi="Times New Roman"/>
          <w:b/>
          <w:sz w:val="20"/>
        </w:rPr>
        <w:t>HARVARD BIOSCIENCE,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10182" w:type="dxa"/>
        <w:jc w:val="left"/>
        <w:tblInd w:w="0" w:type="dxa"/>
        <w:tblLayout w:type="fixed"/>
        <w:tblCellMar>
          <w:top w:w="0" w:type="dxa"/>
          <w:left w:w="0" w:type="dxa"/>
          <w:bottom w:w="0" w:type="dxa"/>
          <w:right w:w="0" w:type="dxa"/>
        </w:tblCellMar>
      </w:tblPr>
      <w:tblGrid>
        <w:gridCol w:w="7085"/>
        <w:gridCol w:w="60"/>
        <w:gridCol w:w="218"/>
        <w:gridCol w:w="1138"/>
        <w:gridCol w:w="140"/>
        <w:gridCol w:w="105"/>
        <w:gridCol w:w="218"/>
        <w:gridCol w:w="1138"/>
        <w:gridCol w:w="8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7" w:type="dxa"/>
            <w:gridSpan w:val="6"/>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4</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and other</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 - Note 6</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pension settlement - Note 8</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property, plant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marketable equity securities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 from revolving line of credit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revolving line of credit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term debt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 and employee stock purchase plan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6,817</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4,569</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8501" w:type="dxa"/>
            <w:gridSpan w:val="4"/>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disclosures of cash flow information:</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5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of Presentation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unaudited consolidated financial statements of Harvard Bioscience, Inc. and its wholly-owned subsidiaries (collectively, the “Company”) as of September 30, 2025, and for the three and nine months ended September 30, 2025 and 2024,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2024, consolidated balance sheet was derived from audited financial statements but does not include all disclosures required by U.S. GAAP. However, the Company believes that the disclosures are adequate to make the information presented not misleading. These condensed consolidated financial statements should be read in conjunction with the consolidated financial statements and the notes thereto included in the Company’s Annual Report on Form 10-K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financial position as of September 30, 2025, results of operations and comprehensive loss for the three and nine months ended September 30, 2025 and 2024, and cash flows for the nine months ended September 30, 2025 and 2024, as applicable, have been made. The results of operations for the three and nine months ended September 30, 2025, are not necessarily indicative of the anticipated operating results for the full year ending December 31, 2025,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accounting policies underlying the accompanying condensed consolidated financial statements are set forth in Note 2 to the consolidated financial statements included in the Company’s Annual Report on Form 10-K for the year ended December 31, 2024. There have been no material changes in the Company’s significant accounting policies during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for the three and nine months ended September 30, 2025, have been prepared assuming that the Company will continue as a going concern. A going-concern basis assumes that the Company will continue its operations for the foreseeable future and contemplate the realization of assets and the settlement of liabilities in the normal course of business. As noted below,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September 30, 2025, there was indebtedness of $34.0 million outstanding under the Company's term loan and senior revolving credit facility (collectively, the “Credit Agreement”). On August 8, 2025, the Company entered into an amendment (the “August 2025 Amendment”) to the Credit Agreement, pursuant to which the Lenders (defined below) and administrative agent agreed, subject to the terms contained in the August 2025 Amendment, to waive the events of default under the Credit Agreement due to the Company’s failure to achieve certain refinancing milestones (the “Refinancing Milestones”) and its failure to comply with certain financial covenants. In connection with the August 2025 Amendment, the Company has agreed to accomplish steps towards the refinancing (the “Refinancing”) or repayment of the Credit Agreement by no later than December 5, 2025. The Company continues to make progress on these steps, and is working actively to reach a definitive agreement that will accomplish one of these outcomes. The failure to accomplish such steps on the agreed timeline shall constitute an event of default under the Credit Agreement. In such event, in addition to other actions the lenders may require, the amounts outstanding under the Credit Agreement may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continues to explore alternative sources of capital that would allow it to refinance the outstanding indebtedness due under the Credit Agreement, but its ability to access such other sources of capital is uncertain. There is no assurance that such capital will be available, be obtainable on commercially acceptable terms, or provide the Company with sufficient funds to meet its objectives. Based on its anticipated cash flows from operations, unless the Company is able to access other sources of capital or extend the date for repayment under the Credit Agreement, the Company will be unable to pay its debt obligations and fund its operations for at least twelve months from the date of issuance of the condensed consolidated financial statements contained in this Quarterly Report on Form 10-Q. As a result,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preparation of condensed consolidated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the lower of cost or net realizable value, stock-based compensation expense, and the recoverability of long-lived and intangible assets, including goodwill. On an ongoing basis, the Company assesses its previous estimates based upon currently available information. Actual results could differ materially from the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components of other operating expenses for the three and nine months ended September 30, 2025 and 2024 were as follows: </w:t>
      </w:r>
    </w:p>
    <w:p>
      <w:pPr>
        <w:pStyle w:val="TextBody"/>
        <w:bidi w:val="0"/>
        <w:spacing w:before="0" w:after="0"/>
        <w:ind w:left="0" w:right="0" w:hanging="0"/>
        <w:jc w:val="left"/>
        <w:rPr>
          <w:caps w:val="false"/>
          <w:smallCaps w:val="false"/>
        </w:rPr>
      </w:pPr>
      <w:r>
        <w:rPr>
          <w:caps w:val="false"/>
          <w:smallCaps w:val="false"/>
        </w:rPr>
        <w:t> </w:t>
      </w:r>
    </w:p>
    <w:tbl>
      <w:tblPr>
        <w:tblW w:w="10178" w:type="dxa"/>
        <w:jc w:val="left"/>
        <w:tblInd w:w="0" w:type="dxa"/>
        <w:tblLayout w:type="fixed"/>
        <w:tblCellMar>
          <w:top w:w="0" w:type="dxa"/>
          <w:left w:w="0" w:type="dxa"/>
          <w:bottom w:w="0" w:type="dxa"/>
          <w:right w:w="0" w:type="dxa"/>
        </w:tblCellMar>
      </w:tblPr>
      <w:tblGrid>
        <w:gridCol w:w="3995"/>
        <w:gridCol w:w="60"/>
        <w:gridCol w:w="405"/>
        <w:gridCol w:w="746"/>
        <w:gridCol w:w="194"/>
        <w:gridCol w:w="194"/>
        <w:gridCol w:w="405"/>
        <w:gridCol w:w="1087"/>
        <w:gridCol w:w="60"/>
        <w:gridCol w:w="60"/>
        <w:gridCol w:w="306"/>
        <w:gridCol w:w="820"/>
        <w:gridCol w:w="146"/>
        <w:gridCol w:w="146"/>
        <w:gridCol w:w="306"/>
        <w:gridCol w:w="1188"/>
        <w:gridCol w:w="6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ind w:left="0" w:right="0" w:hanging="0"/>
              <w:jc w:val="left"/>
              <w:rPr/>
            </w:pPr>
            <w:r>
              <w:rPr/>
              <w:t> </w:t>
            </w:r>
          </w:p>
        </w:tc>
        <w:tc>
          <w:tcPr>
            <w:tcW w:w="14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4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fees (see Note 5)</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Unclaimed property audits expense (see Note 13)</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(see Note 14)</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Recently Issued Accounting Pronouncements Yet to Be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December 2023, the Financial Accounting Standards Board (“FASB”) issued ASU No. 2023-09, </w:t>
      </w:r>
      <w:r>
        <w:rPr>
          <w:rFonts w:ascii="Times New Roman" w:hAnsi="Times New Roman"/>
          <w:i/>
          <w:caps w:val="false"/>
          <w:smallCaps w:val="false"/>
          <w:sz w:val="20"/>
        </w:rPr>
        <w:t>Income Taxes (Topic 740): Improvements to Income Tax</w:t>
      </w:r>
      <w:r>
        <w:rPr>
          <w:rFonts w:ascii="Times New Roman" w:hAnsi="Times New Roman"/>
          <w:caps w:val="false"/>
          <w:smallCaps w:val="false"/>
          <w:sz w:val="20"/>
        </w:rPr>
        <w:t xml:space="preserve"> (“ASU No. 2023-09”), which enhances disclosures related to the effective tax rate reconciliation, income taxes paid, as well as other disclosures. The new standard impacts footnote disclosures and is effective for the Company’s annual financial statements for the year ending December 31, 2025. The Company is continuing to assess the impact adopting ASU No. 2023-09 will have on the footnote disclosures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No. 2024-03, </w:t>
      </w:r>
      <w:r>
        <w:rPr>
          <w:rFonts w:ascii="Times New Roman" w:hAnsi="Times New Roman"/>
          <w:i/>
          <w:caps w:val="false"/>
          <w:smallCaps w:val="false"/>
          <w:sz w:val="20"/>
        </w:rPr>
        <w:t>Income Statement (Subtopic 220-40): 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xml:space="preserve"> (“ASU No. 2024-03”),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continuing to assess the impact adopting ASU No. 2024-03 will have on the footnote disclosures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July 2025, the FASB issued ASU 2025-05,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 xml:space="preserve">Credit Losses (Topic 326): Measurement of Credit Losses for Accounts Receivable and Contract Assets </w:t>
      </w:r>
      <w:r>
        <w:rPr>
          <w:rFonts w:ascii="Times New Roman" w:hAnsi="Times New Roman"/>
          <w:caps w:val="false"/>
          <w:smallCaps w:val="false"/>
          <w:sz w:val="20"/>
        </w:rPr>
        <w:t>(“ASU 2025-05”), requiring election of a practical expedient when estimating expected credit losses for current accounts receivable and current contract assets. ASU 2025-05 is effective for annual reporting periods beginning after December 15, 2025, and interim reporting periods within those annual reporting periods. Early adoption is permitted in both interim and annual reporting periods. The Company is evaluating the impact that ASU 2025-05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215"/>
        <w:gridCol w:w="222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 </w:t>
            </w:r>
          </w:p>
        </w:tc>
        <w:tc>
          <w:tcPr>
            <w:tcW w:w="22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Basic earnings (loss) per share is computed by dividing net income (loss)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summarizes the calculation of basic and diluted net loss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6"/>
        <w:gridCol w:w="60"/>
        <w:gridCol w:w="210"/>
        <w:gridCol w:w="995"/>
        <w:gridCol w:w="134"/>
        <w:gridCol w:w="100"/>
        <w:gridCol w:w="210"/>
        <w:gridCol w:w="995"/>
        <w:gridCol w:w="80"/>
        <w:gridCol w:w="60"/>
        <w:gridCol w:w="191"/>
        <w:gridCol w:w="997"/>
        <w:gridCol w:w="122"/>
        <w:gridCol w:w="91"/>
        <w:gridCol w:w="191"/>
        <w:gridCol w:w="997"/>
        <w:gridCol w:w="86"/>
      </w:tblGrid>
      <w:tr>
        <w:trPr/>
        <w:tc>
          <w:tcPr>
            <w:tcW w:w="46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86"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4" w:type="dxa"/>
            <w:tcBorders>
              <w:bottom w:val="single" w:sz="2"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2"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8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44,556</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44,320</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43,499</w:t>
            </w:r>
          </w:p>
        </w:tc>
        <w:tc>
          <w:tcPr>
            <w:tcW w:w="86" w:type="dxa"/>
            <w:tcBorders/>
            <w:shd w:fill="FFFFFF" w:val="clear"/>
            <w:vAlign w:val="center"/>
          </w:tcPr>
          <w:p>
            <w:pPr>
              <w:pStyle w:val="TableContents"/>
              <w:bidi w:val="0"/>
              <w:spacing w:before="0" w:after="283"/>
              <w:jc w:val="left"/>
              <w:rPr/>
            </w:pPr>
            <w:r>
              <w:rPr/>
              <w:t> </w:t>
            </w:r>
          </w:p>
        </w:tc>
      </w:tr>
      <w:tr>
        <w:trPr/>
        <w:tc>
          <w:tcPr>
            <w:tcW w:w="468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equity awards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8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44,556</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44,320</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43,499</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68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excluded from diluted loss per share due to their anti-dilutive effect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represent a disaggregation of revenues from contracts with customers for the three and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type were as follows:</w:t>
      </w:r>
    </w:p>
    <w:p>
      <w:pPr>
        <w:pStyle w:val="TextBody"/>
        <w:bidi w:val="0"/>
        <w:spacing w:before="0" w:after="0"/>
        <w:ind w:left="0" w:right="0" w:hanging="0"/>
        <w:jc w:val="left"/>
        <w:rPr>
          <w:caps w:val="false"/>
          <w:smallCaps w:val="false"/>
        </w:rPr>
      </w:pPr>
      <w:r>
        <w:rPr>
          <w:caps w:val="false"/>
          <w:smallCaps w:val="false"/>
        </w:rPr>
        <w:t> </w:t>
      </w:r>
    </w:p>
    <w:tbl>
      <w:tblPr>
        <w:tblW w:w="10164" w:type="dxa"/>
        <w:jc w:val="left"/>
        <w:tblInd w:w="0" w:type="dxa"/>
        <w:tblLayout w:type="fixed"/>
        <w:tblCellMar>
          <w:top w:w="0" w:type="dxa"/>
          <w:left w:w="0" w:type="dxa"/>
          <w:bottom w:w="0" w:type="dxa"/>
          <w:right w:w="0" w:type="dxa"/>
        </w:tblCellMar>
      </w:tblPr>
      <w:tblGrid>
        <w:gridCol w:w="3980"/>
        <w:gridCol w:w="60"/>
        <w:gridCol w:w="244"/>
        <w:gridCol w:w="1155"/>
        <w:gridCol w:w="117"/>
        <w:gridCol w:w="117"/>
        <w:gridCol w:w="244"/>
        <w:gridCol w:w="1155"/>
        <w:gridCol w:w="60"/>
        <w:gridCol w:w="60"/>
        <w:gridCol w:w="235"/>
        <w:gridCol w:w="1109"/>
        <w:gridCol w:w="112"/>
        <w:gridCol w:w="112"/>
        <w:gridCol w:w="235"/>
        <w:gridCol w:w="1109"/>
        <w:gridCol w:w="6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Instruments, equipment, software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56,625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64,594</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6,190</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20,591</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62,815</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timing of recognition were as follows:</w:t>
      </w:r>
    </w:p>
    <w:p>
      <w:pPr>
        <w:pStyle w:val="TextBody"/>
        <w:bidi w:val="0"/>
        <w:spacing w:before="0" w:after="0"/>
        <w:ind w:left="0" w:right="0" w:hanging="0"/>
        <w:jc w:val="left"/>
        <w:rPr>
          <w:caps w:val="false"/>
          <w:smallCaps w:val="false"/>
        </w:rPr>
      </w:pPr>
      <w:r>
        <w:rPr>
          <w:caps w:val="false"/>
          <w:smallCaps w:val="false"/>
        </w:rPr>
        <w:t> </w:t>
      </w:r>
    </w:p>
    <w:tbl>
      <w:tblPr>
        <w:tblW w:w="10133" w:type="dxa"/>
        <w:jc w:val="left"/>
        <w:tblInd w:w="0" w:type="dxa"/>
        <w:tblLayout w:type="fixed"/>
        <w:tblCellMar>
          <w:top w:w="0" w:type="dxa"/>
          <w:left w:w="0" w:type="dxa"/>
          <w:bottom w:w="0" w:type="dxa"/>
          <w:right w:w="0" w:type="dxa"/>
        </w:tblCellMar>
      </w:tblPr>
      <w:tblGrid>
        <w:gridCol w:w="3905"/>
        <w:gridCol w:w="60"/>
        <w:gridCol w:w="244"/>
        <w:gridCol w:w="1155"/>
        <w:gridCol w:w="117"/>
        <w:gridCol w:w="117"/>
        <w:gridCol w:w="244"/>
        <w:gridCol w:w="1155"/>
        <w:gridCol w:w="60"/>
        <w:gridCol w:w="60"/>
        <w:gridCol w:w="238"/>
        <w:gridCol w:w="1126"/>
        <w:gridCol w:w="114"/>
        <w:gridCol w:w="114"/>
        <w:gridCol w:w="238"/>
        <w:gridCol w:w="1126"/>
        <w:gridCol w:w="6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at a point in time</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19,541</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59,755</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66,845</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over time</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20,591</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62,815</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geographic region were as follows:</w:t>
      </w:r>
    </w:p>
    <w:p>
      <w:pPr>
        <w:pStyle w:val="TextBody"/>
        <w:bidi w:val="0"/>
        <w:spacing w:before="0" w:after="0"/>
        <w:ind w:left="0" w:right="0" w:hanging="0"/>
        <w:jc w:val="left"/>
        <w:rPr>
          <w:caps w:val="false"/>
          <w:smallCaps w:val="false"/>
        </w:rPr>
      </w:pPr>
      <w:r>
        <w:rPr>
          <w:caps w:val="false"/>
          <w:smallCaps w:val="false"/>
        </w:rPr>
        <w:t> </w:t>
      </w:r>
    </w:p>
    <w:tbl>
      <w:tblPr>
        <w:tblW w:w="8754" w:type="dxa"/>
        <w:jc w:val="left"/>
        <w:tblInd w:w="0" w:type="dxa"/>
        <w:tblLayout w:type="fixed"/>
        <w:tblCellMar>
          <w:top w:w="0" w:type="dxa"/>
          <w:left w:w="0" w:type="dxa"/>
          <w:bottom w:w="0" w:type="dxa"/>
          <w:right w:w="0" w:type="dxa"/>
        </w:tblCellMar>
      </w:tblPr>
      <w:tblGrid>
        <w:gridCol w:w="2570"/>
        <w:gridCol w:w="60"/>
        <w:gridCol w:w="244"/>
        <w:gridCol w:w="1155"/>
        <w:gridCol w:w="117"/>
        <w:gridCol w:w="117"/>
        <w:gridCol w:w="244"/>
        <w:gridCol w:w="1155"/>
        <w:gridCol w:w="60"/>
        <w:gridCol w:w="60"/>
        <w:gridCol w:w="235"/>
        <w:gridCol w:w="1109"/>
        <w:gridCol w:w="112"/>
        <w:gridCol w:w="112"/>
        <w:gridCol w:w="235"/>
        <w:gridCol w:w="1109"/>
        <w:gridCol w:w="6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28,737</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31,495</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 - Other</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6,610</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19,842</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 Other</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20,591</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62,815</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details of contract liabilities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4490"/>
        <w:gridCol w:w="60"/>
        <w:gridCol w:w="249"/>
        <w:gridCol w:w="970"/>
        <w:gridCol w:w="60"/>
        <w:gridCol w:w="60"/>
        <w:gridCol w:w="240"/>
        <w:gridCol w:w="934"/>
        <w:gridCol w:w="60"/>
        <w:gridCol w:w="60"/>
        <w:gridCol w:w="159"/>
        <w:gridCol w:w="506"/>
        <w:gridCol w:w="80"/>
        <w:gridCol w:w="60"/>
        <w:gridCol w:w="146"/>
        <w:gridCol w:w="819"/>
        <w:gridCol w:w="18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Installation and training</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contract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Changes in the Company’s contract liabilities are primarily due to the timing of receipt of payments under service, maintenance and warranty contracts and lower sales volumes. Additionally, customer advances have decreased due to the recognition of amounts under the Company’s exchange program, which allows customers to purchase a replacement implantable monitor of the same model at a lower price than a new monitor if the customer returns an implantable monitor to the Company after use, and the returned monitor can be reprocessed and resold. During the three months ended September 30, 2025 and 2024, the Company recognized revenues of $0.4 million and $0.4 million from contract liabilities existing at December 31, 2024 and 2023, respectively. During the nine months ended September 30, 2025 and 2024, the Company recognized revenue of $3.2 million and $3.0 million from contract liabilities existing at December 31,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Company's remaining performance obligations from contracts that are recognized over time as of September 30, 2025:</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3620"/>
        <w:gridCol w:w="60"/>
        <w:gridCol w:w="125"/>
        <w:gridCol w:w="485"/>
        <w:gridCol w:w="60"/>
        <w:gridCol w:w="60"/>
        <w:gridCol w:w="125"/>
        <w:gridCol w:w="335"/>
        <w:gridCol w:w="60"/>
        <w:gridCol w:w="60"/>
        <w:gridCol w:w="154"/>
        <w:gridCol w:w="286"/>
        <w:gridCol w:w="60"/>
        <w:gridCol w:w="60"/>
        <w:gridCol w:w="154"/>
        <w:gridCol w:w="286"/>
        <w:gridCol w:w="60"/>
        <w:gridCol w:w="60"/>
        <w:gridCol w:w="220"/>
        <w:gridCol w:w="220"/>
        <w:gridCol w:w="60"/>
        <w:gridCol w:w="60"/>
        <w:gridCol w:w="570"/>
        <w:gridCol w:w="365"/>
        <w:gridCol w:w="60"/>
        <w:gridCol w:w="60"/>
        <w:gridCol w:w="125"/>
        <w:gridCol w:w="485"/>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55"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Performance Obligations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2029</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remainder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Provision for Expected Credit Losses on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Activity in the provision for expected credit losses on receivables was as follows: </w:t>
      </w:r>
    </w:p>
    <w:p>
      <w:pPr>
        <w:pStyle w:val="TextBody"/>
        <w:bidi w:val="0"/>
        <w:spacing w:before="0" w:after="0"/>
        <w:ind w:left="0" w:right="0" w:hanging="0"/>
        <w:jc w:val="left"/>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2885"/>
        <w:gridCol w:w="60"/>
        <w:gridCol w:w="343"/>
        <w:gridCol w:w="921"/>
        <w:gridCol w:w="220"/>
        <w:gridCol w:w="165"/>
        <w:gridCol w:w="343"/>
        <w:gridCol w:w="921"/>
        <w:gridCol w:w="6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20" w:type="dxa"/>
            <w:tcBorders>
              <w:bottom w:val="single" w:sz="2" w:space="0" w:color="000000"/>
            </w:tcBorders>
            <w:tcMar>
              <w:bottom w:w="28"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2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 and other</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2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 w:type="dxa"/>
            <w:tcBorders/>
            <w:shd w:fill="CCEEFF" w:val="cle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 xml:space="preserve">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 customer accounted for more than 10% of revenues for the three and nine months ended September 30, 2025 and 2024. At September 30, 2025 and December 31, 2024, no customer accounted for more than 10% of net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Activity in the product warranties accrual was as follows:</w:t>
      </w:r>
    </w:p>
    <w:p>
      <w:pPr>
        <w:pStyle w:val="TextBody"/>
        <w:bidi w:val="0"/>
        <w:spacing w:before="0" w:after="0"/>
        <w:ind w:left="0" w:right="0" w:hanging="0"/>
        <w:jc w:val="left"/>
        <w:rPr>
          <w:caps w:val="false"/>
          <w:smallCaps w:val="false"/>
        </w:rPr>
      </w:pPr>
      <w:r>
        <w:rPr>
          <w:caps w:val="false"/>
          <w:smallCaps w:val="false"/>
        </w:rPr>
        <w:t> </w:t>
      </w:r>
    </w:p>
    <w:tbl>
      <w:tblPr>
        <w:tblW w:w="5441" w:type="dxa"/>
        <w:jc w:val="left"/>
        <w:tblInd w:w="0" w:type="dxa"/>
        <w:tblLayout w:type="fixed"/>
        <w:tblCellMar>
          <w:top w:w="0" w:type="dxa"/>
          <w:left w:w="0" w:type="dxa"/>
          <w:bottom w:w="0" w:type="dxa"/>
          <w:right w:w="0" w:type="dxa"/>
        </w:tblCellMar>
      </w:tblPr>
      <w:tblGrid>
        <w:gridCol w:w="2390"/>
        <w:gridCol w:w="60"/>
        <w:gridCol w:w="308"/>
        <w:gridCol w:w="975"/>
        <w:gridCol w:w="197"/>
        <w:gridCol w:w="148"/>
        <w:gridCol w:w="308"/>
        <w:gridCol w:w="975"/>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9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warranties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claims</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 w:type="dxa"/>
            <w:tcBorders/>
            <w:shd w:fill="CCEEFF" w:val="clear"/>
            <w:vAlign w:val="center"/>
          </w:tcPr>
          <w:p>
            <w:pPr>
              <w:pStyle w:val="TableContents"/>
              <w:bidi w:val="0"/>
              <w:spacing w:before="0" w:after="283"/>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170"/>
        <w:gridCol w:w="27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7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Long-Lived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determined that a sustained decrease in its stock price that occurred during the three months ended March 31, 2025 indicated that the carrying values of its goodwill and other long-lived assets may not be recoverable. Additional factors that contributed to this conclusion are the Company’s recent operating results, liquidity risk and the current macroeconomic conditions impacting the life sciences industry. Based on this determination, the Company performed interim quantitative impairment tests on its goodwill and other long-lived assets as of March 31, 2025 and June 30, 2025, as well as a qualitative analysis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recoverability of assets or an asset group to be held and used is measured by a comparison of the carrying amount of an asset or asset group to estimated undiscounted future cash flows expected to be generated by the asset or the asset group. Based on its recoverability assessment, the Company determined that there was no impairment of its other long-lived assets as of March 31, 2025 and June 30, 2025. Based on its qualitative analysis the Company determined that there was no impairment of its other long-lived assets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For the purpose of its goodwill impairment analysis, the Company has one reporting unit. The Company estimated the fair value of the reporting unit using an income-based valuation approach by means of a discounted cash flow (“DCF”) model. Under this model, the fair value of the reporting unit is determined based on the present value of estimated future cash flows, discounted at a risk-adjusted rate of return. The Company used internal forecasts and strategic long-term plans to estimate future cash flows, including projections of revenue and EBITDA, capital expenditure and working capital requirements, terminal growth rates, statutory tax rates and a market-participant discount rate. The goodwill impairment analysis also includes a reconciliation of the aggregate estimated fair value of the reporting unit to the Company’s total market capitalization. Based on this quantitative impairment analysis as of March 31, 2025, the Company determined that the carrying value of the reporting unit exceeded its fair value by $48.0 million. Accordingly, the Company recorded such amount as a goodwill impairment charge for the three months ended March 31, 2025. Based on the quantitative impairment analysis performed as of June 30, 2025 and qualitative analysis performed as of September 30, 2025, an additional impairment charge was not required during the three months ended June 30, 2025, and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inputs and assumptions used in determining the fair value of the reporting unit are subjective and require management’s use of significant judgment. Certain future events and circumstances, including further deterioration of the Company’s stock price, operating results, and macroeconomic conditions, and a higher cost of capital, among others, could result in changes to these inputs and assumptions. A revision of these inputs and assumptions could cause the fair value of the reporting unit to fall further below its carrying value, resulting in additional impairment charges, which could have a material adverse effect on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change in the carrying amount of goodwill for the nine months ended September 30, 2025 was as follows:</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3260"/>
        <w:gridCol w:w="60"/>
        <w:gridCol w:w="125"/>
        <w:gridCol w:w="650"/>
        <w:gridCol w:w="80"/>
      </w:tblGrid>
      <w:tr>
        <w:trPr/>
        <w:tc>
          <w:tcPr>
            <w:tcW w:w="326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56,324</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Intangible assets, net at September 30, 2025 and December 31, 2024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3185"/>
        <w:gridCol w:w="60"/>
        <w:gridCol w:w="125"/>
        <w:gridCol w:w="590"/>
        <w:gridCol w:w="60"/>
        <w:gridCol w:w="60"/>
        <w:gridCol w:w="177"/>
        <w:gridCol w:w="923"/>
        <w:gridCol w:w="80"/>
        <w:gridCol w:w="60"/>
        <w:gridCol w:w="125"/>
        <w:gridCol w:w="485"/>
        <w:gridCol w:w="60"/>
        <w:gridCol w:w="60"/>
        <w:gridCol w:w="125"/>
        <w:gridCol w:w="590"/>
        <w:gridCol w:w="60"/>
        <w:gridCol w:w="60"/>
        <w:gridCol w:w="177"/>
        <w:gridCol w:w="923"/>
        <w:gridCol w:w="80"/>
        <w:gridCol w:w="60"/>
        <w:gridCol w:w="125"/>
        <w:gridCol w:w="590"/>
        <w:gridCol w:w="6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Amortizable intangible assets: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 and software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patents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amortizable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10,937</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Intangible asset amortization expense for the three and nine months ended September 30, 2025 and 2024 was as follows:</w:t>
      </w:r>
    </w:p>
    <w:p>
      <w:pPr>
        <w:pStyle w:val="TextBody"/>
        <w:bidi w:val="0"/>
        <w:spacing w:before="0" w:after="0"/>
        <w:ind w:left="0" w:right="0" w:hanging="0"/>
        <w:jc w:val="left"/>
        <w:rPr>
          <w:caps w:val="false"/>
          <w:smallCaps w:val="false"/>
        </w:rPr>
      </w:pPr>
      <w:r>
        <w:rPr>
          <w:caps w:val="false"/>
          <w:smallCaps w:val="false"/>
        </w:rPr>
        <w:t> </w:t>
      </w:r>
    </w:p>
    <w:tbl>
      <w:tblPr>
        <w:tblW w:w="9324" w:type="dxa"/>
        <w:jc w:val="left"/>
        <w:tblInd w:w="0" w:type="dxa"/>
        <w:tblLayout w:type="fixed"/>
        <w:tblCellMar>
          <w:top w:w="0" w:type="dxa"/>
          <w:left w:w="0" w:type="dxa"/>
          <w:bottom w:w="0" w:type="dxa"/>
          <w:right w:w="0" w:type="dxa"/>
        </w:tblCellMar>
      </w:tblPr>
      <w:tblGrid>
        <w:gridCol w:w="3140"/>
        <w:gridCol w:w="60"/>
        <w:gridCol w:w="318"/>
        <w:gridCol w:w="854"/>
        <w:gridCol w:w="153"/>
        <w:gridCol w:w="153"/>
        <w:gridCol w:w="318"/>
        <w:gridCol w:w="1236"/>
        <w:gridCol w:w="60"/>
        <w:gridCol w:w="60"/>
        <w:gridCol w:w="271"/>
        <w:gridCol w:w="1055"/>
        <w:gridCol w:w="130"/>
        <w:gridCol w:w="130"/>
        <w:gridCol w:w="271"/>
        <w:gridCol w:w="1055"/>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3" w:type="dxa"/>
            <w:tcBorders>
              <w:bottom w:val="single" w:sz="2" w:space="0" w:color="000000"/>
            </w:tcBorders>
            <w:tcMar>
              <w:bottom w:w="28"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5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1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September 30, 2025, estimated future amortization expense of amortizable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2015"/>
        <w:gridCol w:w="60"/>
        <w:gridCol w:w="125"/>
        <w:gridCol w:w="485"/>
        <w:gridCol w:w="60"/>
      </w:tblGrid>
      <w:tr>
        <w:trPr/>
        <w:tc>
          <w:tcPr>
            <w:tcW w:w="201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(remainder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22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provide details of selected balance sheet items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4004" w:type="dxa"/>
        <w:jc w:val="left"/>
        <w:tblInd w:w="0" w:type="dxa"/>
        <w:tblLayout w:type="fixed"/>
        <w:tblCellMar>
          <w:top w:w="0" w:type="dxa"/>
          <w:left w:w="0" w:type="dxa"/>
          <w:bottom w:w="0" w:type="dxa"/>
          <w:right w:w="0" w:type="dxa"/>
        </w:tblCellMar>
      </w:tblPr>
      <w:tblGrid>
        <w:gridCol w:w="1325"/>
        <w:gridCol w:w="60"/>
        <w:gridCol w:w="220"/>
        <w:gridCol w:w="1045"/>
        <w:gridCol w:w="60"/>
        <w:gridCol w:w="60"/>
        <w:gridCol w:w="204"/>
        <w:gridCol w:w="970"/>
        <w:gridCol w:w="60"/>
      </w:tblGrid>
      <w:tr>
        <w:trPr/>
        <w:tc>
          <w:tcPr>
            <w:tcW w:w="1325" w:type="dxa"/>
            <w:tcBorders/>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5,222</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6269" w:type="dxa"/>
        <w:jc w:val="left"/>
        <w:tblInd w:w="0" w:type="dxa"/>
        <w:tblLayout w:type="fixed"/>
        <w:tblCellMar>
          <w:top w:w="0" w:type="dxa"/>
          <w:left w:w="0" w:type="dxa"/>
          <w:bottom w:w="0" w:type="dxa"/>
          <w:right w:w="0" w:type="dxa"/>
        </w:tblCellMar>
      </w:tblPr>
      <w:tblGrid>
        <w:gridCol w:w="3590"/>
        <w:gridCol w:w="60"/>
        <w:gridCol w:w="220"/>
        <w:gridCol w:w="1045"/>
        <w:gridCol w:w="60"/>
        <w:gridCol w:w="60"/>
        <w:gridCol w:w="240"/>
        <w:gridCol w:w="934"/>
        <w:gridCol w:w="60"/>
      </w:tblGrid>
      <w:tr>
        <w:trPr/>
        <w:tc>
          <w:tcPr>
            <w:tcW w:w="3590" w:type="dxa"/>
            <w:tcBorders/>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Current Liabilities:</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credits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funds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costs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The Coronavirus Aid, Relief, and Economic Security Act of 2020 (the “CARES Act”) provided an employee retention tax credit (“ERTC”)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applying the principles of International Accounting Standards Topic 20,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(“IAS 20”). Under IAS 20, government grants are recognized when there is reasonable assurance that the grant will be received and that all conditions related to the grant will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received ERTC refunds of $2.2 million and $3.2 million during the nine months ended September 30, 2025 and 2024, respectively. The Company has included the refunds received in other current liabilities in the consolidated balance sheets as of September 30, 2025 and 2024, subject to a determination that the refunds are recognizable.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engaged a professional services firm under a commission fee arrangement to assist with determining the Company’s eligibility to claim the ERTC refunds and accumulating the necessary support that was used as a basis in the filing. The Company paid fees of $0.3 million and $0.5 million during the nine months September 30, 2025 and 2024, respectively, for these services, which are included in other operating expenses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w:t>
            </w:r>
          </w:p>
        </w:tc>
        <w:tc>
          <w:tcPr>
            <w:tcW w:w="24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Marketable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2024, the Company sold all of its remaining HRGN shares. The Company received cash proceeds of $1.4 million and $1.9 million from HRGN shares sold during the three and nine months ended September 30, 2024, respectively. The Company recorded losses on equity securities of $0.3 million and $1.6 million during the three and nine months ended September 30, 2024, respectively. The Company determined the fair value of its HRGN common stock based on the closing price as quoted on the OTCQB Marketplace at the reporting date. The Company did not hold any shares of HRGN stock during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5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has noncancelable operating leases for offices, manufacturing facilities, warehouse space, automobiles and equipment expiring at various dates through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three and nine months ended September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7924" w:type="dxa"/>
        <w:jc w:val="left"/>
        <w:tblInd w:w="0" w:type="dxa"/>
        <w:tblLayout w:type="fixed"/>
        <w:tblCellMar>
          <w:top w:w="0" w:type="dxa"/>
          <w:left w:w="0" w:type="dxa"/>
          <w:bottom w:w="0" w:type="dxa"/>
          <w:right w:w="0" w:type="dxa"/>
        </w:tblCellMar>
      </w:tblPr>
      <w:tblGrid>
        <w:gridCol w:w="1700"/>
        <w:gridCol w:w="60"/>
        <w:gridCol w:w="364"/>
        <w:gridCol w:w="977"/>
        <w:gridCol w:w="175"/>
        <w:gridCol w:w="175"/>
        <w:gridCol w:w="364"/>
        <w:gridCol w:w="977"/>
        <w:gridCol w:w="80"/>
        <w:gridCol w:w="60"/>
        <w:gridCol w:w="271"/>
        <w:gridCol w:w="1055"/>
        <w:gridCol w:w="130"/>
        <w:gridCol w:w="130"/>
        <w:gridCol w:w="271"/>
        <w:gridCol w:w="1055"/>
        <w:gridCol w:w="8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75" w:type="dxa"/>
            <w:tcBorders>
              <w:bottom w:val="single" w:sz="2" w:space="0" w:color="000000"/>
            </w:tcBorders>
            <w:tcMar>
              <w:bottom w:w="28" w:type="dxa"/>
            </w:tcMar>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ind w:left="0" w:right="0" w:hanging="0"/>
              <w:jc w:val="left"/>
              <w:rPr/>
            </w:pPr>
            <w:r>
              <w:rPr/>
              <w:t> </w:t>
            </w:r>
          </w:p>
        </w:tc>
        <w:tc>
          <w:tcPr>
            <w:tcW w:w="13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w:t>
            </w:r>
          </w:p>
        </w:tc>
        <w:tc>
          <w:tcPr>
            <w:tcW w:w="8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Supplemental cash flow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8783" w:type="dxa"/>
        <w:jc w:val="left"/>
        <w:tblInd w:w="0" w:type="dxa"/>
        <w:tblLayout w:type="fixed"/>
        <w:tblCellMar>
          <w:top w:w="0" w:type="dxa"/>
          <w:left w:w="0" w:type="dxa"/>
          <w:bottom w:w="0" w:type="dxa"/>
          <w:right w:w="0" w:type="dxa"/>
        </w:tblCellMar>
      </w:tblPr>
      <w:tblGrid>
        <w:gridCol w:w="5705"/>
        <w:gridCol w:w="60"/>
        <w:gridCol w:w="276"/>
        <w:gridCol w:w="1071"/>
        <w:gridCol w:w="132"/>
        <w:gridCol w:w="132"/>
        <w:gridCol w:w="276"/>
        <w:gridCol w:w="1071"/>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2" w:type="dxa"/>
            <w:tcBorders>
              <w:bottom w:val="single" w:sz="2" w:space="0" w:color="000000"/>
            </w:tcBorders>
            <w:tcMar>
              <w:bottom w:w="28" w:type="dxa"/>
            </w:tcMar>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ind w:left="0" w:right="0" w:hanging="0"/>
              <w:jc w:val="left"/>
              <w:rPr/>
            </w:pPr>
            <w:r>
              <w:rPr/>
              <w:t> </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6683" w:type="dxa"/>
        <w:jc w:val="left"/>
        <w:tblInd w:w="0" w:type="dxa"/>
        <w:tblLayout w:type="fixed"/>
        <w:tblCellMar>
          <w:top w:w="0" w:type="dxa"/>
          <w:left w:w="0" w:type="dxa"/>
          <w:bottom w:w="0" w:type="dxa"/>
          <w:right w:w="0" w:type="dxa"/>
        </w:tblCellMar>
      </w:tblPr>
      <w:tblGrid>
        <w:gridCol w:w="3800"/>
        <w:gridCol w:w="60"/>
        <w:gridCol w:w="249"/>
        <w:gridCol w:w="970"/>
        <w:gridCol w:w="185"/>
        <w:gridCol w:w="60"/>
        <w:gridCol w:w="240"/>
        <w:gridCol w:w="934"/>
        <w:gridCol w:w="18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Future minimum lease payments for operating leases, with initial terms in excess of one year at September 30, 2025, are as follows:</w:t>
      </w:r>
    </w:p>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28" w:type="dxa"/>
          <w:right w:w="0" w:type="dxa"/>
        </w:tblCellMar>
      </w:tblPr>
      <w:tblGrid>
        <w:gridCol w:w="2555"/>
        <w:gridCol w:w="60"/>
        <w:gridCol w:w="125"/>
        <w:gridCol w:w="590"/>
        <w:gridCol w:w="80"/>
      </w:tblGrid>
      <w:tr>
        <w:trPr/>
        <w:tc>
          <w:tcPr>
            <w:tcW w:w="2555" w:type="dxa"/>
            <w:tcBorders>
              <w:bottom w:val="single" w:sz="2" w:space="0" w:color="000000"/>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Ending December 31,</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(remainder of the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8,818</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4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Company’s debt, which was included within current liabilities as of September 30, 2025 and December 31, 2024, was as follows:</w:t>
      </w:r>
    </w:p>
    <w:p>
      <w:pPr>
        <w:pStyle w:val="TextBody"/>
        <w:bidi w:val="0"/>
        <w:spacing w:before="0" w:after="0"/>
        <w:ind w:left="0" w:right="0" w:hanging="0"/>
        <w:jc w:val="left"/>
        <w:rPr>
          <w:caps w:val="false"/>
          <w:smallCaps w:val="false"/>
        </w:rPr>
      </w:pPr>
      <w:r>
        <w:rPr>
          <w:caps w:val="false"/>
          <w:smallCaps w:val="false"/>
        </w:rPr>
        <w:t> </w:t>
      </w:r>
    </w:p>
    <w:tbl>
      <w:tblPr>
        <w:tblW w:w="7088" w:type="dxa"/>
        <w:jc w:val="left"/>
        <w:tblInd w:w="0" w:type="dxa"/>
        <w:tblLayout w:type="fixed"/>
        <w:tblCellMar>
          <w:top w:w="0" w:type="dxa"/>
          <w:left w:w="0" w:type="dxa"/>
          <w:bottom w:w="0" w:type="dxa"/>
          <w:right w:w="0" w:type="dxa"/>
        </w:tblCellMar>
      </w:tblPr>
      <w:tblGrid>
        <w:gridCol w:w="3485"/>
        <w:gridCol w:w="60"/>
        <w:gridCol w:w="293"/>
        <w:gridCol w:w="1391"/>
        <w:gridCol w:w="80"/>
        <w:gridCol w:w="60"/>
        <w:gridCol w:w="284"/>
        <w:gridCol w:w="1355"/>
        <w:gridCol w:w="80"/>
      </w:tblGrid>
      <w:tr>
        <w:trPr/>
        <w:tc>
          <w:tcPr>
            <w:tcW w:w="348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24,700</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line</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13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deferred financing costs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maintains a Credit Agreement with Citizens Bank, N.A., Wells Fargo Bank, N.A., and First-Citizens Bank &amp; Trust Company (the “Lenders”). The Credit Agreement originally provided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are secured by substantially all of its assets, including all or a portion of the equity interests in certain of the Company’s domestic and foreign subsidiaries. The Company’s obligations under the Credit Agreement are guaranteed by certain of the Company’s direct, domestic wholly owned subsidiaries; none of the Company’s direct or indirect foreign subsidiaries has guaranteed the Company’s obligations under the Credit Agreement. Issuance costs of $2.0 million are amortized over the contractual term to maturity date on a straight-line basis, which approximates the effective interest method. Total revolver borrowing capacity is limited by the consolidated net leverage ratio as defined under the amended Credit Agreement. As of the date of these financial statements, the Company was unable to make additional borrowings under its revolving credit facility due to net leverage ratio requirements set forth in the August 6, 2024 amendment to the Credit Agreement and the terms of the March 10, 2025 amendment to the Credit Agreement (the “March 2025 Amendment”),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Borrowings under the Credit Facility, at the option of the Company, bear interest at either (i) a rate per annum based on the Secured Overnight Financing Rate (“SOFR”) for an interest period of one, two, three or six months, plus an applicable interest rate margin determined as provided in the Credit Agreement (a “SOFR Loan”), subject to a floor of 0.50%, or (ii) an alternative base rate plus an applicable interest rate margin, each as determined as provided in the Credit Agreement. The alternative base rate is based on the Citizens Bank prime rate or the federal funds effective rate of the Federal Reserve Bank of New York and is subject to a floor of 1.0%. Pursuant to the March 2025 Amendment, the applicable interest rate margin was increased such that interest rate was equal to a rate per annum based on the SOFR plus 400 bps effective as of March 10, 2025. There are no prepayment penalties in the event the Company elects to prepay and terminate the Credit Facility prior to its scheduled maturity date, subject to SOFR Loan breakage and redeployment costs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effective interest rate on the Company’s borrowings for the three months ended September 30, 2025 and 2024, was 11.0% and 8.7%, respectively, and for the nine months ended September 30, 2025 and 2024 was 9.4% and 8.1%, respectively. The weighted average interest rate as of September 30, 2025, net of the effect of the Company’s interest rate swap agreement, was 10.0%. The carrying value of the debt approximates fair value because the interest rate under the obligation approximates market rates of interest available to the Company for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term loan required quarterly installment payments of $1.0 million with a balloon payment at maturity on December 22, 2025. Pursuant to the March 2025 Amendment, amortization payments were revised so that a proportionate payment must be made on a monthly rather than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Credit Agreement includes various customary financial covenants and other affirmative and negative covenants binding on the Company. The negative covenants limit the ability of the Company, among other things, to incur debt, permit liens, make investments, sell assets, or pay dividends on its capital stock. The financial covenants include a maximum consolidated net leverage ratio and a minimum consolidated fixed charge coverage ratio. The Credit Agreement also includes customary events of default.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March 2025 Amendment provided, among other things, that the Lenders’ commitment under the revolving credit facility would be capped at $12.65 million, which was the amount outstanding thereunder as of the date thereof, and thus we are unable to make additional borrowings under our revolving credit facility. The March 2025 Amendment also established certain Refinancing Milestones in connection with the Refinancing, including, by June 30, 2025, the closing of the Refinancing. The Lenders also agreed not to assert any breaches of the financial covenants included in the Credit Agreement for the first quarter of 2025 provided that the Company continued to comply with its payment obligations, achieved the Refinancing Milestones, maintained minimum liquidity (defined as the sum of (a) unrestricted cash and cash equivalents and (b) the amount by which the aggregate amount committed under the Company’s revolving credit facility exceeds the total amount drawn under the credit facility) of $3.5 million and provided the administrative agent with certain financial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 Company was not in compliance with the Refinancing Milestones and quarterly financial covenants included in the March 2025 Amendment. On August 8, 2025, the Company entered into the August 2025 Amendment, pursuant to which the Lenders and administrative agent agreed, subject to the terms contained in the August 2025 Amendment, to waive the events of default due to the Company’s failure to achieve certain Refinancing Milestones and its failure to comply with the consolidated net leverage ratio covenant and the consolidated fixed charge coverage ratio covenant as of the June 30, 2025 test date. Pursuant to the terms of the August 2025 Amendment, the Lenders also agreed not to test the net leverage ratio financial covenant and the consolidated fixed charge coverage ratio financial covenant for the fiscal quarter ended September 30, 2025, and to reduce the Company’s covenant to maintain minimum liquidity (defined as the sum of (a) unrestricted cash and (b) the amount by which the aggregate amount committed under the Company’s revolving credit facility exceeds the total amount drawn under the credit facility) of $3.0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August 2025 Amendment also added, as a mandatory prepayment event, the receipt of cash proceeds upon a Refinancing or upon the sale of the equity interests or all or substantially all of the assets of the Company. In addition, pursuant to the terms of the August 2025 Amendment, the applicable interest rate margin was increased such that the interest rate is equal to a rate per annum based on the SOFR plus 700 bps. In connection with the August 2025 Amendment, the Company has agreed to accomplish steps towards the Refinancing or repayment of the Credit Agreement by no later than December 5, 2025. The Company continues to make progress on these steps, and is working actively to reach a definitive agreement that will accomplish one of these outcomes. The failure to accomplish such steps on the agreed timeline shall constitute an event of default under the Credit Agreement.</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agreed to pay fees of $0.4 million, or 1.00% of the outstanding debt, to the Lenders in connection with the August 2025 Amendment, of which 25% was paid upon the signing of the August 2025 Amendment and the remaining 75% will be payable upon a Refinancing or repayment of the Credit Agreement or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170"/>
        <w:gridCol w:w="9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9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February 2023, the Company entered into an interest rate swap contract to improve the predictability of cash flows from interest payments related to its variable, SOFR-based debt. The swap contract had a notional amount of $17.6 million as of September 30, 2025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8,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presents the notional amount and fair value of the Company’s derivative instruments as of September 30, 2025 and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5"/>
        <w:gridCol w:w="60"/>
        <w:gridCol w:w="2336"/>
        <w:gridCol w:w="60"/>
        <w:gridCol w:w="252"/>
        <w:gridCol w:w="1186"/>
        <w:gridCol w:w="79"/>
        <w:gridCol w:w="79"/>
        <w:gridCol w:w="352"/>
        <w:gridCol w:w="818"/>
        <w:gridCol w:w="80"/>
        <w:gridCol w:w="60"/>
        <w:gridCol w:w="252"/>
        <w:gridCol w:w="1186"/>
        <w:gridCol w:w="77"/>
        <w:gridCol w:w="77"/>
        <w:gridCol w:w="353"/>
        <w:gridCol w:w="817"/>
        <w:gridCol w:w="86"/>
      </w:tblGrid>
      <w:tr>
        <w:trPr/>
        <w:tc>
          <w:tcPr>
            <w:tcW w:w="4391" w:type="dxa"/>
            <w:gridSpan w:val="3"/>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27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Instruments</w:t>
            </w:r>
          </w:p>
        </w:tc>
        <w:tc>
          <w:tcPr>
            <w:tcW w:w="60" w:type="dxa"/>
            <w:tcBorders/>
            <w:vAlign w:val="center"/>
          </w:tcPr>
          <w:p>
            <w:pPr>
              <w:pStyle w:val="TableContents"/>
              <w:bidi w:val="0"/>
              <w:spacing w:before="0" w:after="283"/>
              <w:ind w:left="0" w:right="0" w:hanging="0"/>
              <w:jc w:val="center"/>
              <w:rPr/>
            </w:pPr>
            <w:r>
              <w:rPr/>
              <w:t> </w:t>
            </w:r>
          </w:p>
        </w:tc>
        <w:tc>
          <w:tcPr>
            <w:tcW w:w="2336" w:type="dxa"/>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Classification</w:t>
            </w:r>
          </w:p>
        </w:tc>
        <w:tc>
          <w:tcPr>
            <w:tcW w:w="60" w:type="dxa"/>
            <w:tcBorders/>
            <w:vAlign w:val="center"/>
          </w:tcPr>
          <w:p>
            <w:pPr>
              <w:pStyle w:val="TableContents"/>
              <w:bidi w:val="0"/>
              <w:spacing w:before="0" w:after="283"/>
              <w:ind w:left="0" w:right="0" w:hanging="0"/>
              <w:jc w:val="left"/>
              <w:rPr/>
            </w:pPr>
            <w:r>
              <w:rPr/>
              <w:t> </w:t>
            </w:r>
          </w:p>
        </w:tc>
        <w:tc>
          <w:tcPr>
            <w:tcW w:w="14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 Amount</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 Amount</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center"/>
              <w:rPr/>
            </w:pPr>
            <w:r>
              <w:rPr/>
              <w:t> </w:t>
            </w:r>
          </w:p>
        </w:tc>
        <w:tc>
          <w:tcPr>
            <w:tcW w:w="2336" w:type="dxa"/>
            <w:tcBorders/>
            <w:shd w:fill="CCEEFF" w:val="clear"/>
            <w:vAlign w:val="center"/>
          </w:tcPr>
          <w:p>
            <w:pPr>
              <w:pStyle w:val="TableContents"/>
              <w:bidi w:val="0"/>
              <w:spacing w:before="0" w:after="0"/>
              <w:ind w:left="180" w:right="0" w:hanging="1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3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See Note 10 for the fair value measurements related to these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effect of the cash flow hedge on other comprehensive income (loss) and earnings for the periods presented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1"/>
        <w:gridCol w:w="60"/>
        <w:gridCol w:w="313"/>
        <w:gridCol w:w="718"/>
        <w:gridCol w:w="197"/>
        <w:gridCol w:w="148"/>
        <w:gridCol w:w="309"/>
        <w:gridCol w:w="979"/>
        <w:gridCol w:w="80"/>
        <w:gridCol w:w="60"/>
        <w:gridCol w:w="365"/>
        <w:gridCol w:w="837"/>
        <w:gridCol w:w="230"/>
        <w:gridCol w:w="172"/>
        <w:gridCol w:w="361"/>
        <w:gridCol w:w="968"/>
        <w:gridCol w:w="87"/>
      </w:tblGrid>
      <w:tr>
        <w:trPr/>
        <w:tc>
          <w:tcPr>
            <w:tcW w:w="4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2025</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1" w:type="dxa"/>
            <w:tcBorders>
              <w:bottom w:val="single" w:sz="2" w:space="0" w:color="000000"/>
            </w:tcBorders>
            <w:tcMar>
              <w:bottom w:w="28"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Derivatives Qualifying as Hedges, net of tax </w:t>
            </w: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c>
          <w:tcPr>
            <w:tcW w:w="13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recognized in OCI on derivatives (effective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9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3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3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AOCI to interest expense</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2"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2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present the fair value hierarchy for those assets and liabilities measured at fair value on a recurring basis: </w:t>
      </w:r>
    </w:p>
    <w:p>
      <w:pPr>
        <w:pStyle w:val="TextBody"/>
        <w:bidi w:val="0"/>
        <w:spacing w:before="0" w:after="0"/>
        <w:ind w:left="0" w:right="0" w:hanging="0"/>
        <w:jc w:val="left"/>
        <w:rPr>
          <w:caps w:val="false"/>
          <w:smallCaps w:val="false"/>
        </w:rPr>
      </w:pPr>
      <w:r>
        <w:rPr>
          <w:caps w:val="false"/>
          <w:smallCaps w:val="false"/>
        </w:rPr>
        <w:t> </w:t>
      </w:r>
    </w:p>
    <w:tbl>
      <w:tblPr>
        <w:tblW w:w="6501" w:type="dxa"/>
        <w:jc w:val="left"/>
        <w:tblInd w:w="0" w:type="dxa"/>
        <w:tblLayout w:type="fixed"/>
        <w:tblCellMar>
          <w:top w:w="0" w:type="dxa"/>
          <w:left w:w="0" w:type="dxa"/>
          <w:bottom w:w="0" w:type="dxa"/>
          <w:right w:w="0" w:type="dxa"/>
        </w:tblCellMar>
      </w:tblPr>
      <w:tblGrid>
        <w:gridCol w:w="2765"/>
        <w:gridCol w:w="60"/>
        <w:gridCol w:w="395"/>
        <w:gridCol w:w="254"/>
        <w:gridCol w:w="114"/>
        <w:gridCol w:w="114"/>
        <w:gridCol w:w="237"/>
        <w:gridCol w:w="551"/>
        <w:gridCol w:w="152"/>
        <w:gridCol w:w="114"/>
        <w:gridCol w:w="395"/>
        <w:gridCol w:w="254"/>
        <w:gridCol w:w="114"/>
        <w:gridCol w:w="114"/>
        <w:gridCol w:w="237"/>
        <w:gridCol w:w="551"/>
        <w:gridCol w:w="8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9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as of September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Assets (Liabilities) </w:t>
            </w: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52"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6001" w:type="dxa"/>
        <w:jc w:val="left"/>
        <w:tblInd w:w="0" w:type="dxa"/>
        <w:tblLayout w:type="fixed"/>
        <w:tblCellMar>
          <w:top w:w="0" w:type="dxa"/>
          <w:left w:w="0" w:type="dxa"/>
          <w:bottom w:w="0" w:type="dxa"/>
          <w:right w:w="0" w:type="dxa"/>
        </w:tblCellMar>
      </w:tblPr>
      <w:tblGrid>
        <w:gridCol w:w="2300"/>
        <w:gridCol w:w="60"/>
        <w:gridCol w:w="395"/>
        <w:gridCol w:w="254"/>
        <w:gridCol w:w="112"/>
        <w:gridCol w:w="112"/>
        <w:gridCol w:w="234"/>
        <w:gridCol w:w="543"/>
        <w:gridCol w:w="149"/>
        <w:gridCol w:w="112"/>
        <w:gridCol w:w="395"/>
        <w:gridCol w:w="254"/>
        <w:gridCol w:w="112"/>
        <w:gridCol w:w="112"/>
        <w:gridCol w:w="234"/>
        <w:gridCol w:w="543"/>
        <w:gridCol w:w="80"/>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6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as of December 31, 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49"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uses the market approach technique to value its financial liabilities. The fair value of the Company’s interest rate swap agreement was based on SOFR yield curves at the reporting date and is included within other current liabilities on the consolidated balance sheets at both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2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three and nine months ended September 30, 2025 and 2024 was allocated as follows:</w:t>
      </w:r>
    </w:p>
    <w:p>
      <w:pPr>
        <w:pStyle w:val="TextBody"/>
        <w:bidi w:val="0"/>
        <w:spacing w:before="0" w:after="0"/>
        <w:ind w:left="0" w:right="0" w:hanging="0"/>
        <w:jc w:val="left"/>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2990"/>
        <w:gridCol w:w="60"/>
        <w:gridCol w:w="318"/>
        <w:gridCol w:w="854"/>
        <w:gridCol w:w="153"/>
        <w:gridCol w:w="153"/>
        <w:gridCol w:w="318"/>
        <w:gridCol w:w="1236"/>
        <w:gridCol w:w="80"/>
        <w:gridCol w:w="60"/>
        <w:gridCol w:w="271"/>
        <w:gridCol w:w="1055"/>
        <w:gridCol w:w="130"/>
        <w:gridCol w:w="130"/>
        <w:gridCol w:w="271"/>
        <w:gridCol w:w="1055"/>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3" w:type="dxa"/>
            <w:tcBorders>
              <w:bottom w:val="single" w:sz="2" w:space="0" w:color="000000"/>
            </w:tcBorders>
            <w:tcMar>
              <w:bottom w:w="28"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5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2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September 30, 2025, the total compensation costs related to unvested awards not yet recognized was $1.8 million and the weighted average period over which such costs are expected to be recognized is approximately 1.7 years. The Company did not capitalize any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Restricted stock unit (“RSU”) activity for the nine months ended September 30, 2025 was as follows:</w:t>
      </w:r>
    </w:p>
    <w:p>
      <w:pPr>
        <w:pStyle w:val="TextBody"/>
        <w:bidi w:val="0"/>
        <w:spacing w:before="0" w:after="0"/>
        <w:ind w:left="0" w:right="0" w:hanging="0"/>
        <w:jc w:val="left"/>
        <w:rPr>
          <w:caps w:val="false"/>
          <w:smallCaps w:val="false"/>
        </w:rPr>
      </w:pPr>
      <w:r>
        <w:rPr>
          <w:caps w:val="false"/>
          <w:smallCaps w:val="false"/>
        </w:rPr>
        <w:t> </w:t>
      </w:r>
    </w:p>
    <w:tbl>
      <w:tblPr>
        <w:tblW w:w="9405" w:type="dxa"/>
        <w:jc w:val="left"/>
        <w:tblInd w:w="0" w:type="dxa"/>
        <w:tblLayout w:type="fixed"/>
        <w:tblCellMar>
          <w:top w:w="0" w:type="dxa"/>
          <w:left w:w="0" w:type="dxa"/>
          <w:bottom w:w="0" w:type="dxa"/>
          <w:right w:w="0" w:type="dxa"/>
        </w:tblCellMar>
      </w:tblPr>
      <w:tblGrid>
        <w:gridCol w:w="2540"/>
        <w:gridCol w:w="60"/>
        <w:gridCol w:w="68"/>
        <w:gridCol w:w="972"/>
        <w:gridCol w:w="80"/>
        <w:gridCol w:w="60"/>
        <w:gridCol w:w="238"/>
        <w:gridCol w:w="726"/>
        <w:gridCol w:w="60"/>
        <w:gridCol w:w="60"/>
        <w:gridCol w:w="70"/>
        <w:gridCol w:w="894"/>
        <w:gridCol w:w="80"/>
        <w:gridCol w:w="60"/>
        <w:gridCol w:w="238"/>
        <w:gridCol w:w="726"/>
        <w:gridCol w:w="60"/>
        <w:gridCol w:w="60"/>
        <w:gridCol w:w="87"/>
        <w:gridCol w:w="1102"/>
        <w:gridCol w:w="80"/>
        <w:gridCol w:w="60"/>
        <w:gridCol w:w="238"/>
        <w:gridCol w:w="726"/>
        <w:gridCol w:w="6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Time-Based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1,711,172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aggregate fair value of RSUs that vested during the nine months ended September 30, 2025, and 2024 was $0.3 million and $0.5 million, respectively. Unvested shares related to market-based and performance-based vesting conditions are reflected at 100% of their target vesting amount in the table above. Actual vesting could range from zero to 150% of their target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weighted average estimated fair value of the market condition restricted stock awards that were granted during the nine months ended September 30, 2025 was $0.67 per unit. The estimate of the fair value was determined using a Monte-Carlo valuation simulation, which included the following assumptions:</w:t>
      </w:r>
    </w:p>
    <w:p>
      <w:pPr>
        <w:pStyle w:val="TextBody"/>
        <w:bidi w:val="0"/>
        <w:spacing w:before="0" w:after="0"/>
        <w:ind w:left="0" w:right="0" w:hanging="0"/>
        <w:jc w:val="left"/>
        <w:rPr>
          <w:caps w:val="false"/>
          <w:smallCaps w:val="false"/>
        </w:rPr>
      </w:pPr>
      <w:r>
        <w:rPr>
          <w:caps w:val="false"/>
          <w:smallCaps w:val="false"/>
        </w:rPr>
        <w:t> </w:t>
      </w:r>
    </w:p>
    <w:tbl>
      <w:tblPr>
        <w:tblW w:w="2550" w:type="dxa"/>
        <w:jc w:val="left"/>
        <w:tblInd w:w="0" w:type="dxa"/>
        <w:tblLayout w:type="fixed"/>
        <w:tblCellMar>
          <w:top w:w="0" w:type="dxa"/>
          <w:left w:w="0" w:type="dxa"/>
          <w:bottom w:w="0" w:type="dxa"/>
          <w:right w:w="0" w:type="dxa"/>
        </w:tblCellMar>
      </w:tblPr>
      <w:tblGrid>
        <w:gridCol w:w="1865"/>
        <w:gridCol w:w="60"/>
        <w:gridCol w:w="60"/>
        <w:gridCol w:w="380"/>
        <w:gridCol w:w="185"/>
      </w:tblGrid>
      <w:tr>
        <w:trPr/>
        <w:tc>
          <w:tcPr>
            <w:tcW w:w="18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Correlation coefficient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Stock option activity for the nine months ended September 30, 2025 was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92"/>
        <w:gridCol w:w="60"/>
        <w:gridCol w:w="82"/>
        <w:gridCol w:w="1034"/>
        <w:gridCol w:w="80"/>
        <w:gridCol w:w="60"/>
        <w:gridCol w:w="515"/>
        <w:gridCol w:w="1569"/>
        <w:gridCol w:w="60"/>
        <w:gridCol w:w="60"/>
        <w:gridCol w:w="458"/>
        <w:gridCol w:w="2107"/>
        <w:gridCol w:w="60"/>
        <w:gridCol w:w="60"/>
        <w:gridCol w:w="1123"/>
        <w:gridCol w:w="721"/>
        <w:gridCol w:w="64"/>
      </w:tblGrid>
      <w:tr>
        <w:trPr/>
        <w:tc>
          <w:tcPr>
            <w:tcW w:w="20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Remaining Contractual Term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Intrinsic Value (in thousands)</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9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December 31, 2024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209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(660,755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0"/>
              <w:jc w:val="left"/>
              <w:rPr/>
            </w:pPr>
            <w:r>
              <w:rPr/>
              <w:t> </w:t>
            </w:r>
          </w:p>
        </w:tc>
        <w:tc>
          <w:tcPr>
            <w:tcW w:w="15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2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09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September 30, 2025</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is no aggregate intrinsic value at September 30, 2025 because the Company’s closing stock price of $0.44 is below the exercise price of the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10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Income tax expense (benefit) was $0.1 million and $0.3 million for the three months ended September 30, 2025 and 2024, respectively, and was ($0.3) million and $0.2 million for the nine months ended September 30, 2025 and 2024, respectively. The Company’s effective tax rate of (8.6)% and 0.6% for the three and nine months ended September 30, 2025, respectively, were lower than the U.S statutory rate due to the tax effect of goodwill impairment. The Company’s effective tax rates of (6.9)% and (1.4)% for the three and nine months ended September 30, 2024, respectively, were different than the U.S. statutory rate primarily due to the inclusion of non-deductible executive compensation. The effective tax rate for both periods was also impacted by changes in valuation allowances associated with the Company’s assessment of the likelihood of the recoverability of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July 4, 2025, subsequent to the end of the second quarter of fiscal 2025, the One Big Beautiful Bill Act (the “Act”) was signed into law. The Act includes several significant tax-related provisions, including the permanent extension of certain elements of the Tax Cuts and Jobs Act. The legislation features staggered effective dates beginning in 2025 and continuing through 2027. The Company has incorporated the provisions from the Act into the Q3 2025 income tax provision and has concluded that these changes did not have a significant impact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3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The Company is occasionally subject to claims and lawsuits which typically arise in the normal course of business. While the outcome of these claims cannot be predicted with certainty, management does not believe that the outcome of any of these legal matters will have a material adverse effect on the Company’s business, results of operations, financial condition,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recorded an expense of $0.3 million during the nine months ended September 30, 2024 related to unclaimed property audits which have been included in other operating expenses in the consolidated statement of operations. The unclaimed property audit was completed during the second quarter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16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an ongoing basis, the Company reviews the global economy, the life sciences industry, and the markets in which it competes to identify operational efficiencies and align its cost base and infrastructure with customer needs and its strategic plans. In order to achieve these goals, the Company undertakes activities from time to time to optimize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the Company initiated additional restructurings for which it incurred $0.2 million of costs, primarily consisting of severance incurred in connection with headcount reductions in North America and Europe. The Company expects the restructuring to be completed during the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2024, the Company completed a restructuring and incurred expenses of $0.6 million, primarily consisting of severance incurred in connection with headcount reductions in North America and Europe. Severance and other costs have been included as a component of other operating expenses (see Note 1). The changes in the accrued liability for restructuring and other charges for the nine months ended September 30, 2025 were as follows:</w:t>
      </w:r>
    </w:p>
    <w:p>
      <w:pPr>
        <w:pStyle w:val="TextBody"/>
        <w:bidi w:val="0"/>
        <w:spacing w:before="0" w:after="0"/>
        <w:ind w:left="0" w:right="0" w:hanging="0"/>
        <w:jc w:val="left"/>
        <w:rPr>
          <w:caps w:val="false"/>
          <w:smallCaps w:val="false"/>
        </w:rPr>
      </w:pPr>
      <w:r>
        <w:rPr>
          <w:caps w:val="false"/>
          <w:smallCaps w:val="false"/>
        </w:rPr>
        <w:t> </w:t>
      </w:r>
    </w:p>
    <w:tbl>
      <w:tblPr>
        <w:tblW w:w="4289" w:type="dxa"/>
        <w:jc w:val="left"/>
        <w:tblInd w:w="0" w:type="dxa"/>
        <w:tblLayout w:type="fixed"/>
        <w:tblCellMar>
          <w:top w:w="0" w:type="dxa"/>
          <w:left w:w="0" w:type="dxa"/>
          <w:bottom w:w="28" w:type="dxa"/>
          <w:right w:w="0" w:type="dxa"/>
        </w:tblCellMar>
      </w:tblPr>
      <w:tblGrid>
        <w:gridCol w:w="3215"/>
        <w:gridCol w:w="60"/>
        <w:gridCol w:w="223"/>
        <w:gridCol w:w="711"/>
        <w:gridCol w:w="80"/>
      </w:tblGrid>
      <w:tr>
        <w:trPr/>
        <w:tc>
          <w:tcPr>
            <w:tcW w:w="3215" w:type="dxa"/>
            <w:tcBorders>
              <w:bottom w:val="single" w:sz="2" w:space="0" w:color="000000"/>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Severance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pPr>
            <w:r>
              <w:rPr/>
              <w:t> </w:t>
            </w:r>
          </w:p>
        </w:tc>
        <w:tc>
          <w:tcPr>
            <w:tcW w:w="7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pPr>
            <w:r>
              <w:rPr/>
              <w:t> </w:t>
            </w:r>
          </w:p>
        </w:tc>
        <w:tc>
          <w:tcPr>
            <w:tcW w:w="7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182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conducts business as a single operating segment, which is based upon the Company’s organizational and management structure, as well as information used by the chief operating decision maker (“CODM”) to allocate resources and other factors. 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260"/>
        <w:gridCol w:w="60"/>
        <w:gridCol w:w="241"/>
        <w:gridCol w:w="1140"/>
        <w:gridCol w:w="154"/>
        <w:gridCol w:w="115"/>
        <w:gridCol w:w="241"/>
        <w:gridCol w:w="1140"/>
        <w:gridCol w:w="80"/>
        <w:gridCol w:w="60"/>
        <w:gridCol w:w="215"/>
        <w:gridCol w:w="1121"/>
        <w:gridCol w:w="137"/>
        <w:gridCol w:w="103"/>
        <w:gridCol w:w="215"/>
        <w:gridCol w:w="1121"/>
        <w:gridCol w:w="8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4" w:type="dxa"/>
            <w:tcBorders>
              <w:bottom w:val="single" w:sz="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20,591</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69,579</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8,552</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26,998</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28,736</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 (1)</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13,777</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16,364</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12,920</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14,197</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 (1)</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6,374</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7,733</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pension settlement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expenses (2)</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Excludes stock-based compensation expense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Includes stock-based compensation, other operating expenses, loss on equity securities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1" w:name="p1i2"/>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The forward-looking statements are principally, but not exclusively, contained in </w:t>
      </w:r>
      <w:r>
        <w:rPr>
          <w:rFonts w:ascii="Times New Roman" w:hAnsi="Times New Roman"/>
          <w:caps w:val="false"/>
          <w:smallCaps w:val="false"/>
          <w:sz w:val="20"/>
        </w:rPr>
        <w:t>“</w:t>
      </w:r>
      <w:r>
        <w:rPr>
          <w:rFonts w:ascii="Times New Roman" w:hAnsi="Times New Roman"/>
          <w:i/>
          <w:caps w:val="false"/>
          <w:smallCaps w:val="false"/>
          <w:sz w:val="20"/>
        </w:rPr>
        <w:t>Item 2: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hAnsi="Times New Roman"/>
          <w:caps w:val="false"/>
          <w:smallCaps w:val="false"/>
          <w:sz w:val="20"/>
        </w:rPr>
        <w:t>’</w:t>
      </w:r>
      <w:r>
        <w:rPr>
          <w:rFonts w:ascii="Times New Roman" w:hAnsi="Times New Roman"/>
          <w:i/>
          <w:caps w:val="false"/>
          <w:smallCaps w:val="false"/>
          <w:sz w:val="20"/>
        </w:rPr>
        <w:t xml:space="preserve">s confidence or expectations, and our plans, objectives, expectations, and intentions that are not historical facts. In some cases, you can identify forward-looking statements by terms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aim,</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is likely,</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forecasts,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think,</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objectives,</w:t>
      </w:r>
      <w:r>
        <w:rPr>
          <w:rFonts w:ascii="Times New Roman" w:hAnsi="Times New Roman"/>
          <w:caps w:val="false"/>
          <w:smallCaps w:val="false"/>
          <w:sz w:val="20"/>
        </w:rPr>
        <w:t>” “</w:t>
      </w:r>
      <w:r>
        <w:rPr>
          <w:rFonts w:ascii="Times New Roman" w:hAnsi="Times New Roman"/>
          <w:i/>
          <w:caps w:val="false"/>
          <w:smallCaps w:val="false"/>
          <w:sz w:val="20"/>
        </w:rPr>
        <w:t>optimistic,</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goals,</w:t>
      </w:r>
      <w:r>
        <w:rPr>
          <w:rFonts w:ascii="Times New Roman" w:hAnsi="Times New Roman"/>
          <w:caps w:val="false"/>
          <w:smallCaps w:val="false"/>
          <w:sz w:val="20"/>
        </w:rPr>
        <w:t>” “</w:t>
      </w:r>
      <w:r>
        <w:rPr>
          <w:rFonts w:ascii="Times New Roman" w:hAnsi="Times New Roman"/>
          <w:i/>
          <w:caps w:val="false"/>
          <w:smallCaps w:val="false"/>
          <w:sz w:val="20"/>
        </w:rPr>
        <w:t>sees,</w:t>
      </w:r>
      <w:r>
        <w:rPr>
          <w:rFonts w:ascii="Times New Roman" w:hAnsi="Times New Roman"/>
          <w:caps w:val="false"/>
          <w:smallCaps w:val="false"/>
          <w:sz w:val="20"/>
        </w:rPr>
        <w:t>” “</w:t>
      </w:r>
      <w:r>
        <w:rPr>
          <w:rFonts w:ascii="Times New Roman" w:hAnsi="Times New Roman"/>
          <w:i/>
          <w:caps w:val="false"/>
          <w:smallCaps w:val="false"/>
          <w:sz w:val="20"/>
        </w:rPr>
        <w:t>new,</w:t>
      </w:r>
      <w:r>
        <w:rPr>
          <w:rFonts w:ascii="Times New Roman" w:hAnsi="Times New Roman"/>
          <w:caps w:val="false"/>
          <w:smallCaps w:val="false"/>
          <w:sz w:val="20"/>
        </w:rPr>
        <w:t>” “</w:t>
      </w:r>
      <w:r>
        <w:rPr>
          <w:rFonts w:ascii="Times New Roman" w:hAnsi="Times New Roman"/>
          <w:i/>
          <w:caps w:val="false"/>
          <w:smallCaps w:val="false"/>
          <w:sz w:val="20"/>
        </w:rPr>
        <w:t>guidance,</w:t>
      </w:r>
      <w:r>
        <w:rPr>
          <w:rFonts w:ascii="Times New Roman" w:hAnsi="Times New Roman"/>
          <w:caps w:val="false"/>
          <w:smallCaps w:val="false"/>
          <w:sz w:val="20"/>
        </w:rPr>
        <w:t>” “</w:t>
      </w:r>
      <w:r>
        <w:rPr>
          <w:rFonts w:ascii="Times New Roman" w:hAnsi="Times New Roman"/>
          <w:i/>
          <w:caps w:val="false"/>
          <w:smallCaps w:val="false"/>
          <w:sz w:val="20"/>
        </w:rPr>
        <w:t>future,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drive,</w:t>
      </w:r>
      <w:r>
        <w:rPr>
          <w:rFonts w:ascii="Times New Roman" w:hAnsi="Times New Roman"/>
          <w:caps w:val="false"/>
          <w:smallCaps w:val="false"/>
          <w:sz w:val="20"/>
        </w:rPr>
        <w:t>” “</w:t>
      </w:r>
      <w:r>
        <w:rPr>
          <w:rFonts w:ascii="Times New Roman" w:hAnsi="Times New Roman"/>
          <w:i/>
          <w:caps w:val="false"/>
          <w:smallCaps w:val="false"/>
          <w:sz w:val="20"/>
        </w:rPr>
        <w:t>growth,</w:t>
      </w:r>
      <w:r>
        <w:rPr>
          <w:rFonts w:ascii="Times New Roman" w:hAnsi="Times New Roman"/>
          <w:caps w:val="false"/>
          <w:smallCaps w:val="false"/>
          <w:sz w:val="20"/>
        </w:rPr>
        <w:t>” “</w:t>
      </w:r>
      <w:r>
        <w:rPr>
          <w:rFonts w:ascii="Times New Roman" w:hAnsi="Times New Roman"/>
          <w:i/>
          <w:caps w:val="false"/>
          <w:smallCaps w:val="false"/>
          <w:sz w:val="20"/>
        </w:rPr>
        <w:t>long-term,</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develop,</w:t>
      </w:r>
      <w:r>
        <w:rPr>
          <w:rFonts w:ascii="Times New Roman" w:hAnsi="Times New Roman"/>
          <w:caps w:val="false"/>
          <w:smallCaps w:val="false"/>
          <w:sz w:val="20"/>
        </w:rPr>
        <w:t>” “</w:t>
      </w:r>
      <w:r>
        <w:rPr>
          <w:rFonts w:ascii="Times New Roman" w:hAnsi="Times New Roman"/>
          <w:i/>
          <w:caps w:val="false"/>
          <w:smallCaps w:val="false"/>
          <w:sz w:val="20"/>
        </w:rPr>
        <w:t>possible,</w:t>
      </w:r>
      <w:r>
        <w:rPr>
          <w:rFonts w:ascii="Times New Roman" w:hAnsi="Times New Roman"/>
          <w:caps w:val="false"/>
          <w:smallCaps w:val="false"/>
          <w:sz w:val="20"/>
        </w:rPr>
        <w:t>” “</w:t>
      </w:r>
      <w:r>
        <w:rPr>
          <w:rFonts w:ascii="Times New Roman" w:hAnsi="Times New Roman"/>
          <w:i/>
          <w:caps w:val="false"/>
          <w:smallCaps w:val="false"/>
          <w:sz w:val="20"/>
        </w:rPr>
        <w:t>emerging,</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w:t>
      </w:r>
      <w:r>
        <w:rPr>
          <w:rFonts w:ascii="Times New Roman" w:hAnsi="Times New Roman"/>
          <w:i/>
          <w:caps w:val="false"/>
          <w:smallCaps w:val="false"/>
          <w:sz w:val="20"/>
        </w:rPr>
        <w:t>pursue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2024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Trends and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business is affected by global and regional economic trends and uncertainties. Our revenue has been and may continue to be affected by our customers forgoing or delaying purchases of our products and services as a result of ongoing uncertainty with respect to the level and timing of funding from the U.S. National Institutes of Health (the “NIH”) or similar government sources. Our business has also been affected by the imposition of increased tariffs on shipments of products between the United States and other countries, and in particular between the United States and China. Our revenue has been and may continue to be affected by greater restrictions and economic disincentives on international trade, including these tariffs. Products and services that we obtain from overseas sources have been and may continue to be affected by these tariffs, resulting in increased costs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If these trends are prolonged or are more severe than anticipated, our business, results of operations, and cash flow may be materially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the Company was not in compliance with certain refinancing milestones (the “Refinancing Milestones”) and quarterly financial covenants contained in the Company's term loan and senior revolving credit facility, dated as of December 22, 2020 (collectively, as amended, the “Credit Agreement”). On August 8, 2025, the Company entered into an amendment to the Credit Agreement (the “August 2025 Amendment”), pursuant to which the lenders party to the Credit Agreement (the “Lenders”) and the administrative agent agreed to waive the events of default due to the Company’s failure to achieve the Refinancing Milestones and its failure to comply with the consolidated net leverage ratio covenant and the consolidated fixed charge coverage ratio covenant as of the June 30, 2025 test date. See “Part I, Item 2. Management’s Discussion and Analysis of Financial Condition and Results of Operations - Liquidity and Capital Resources” of this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Selected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Three months ended September 30, 2025, compared to three months ended September 30, 2024</w:t>
      </w:r>
    </w:p>
    <w:p>
      <w:pPr>
        <w:pStyle w:val="TextBody"/>
        <w:bidi w:val="0"/>
        <w:spacing w:before="0" w:after="0"/>
        <w:ind w:left="0" w:right="0" w:hanging="0"/>
        <w:jc w:val="left"/>
        <w:rPr>
          <w:caps w:val="false"/>
          <w:smallCaps w:val="false"/>
        </w:rPr>
      </w:pPr>
      <w:r>
        <w:rPr>
          <w:caps w:val="false"/>
          <w:smallCaps w:val="false"/>
        </w:rPr>
        <w:t> </w:t>
      </w:r>
    </w:p>
    <w:tbl>
      <w:tblPr>
        <w:tblW w:w="7598" w:type="dxa"/>
        <w:jc w:val="left"/>
        <w:tblInd w:w="0" w:type="dxa"/>
        <w:tblLayout w:type="fixed"/>
        <w:tblCellMar>
          <w:top w:w="0" w:type="dxa"/>
          <w:left w:w="0" w:type="dxa"/>
          <w:bottom w:w="0" w:type="dxa"/>
          <w:right w:w="0" w:type="dxa"/>
        </w:tblCellMar>
      </w:tblPr>
      <w:tblGrid>
        <w:gridCol w:w="2990"/>
        <w:gridCol w:w="60"/>
        <w:gridCol w:w="135"/>
        <w:gridCol w:w="640"/>
        <w:gridCol w:w="65"/>
        <w:gridCol w:w="65"/>
        <w:gridCol w:w="154"/>
        <w:gridCol w:w="990"/>
        <w:gridCol w:w="200"/>
        <w:gridCol w:w="65"/>
        <w:gridCol w:w="135"/>
        <w:gridCol w:w="640"/>
        <w:gridCol w:w="65"/>
        <w:gridCol w:w="65"/>
        <w:gridCol w:w="154"/>
        <w:gridCol w:w="990"/>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6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pension settlement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decreased $1.4 million, or 6.3%, to $20.6 million for the three months ended September 30, 2025, compared to $22.0 million for the three months ended September 30, 2024. The decrease in revenues was primarily due to the continued softening of worldwide demand primarily from academic research institutions and CROs and the impact of reciprocal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Gross profit decreased $0.8 million, or 5.8%, to $12.0 million for the three months ended September 30, 2025, compared with $12.8 million for the three months ended September 30, 2024, primarily due to the decrease in revenues as well as the associated lower absorption of fixed manufacturing costs. Gross margin was 58.4% for the three months ended September 30, 2025, compared to 58.1% for the three months ending September 30, 2024. The increase in gross margin was primarily due to favorable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Sales and marketing expenses decreased $0.9 million, or 16.4%, to $4.6 million for the three months ended September 30, 2025, compared with $5.5 million for the three months ended September 30, 2024. This decrease was primarily due to reduced compensation, travel and entertainment, and trade show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$0.8 million, or 17.2%, to $4.2 million for the three months ended September 30, 2025, compared with $5.0 million for the three months ended September 30, 2024. The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$0.5 million, or 16.9%, to $2.1 million for the three months ended September 30, 2025, compared with $2.6 million for the three months ended September 30, 2024. This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was $0.9 million for the three months ended September 30, 2025, compared with $1.3 million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operating expenses for the three months ended September 30, 2024 were $0.2, which consisted of restructuring costs in connection with headcount reductions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Interest expense was $1.0 million for the three months ended September 30, 2025, compared with $0.9 million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Loss on pension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2024, we settled our obligations under one of our defined benefit plans by using plan assets to purchase non-participating annuity contracts. The settlement resulted in the recognition of a non-cash charge of $1.2 million, which has been presented as a component of other income (expense), net. This amount includes the immediate recognition of the portion of the accumulated other comprehensive income (“AOCI”) balance related to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income tax expense (benefit) was $0.1 million and $0.3 million for the three months ended September 30, 2025 and 2024, respectively. The effective tax rates for the three months ended September 30, 2025 and 2024 were (8.6)% and (6.9)%, respectively. The higher effective tax rate during the three months ended September 30, 2025, compared to the three months ended September 30, 2024, was primarily due to the change in the mix of income by jurisdiction. The Company’s effective tax rate for the three months ended September 30, 2025, was different than the U.S. statutory rate primarily due to a Global Intangible Low-Tax Income (“GILTI”) inclusion to taxable income, and changes in valuation allowances associated with the Company’s assessment of the likelihood of the recoverability of deferred tax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Nine months ended September 30, 2025, compared to nine months ended September 30, 2024</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2990"/>
        <w:gridCol w:w="60"/>
        <w:gridCol w:w="131"/>
        <w:gridCol w:w="620"/>
        <w:gridCol w:w="84"/>
        <w:gridCol w:w="63"/>
        <w:gridCol w:w="154"/>
        <w:gridCol w:w="990"/>
        <w:gridCol w:w="194"/>
        <w:gridCol w:w="63"/>
        <w:gridCol w:w="131"/>
        <w:gridCol w:w="620"/>
        <w:gridCol w:w="63"/>
        <w:gridCol w:w="63"/>
        <w:gridCol w:w="154"/>
        <w:gridCol w:w="990"/>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9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62,815</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69,579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35,738</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pension settlement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securities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decreased $6.8 million, or 9.7%, to $62.8 million for the nine months ended September 30, 2025, compared to $69.6 million for the nine months ended September 30, 2024. The decrease in revenues was primarily due to the continued softening of worldwide demand primarily from academic research institutions and CROs and the impact of reciprocal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Gross profit decreased $5.1 million, or 12.3%, to $35.7 million for the nine months ended September 30, 2025, compared with $40.8 million for the nine months ended September 30, 2024, primarily due to the decrease in revenues as well as the associated lower absorption of fixed manufacturing costs. Gross margin decreased to 56.9% for the nine months ended September 30, 2025, compared with 58.6% for the nine months ended September 30, 2024. The decrease in gross margin was primarily the result of under-absorption of fixed manufacturing overhead costs due to the decrease in revenues, increases in purchase price variance as well as a higher mix of lower margin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Sales and marketing expenses decreased $2.7 million, or 16.0%, to $14.1 million for the nine months ended September 30, 2025, compared with $16.8 million for the nine months ended September 30, 2024. This decrease was primarily due to reduced compensation, travel and entertainment, and trade show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$3.1 million, or 18.4%, to $13.6 million for the nine months ended September 30, 2025, compared with $16.7 million for the nine months ended September 30, 2024. The decrease was primarily due to reduced compensation costs, partially offset by an increase of $0.2 million in audit and legal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$1.5 million, or 17.8%, to $6.6 million for the nine months ended September 30, 2025, compared with $8.1 million for the nine months ended September 30, 2024. This decrease was primarily due to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decreased $0.8 million, or 20.5%, to $3.2 million for the nine months ended September 30, 2025, compared with $4.0 million for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Goodwill impairment expenses increase by $48.0 million for the nine months ended September 30, 2025. We identified a triggering event, including the sustained decrease in our stock price, our recent operating results, liquidity risk and the current macroeconomic conditions impacting the life sciences industry, requiring an interim impairment test. We recorded a non-cash goodwill impairment charge of $48.0 million in connection with the interim impairment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operating expenses decreased by $0.9 million, or 63.3% to $0.5 million for the nine months ended September 30, 2025, compared to $1.4 million for the nine months ended September 30, 2024. Other operating expenses for the nine months ended September 30, 2025, included a fee of $0.3 million in connection with the receipt of employee retention credits and restructuring costs of $0.2 million in connection with headcount reductions in North America and Europe. Other operating expenses for the nine months ended September 30, 2024, included a fee of $0.5 million in connection with the receipt of employee retention tax credits, restructuring costs of $0.6 million in connection with headcount reductions, and $0.3 million related to settlement of an unclaimed property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Interest expense increased $0.2 million, or 8.6%, to $2.6 million for the nine months ended September 30, 2025, compared with $2.4 million for the nine months ended September 30, 2024. The increase was primarily due to a higher effective interest rate during the period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Loss on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2024, we sold all of our remaining Harvard Apparatus Regenerative Technology Inc. (“HRGN”) stock for $1.9 million and recorded a loss on equity securities of $1.6 million. We did not hold any shares of HRGN stock during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Income tax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income tax expense (benefit) was $(0.3) million and $0.2 million for the nine months ended September 30, 2025 and 2024, respectively. The effective tax rates for the nine months ended September 30, 2025 and 2024 were 0.6% and (1.4)%, respectively. The higher effective tax rate during the nine months ended September 30, 2025, compared to the nine months ended September 30, 2024, was primarily due to the tax effect of goodwill impairment and the release of reserves related to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primary sources of liquidity are cash and cash equivalents, internally generated cash flow from operations and our shelf registration statement that provides for the issuance of common stock, preferred stock, warrants and units up to an amount equal to $100 million. Our expected cash outlays relate primarily to cash payments due under our Credit Agreement described below as well as salaries, inventory, and capital expenditures. We held cash and cash equivalents of $6.8 million and $4.1 million as of September 30, 2025 and December 31, 2024, respectively. Borrowings outstanding, net of unamortized deferred financing costs, were $34.0 million and $37.0 million as of September 30, 2025 and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Coronavirus Aid, Relief, and Economic Security Act of 2020 (the “CARES Act”) provided an employee retention tax credit (“ERTC”) that was a refundable tax credit against certain employer taxes. The Company has received ERTC refunds of $5.4 million as of September 30, 2025. The Company’s compliance with the program’s qualifications may be subject to audit through May 2029, which is when the statute of limitation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We maintain the Credit Agreement, which originally provided for a term loan of $40.0 million and a $25.0 million revolving credit facility with an original maturity of December 22, 2025. On March 10, 2025, we entered into an amendment to the Credit Agreement (the “March 2025 Amendment”). The March 2025 Amendment provided, among other things, that the Lenders’ commitment under our revolving credit facility would be capped at $12.65 million, which was the amount outstanding thereunder as of the date thereof, and thus we are unable to make additional borrowings under our revolving credit facility. The March 2025 Amendment also established certain Refinancing Milestones in connection with the refinancing of the Credit Agreement (the “Refinancing”), including receipt of a term sheet or commitment letter from one or more potential lenders, by the dates provided in the March 2025 Amendment, and the Company's consummation of the Refinancing by June 30, 2025. Pursuant to the March 2025 Amendment, the Lenders also agreed not to assert any breaches of the financial covenants included in the Credit Agreement for the first quarter of fiscal year 2025 provided that we continued to comply with our payment obligations, achieved the Refinancing Milestones, maintained minimum liquidity (defined as the sum of (a) unrestricted cash and cash equivalents and (b) the amount by which the aggregate amount committed under the Company’s revolving credit facility exceeds the total amount drawn under the credit facility) of $3.5 million and provided the administrative agent with certain financial reports. In addition, pursuant to the terms of the March 2025 Amendment the applicable interest rate margin was increased such that interest rate was equal to a rate per annum based on the Secured Overnight Financing Rate (“SOFR”) plus 400 bps and amortization payments were revised so that a proportionate payment must be made on a monthly rather than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June 30, 2025, we were not in compliance with the Refinancing Milestones and quarterly financial covenants contained in the March 2025 Amendment. On August 8, 2025, we entered into the August 2025 Amendment Agreement, pursuant to which the Lenders and administrative agent agreed, subject to the terms contained in the August 2025 Amendment, to waive the events of default due to the Company’s failure to achieve certain Refinancing Milestones and its failure to comply with the consolidated net leverage ratio covenant and the consolidated fixed charge coverage ratio covenant as of the June 30, 2025 test date. Pursuant to the terms of the August 2025 Amendment, the Lenders also agreed not to test the net leverage ratio financial covenant and the consolidated fixed charge coverage ratio financial covenant for the fiscal quarter ended September 30, 2025, and to reduce the Company’s covenant to maintain minimum liquidity (defined as the sum of (a) unrestricted cash and (b) the amount by which the aggregate amount committed under the Company’s revolving credit facility exceeds the total amount drawn under the credit facility) of $3.0 million. The August 2025 Amendment also added as a mandatory prepayment event the receipt of cash proceeds upon a Refinancing or upon the sale of the equity interests or all or substantially all of the assets of the Company. In addition, pursuant to the terms of the August 2025 Amendment, the applicable interest rate margin was increased such that the interest rate is equal to a rate per annum based on the SOFR plus 700 bps. In connection with the August 2025 Amendment, the Company has also agreed to accomplish steps towards the Refinancing or repayment of the Credit Agreement by no later than December 5, 2025. The Company continues to make progress on these steps, and is working actively to reach a definitive agreement that will accomplish one of these outcomes. The failure to accomplish such steps on the agreed timeline shall constitute an event of default under the Credit Agreement. In such event, in addition to other actions the Lenders may require, the amounts outstanding under the Credit Agreement may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continues to explore alternative sources of capital that would allow it to refinance the outstanding indebtedness under the Credit Agreement, but its ability to access such other sources of capital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is no assurance that such capital will be available, be obtainable on commercially acceptable terms, or provide the Company with sufficient funds to meet its objectives. Based on its anticipated cash flows from operations, unless the Company is able to access other sources of capital or extend the date for repayment under the Credit Agreement, the Company will be unable to pay its debt obligations and fund its operations for at least twelve months from the date of issuance of the unaudited consolidated financial statements contained in this Quarterly Report on Form 10-Q. As a result,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CASH FLOW STATEMENTS</w:t>
      </w:r>
    </w:p>
    <w:p>
      <w:pPr>
        <w:pStyle w:val="TextBody"/>
        <w:bidi w:val="0"/>
        <w:spacing w:before="0" w:after="0"/>
        <w:ind w:left="0" w:right="0" w:hanging="0"/>
        <w:jc w:val="left"/>
        <w:rPr>
          <w:caps w:val="false"/>
          <w:smallCaps w:val="false"/>
        </w:rPr>
      </w:pPr>
      <w:r>
        <w:rPr>
          <w:caps w:val="false"/>
          <w:smallCaps w:val="false"/>
        </w:rPr>
        <w:t> </w:t>
      </w:r>
    </w:p>
    <w:tbl>
      <w:tblPr>
        <w:tblW w:w="7167" w:type="dxa"/>
        <w:jc w:val="left"/>
        <w:tblInd w:w="0" w:type="dxa"/>
        <w:tblLayout w:type="fixed"/>
        <w:tblCellMar>
          <w:top w:w="0" w:type="dxa"/>
          <w:left w:w="0" w:type="dxa"/>
          <w:bottom w:w="0" w:type="dxa"/>
          <w:right w:w="0" w:type="dxa"/>
        </w:tblCellMar>
      </w:tblPr>
      <w:tblGrid>
        <w:gridCol w:w="4115"/>
        <w:gridCol w:w="60"/>
        <w:gridCol w:w="256"/>
        <w:gridCol w:w="1118"/>
        <w:gridCol w:w="164"/>
        <w:gridCol w:w="123"/>
        <w:gridCol w:w="256"/>
        <w:gridCol w:w="995"/>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4" w:type="dxa"/>
            <w:tcBorders>
              <w:bottom w:val="single" w:sz="2" w:space="0" w:color="000000"/>
            </w:tcBorders>
            <w:tcMar>
              <w:bottom w:w="28" w:type="dxa"/>
            </w:tcMar>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Net cash provided by (used in) operations was $6.8 million and $(0.3) million for the nine months ended September 30, 2025 and 2024, respectively. Cash flow from operations for the nine months ended September 30, 2025 was positively impacted by a reduction in accounts receivable of $2.8 million, a reduction in inventories of $1.6 million, and $2.2 million of cash inflows from ERTC refunds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$1.3 million for the nine months ended September 30, 2025, compared to cash used in investing activities of $0.9 million for the nine months ended September 30, 2024. Cash used in investing activities for the nine months ended September 30, 2025 consisted of $1.3 million of capital expenditures for manufacturing and capitalized software development. Cash used in investing activities for the nine months ended September 30, 2024 consisted of $2.8 million of capital expenditures for manufacturing and information technology infrastructure and software development, offset by $1.9 million in proceeds from the sale of marketable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 was $(3.7) million and $1.2 million for the nine months ended September 30, 2025 and 2024, respectively. During the nine months ended September 30, 2025, we made $3.0 million in debt repayments on our term loan and paid $0.7 million in debt issuance costs as part of the March 2025 Amendment and the August 2025 Amendment. During the nine months ended September 30, 2024, debt outstanding under our credit facility increased by $1.2 million, consisting of net borrowings under our revolver of $6.2 million, and payments of $5.0 million against the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Impact of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international operations in some instances operate in a natural hedge, as we sell our products in many countries and a substantial portion of our revenues, costs and expenses are denominated in foreign currencies, primarily the euro and British 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changes in foreign currency exchange rates resulted in a favorable effect on revenues of $0.3 million and an unfavorable effect on expenses of $0.6 million. During the nine months ended September 30, 2025, changes in foreign currency exchange rates resulted in a favorable effect on revenues of $0.6 million and an unfavorable effect on expenses of $0.9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gain (loss) associated with the translation of our foreign equity into U.S. dollars included as a component of other comprehensive loss was $(0.8) million and $1.6 million for the three months ended September 30, 2025 and 2024, respectively, and $3.1 million and $0.7 million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Currency exchange rate fluctuations included as a component of net loss resulted in currency gain (loss) of $0.0 million and $(0.4) million for three months ended September 30, 2025 and 2024, respectively, and $0.6 million and $(0.5) million for both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critical accounting policies underlying the accompanying unaudited consolidated financial statements and as set forth in Part II, Item 7 included in our Annual Report on Form 10-K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For information on recent accounting pronouncements impacting our business, see “Recently Issued Accounting Pronouncements Yet to Be Adopted” included in Note 1 to our Condensed Consolidated Financial Statements included in Part I, Item 1. of this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bookmarkStart w:id="12" w:name="p1i3"/>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bookmarkStart w:id="13" w:name="p1i4"/>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Under the supervision of our Chief Executive Officer and Chief Financial Officer, we evaluated the effectiveness of our disclosure controls and procedures (as defined in Rules 13a-15(e) and 15d-15(e) under the Exchange Act)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 xml:space="preserve">Previously Reported Material Weaknesses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reported in Part II, Item 9A. “Controls and Procedures” of our Annual Reports on Form 10-K for the year ended December 31, 2024, we identified material weaknesses in our internal control over financial reporting related to controls over (i) our order to cash cycle and (ii) our physical count of inventories. Specifically, we did not design and maintain effective manual controls over the processing and review of a substantial portion of our revenue transactions. Additionally, we did not design and maintain an effective cycle count program to verify quantities of inventories held at Company locations that account for a substantial portion of inventories. The timeliness, level of precision, and appropriate segregation of duties in our review processes over revenue transactions and our physical counts of inventories were not sufficient to prevent, detect, and correct potential misstatements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While management, with oversight from the Audit Committee of our Board of Directors, has made significant progress in the implementation of changes to our internal control over financial reporting in order to remediate the control deficiencies that resulted in the material weaknesses as previously disclosed in our Form 10-K for the fiscal year ended December 31, 2024, additional time is required to complete the material weakness remediation work. We expect to continue our efforts throughout the remainder of fiscal year 2025 and during 2026. We believe that the implementation of the remediation plans disclosed under “Part II - Item 9A - Controls and Procedures” in our Annual Report on Form 10-K for the fiscal year ended December 31, 2024, will allow us to address the deficient controls within our internal control environment, which will facilitate the remediation of the material weaknesses. The material weaknesses will not be considered remediated until management completes the design and implementation of the measures disclosed under “Part II - Item 9A - Controls and Procedures” in our Annual Report on Form 10-K for the fiscal year ended December 31, 2024 and the controls operate for a sufficient period of time such that the effectiveness of those changes is demonstrated with an appropriate amount of consistency and management has concluded, through testing, that these controls are effective. We also may conclude that additional measures may be required to remediate the material weaknesses or determine to modify the remediation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than changes related to remediation of the material weaknesses, there were no changes in our internal control over financial reporting during the third quarter of fiscal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Because of the inherent limitations in all control systems, no evaluation of controls can provide absolute assurance that all control issues and instances of fraud within the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bookmarkStart w:id="14" w:name="p2"/>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bookmarkStart w:id="15" w:name="p2i1"/>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information included in Note 13 to the Condensed Consolidated Financial Statements (Unaudited) included in Part I, Item 1 of this quarterly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bookmarkStart w:id="16" w:name="p2i1a"/>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You should carefully consider the risk factors discussed in Part I, “Item 1A. Risk Factors” in our Annual Report on Form 10-K for the fiscal year ended December 31, 2024,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 The risk factors set forth below updates, and should be read together with, the risk factors described in our Annual Report on Form 10-K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We have substantial debt, and the Lenders have waived our non-compliance with certain of the covenants in our Credit Agreement. If we fail to comply with the terms and conditions of the waiver, or if we fail to comply with covenants in our Credit Agreement in the future, the Lenders may require the amounts outstanding thereunder to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September 30, 2025, there was indebtedness of $34.0 million, net of unamortized deferred financing cost, outstanding under the Credit Agreement. As of June 30, 2025, we were not in compliance with the Refinancing Milestones and quarterly financial covenants contained in the March 2025 Amendment. Pursuant to the August 2025 Amendment, the Lenders and administrative agent agreed, subject to the terms contained in the August 2025 Amendment, to waive the Company’s events of default under the Credit Agreement. Pursuant to the terms of the August 2025 Amendment, the Lenders also agreed not to test net leverage ratio the financial covenant and the consolidated fixed charge coverage ratio financial covenant for the fiscal quarter ended September 30, 2025, and to reduce the Company’s covenant to maintain minimum liquidity (defined as the sum of (a) unrestricted cash and (b) the amount by which the aggregate amount committed under the Company’s revolving credit facility exceeds the total amount drawn under the credit facility) of $3.0 million. In connection with the August 2025 Amendment, the Company has also agreed to accomplish steps towards the Refinancing or repayment of the Credit Agreement by no later than December 5, 2025. The Company continues to make progress on these steps, and is working actively to reach a definitive agreement that will accomplish one of these outcomes. The failure to accomplish such steps on the agreed timeline shall constitute an event of default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If we are not able to comply with the terms and conditions of the August 2025 Amendment, or if we are otherwise unable to maintain compliance with the covenants under the Credit Agreement, as amended, in addition to other actions the Lenders may require, the amounts outstanding under the Credit Agreement may become immediately due and payable. There can be no assurance that the Lenders will not take action to collect payment of our debt or dispose of collateral securing the debt. Our cash flow and existing capital resources may be insufficient to repay our debt, in which such case prior thereto we would have to repay, refinance and or restructure the obligations under the Credit Agreement, including with proceeds from the sale of assets, and additional equity or debt capital. If we are unsuccessful in obtaining such extension, or entering into such repayment, refinance or restructuring prior to maturity or acceleration of repayment, the Lenders could foreclose against their collateral or seek other remedies, which would jeopardize our ability to continue our 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b/>
          <w:i/>
          <w:caps w:val="false"/>
          <w:smallCaps w:val="false"/>
          <w:sz w:val="20"/>
        </w:rPr>
        <w:t>We have received written notice from Nasdaq that we are not in compliance with Nasdaq</w:t>
      </w:r>
      <w:r>
        <w:rPr>
          <w:rFonts w:ascii="Times New Roman" w:hAnsi="Times New Roman"/>
          <w:caps w:val="false"/>
          <w:smallCaps w:val="false"/>
          <w:sz w:val="20"/>
        </w:rPr>
        <w:t>’</w:t>
      </w:r>
      <w:r>
        <w:rPr>
          <w:rFonts w:ascii="Times New Roman" w:hAnsi="Times New Roman"/>
          <w:b/>
          <w:i/>
          <w:caps w:val="false"/>
          <w:smallCaps w:val="false"/>
          <w:sz w:val="20"/>
        </w:rPr>
        <w:t>s minimum bid price requirements and if we are unable to regain compliance with Nasdaq continued listing standards, which may require effecting a reverse stock split of our common stock, we could be delisted from Nasdaq, which would negatively impact our business, our ability to raise capital, and the market price and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Nasdaq Stock Market LLC (“Nasdaq”) Listing Rule 5450(a)(1) requires that securities listed on The Nasdaq Global Market maintain a minimum bid price of $1.00 per share (the “Minimum Bid Price Requirement”), and Nasdaq Listing Rule 5810(c)(3)(A) provides that a failure to meet the Minimum Bid Price Requirement exists if the deficiency continues for a period of thirty (30) consecutive business days.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previously disclosed, on April 4, 2025, the Company received written notice (the “Notification Letter”) from Nasdaq notifying the Company that, based on the closing bid price of the Company’s common stock for the thirty (30) consecutive business days from February 21, 2025 to April 3, 2025, the Company no longer meets the Minimum Bid Price Requirement. The Notification Letter had no immediate effect on the listing of the Company’s common stock on The Nasdaq Global Market. The Company was provided an initial compliance period of 180 calendar days, or until October 1, 2025, to regain compliance with the Minimum Bid Price Requirement. During the compliance period, the Company’s shares of common stock continued to be listed and traded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October 2, 2025, we received approval from the Listing Qualifications Department of Nasdaq to transfer the listing of our common stock from The Nasdaq Global Market to The Nasdaq Capital Market (the “Approval”). Our common stock was transferred to The Nasdaq Capital Market effective as of the opening of business on October 3, 2025, and continues to trade under the symbol “HBIO.” The Nasdaq Capital Market operates in substantially the same manner as The Nasdaq Global Market, and listed companies must meet certain financial requirements and comply with Nasdaq’s corporate governance requirements. As a result of the Approval and transfer to The Nasdaq Capital Market, we were granted an additional 180-day grace period, or until March 30, 2026, to regain compliance with the Minimum Bid Price Requirement. If it is necessary to do so, we will seek stockholder approval for a reverse stock split to regain compliance with this requirement. If we fail to regain compliance, including due to our stockholders failing to approve a reverse stock split, our common stock will be subject to delisting. Our ability to publicly or privately sell equity securities and the liquidity of our common stock could be adversely affected if our common stock is delisted.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We cannot provide any guarantee that we will regain compliance during the grace period or be able to maintain compliance with Nasdaq’s listing requirements in the future. If we are not able to regain compliance during the grace period, our common stock will be subject to delisting. Delisting from Nasdaq could adversely affect our ability to raise additional financing through public or private sales of equity securities, could significantly affect the ability of investors to trade our securities and could negatively affect the value and liquidity of our common stock. Delisting could also have other negative impacts, including the potential loss of confidence by our employees and customers, the loss of investor and analyst interest in the Company and in our common stock and fewer business development opportunities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Unregistered Sales of Equity Securities and Use of Proceeds.</w:t>
      </w:r>
      <w:bookmarkStart w:id="17" w:name="p2i2"/>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bookmarkStart w:id="18" w:name="p2i3"/>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bookmarkStart w:id="19" w:name="p2i4"/>
      <w:bookmarkEnd w:id="1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bookmarkStart w:id="20" w:name="p2i5"/>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 of our directors or executive officers adopted or terminated a Rule 10b5-1 trading arrangement (as defined in Item 408(a) of Regulation S-K) or a non-Rule 10b5-1 trading arrangement (as defined in Item 408(c) of Regulation S-K) during the quarterly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xml:space="preserve">   </w:t>
      </w:r>
      <w:r>
        <w:rPr>
          <w:rFonts w:ascii="Times New Roman" w:hAnsi="Times New Roman"/>
          <w:b/>
          <w:caps w:val="false"/>
          <w:smallCaps w:val="false"/>
          <w:sz w:val="20"/>
        </w:rPr>
        <w:t>Exhibits.</w:t>
      </w:r>
      <w:bookmarkStart w:id="21" w:name="p2i6"/>
      <w:bookmarkEnd w:id="21"/>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
        <w:gridCol w:w="9673"/>
      </w:tblGrid>
      <w:tr>
        <w:trPr/>
        <w:tc>
          <w:tcPr>
            <w:tcW w:w="532" w:type="dxa"/>
            <w:tcBorders/>
            <w:vAlign w:val="center"/>
          </w:tcPr>
          <w:p>
            <w:pPr>
              <w:pStyle w:val="TableContents"/>
              <w:bidi w:val="0"/>
              <w:spacing w:before="0" w:after="283"/>
              <w:jc w:val="left"/>
              <w:rPr/>
            </w:pPr>
            <w:hyperlink r:id="rId3">
              <w:r>
                <w:rPr>
                  <w:rStyle w:val="InternetLink"/>
                </w:rPr>
                <w:t>10.1</w:t>
              </w:r>
            </w:hyperlink>
          </w:p>
        </w:tc>
        <w:tc>
          <w:tcPr>
            <w:tcW w:w="9673" w:type="dxa"/>
            <w:tcBorders/>
            <w:vAlign w:val="center"/>
          </w:tcPr>
          <w:p>
            <w:pPr>
              <w:pStyle w:val="TableContents"/>
              <w:bidi w:val="0"/>
              <w:spacing w:before="0" w:after="283"/>
              <w:jc w:val="left"/>
              <w:rPr/>
            </w:pPr>
            <w:hyperlink r:id="rId4">
              <w:r>
                <w:rPr>
                  <w:rStyle w:val="InternetLink"/>
                </w:rPr>
                <w:t>Sixth Amendment to and Waiver Under Credit Agreement, dated as of August 8, 2025, by and among Harvard Bioscience, Inc., Citizens Bank, N.A., in its capacity as the administrative agent, and the lenders party thereto. Exhibit to the Current Report on Form 8-K (filed August 11, 2025) and incorporated by reference thereto.</w:t>
              </w:r>
            </w:hyperlink>
          </w:p>
        </w:tc>
      </w:tr>
      <w:tr>
        <w:trPr/>
        <w:tc>
          <w:tcPr>
            <w:tcW w:w="532" w:type="dxa"/>
            <w:tcBorders/>
            <w:vAlign w:val="center"/>
          </w:tcPr>
          <w:p>
            <w:pPr>
              <w:pStyle w:val="TableContents"/>
              <w:bidi w:val="0"/>
              <w:spacing w:before="0" w:after="0"/>
              <w:ind w:left="0" w:right="0" w:hanging="0"/>
              <w:jc w:val="left"/>
              <w:rPr/>
            </w:pPr>
            <w:hyperlink w:anchor="ex_878524.htm">
              <w:r>
                <w:rPr>
                  <w:rStyle w:val="InternetLink"/>
                  <w:rFonts w:ascii="Times New Roman" w:hAnsi="Times New Roman"/>
                  <w:caps w:val="false"/>
                  <w:smallCaps w:val="false"/>
                  <w:sz w:val="20"/>
                </w:rPr>
                <w:t>31.1</w:t>
              </w:r>
            </w:hyperlink>
          </w:p>
        </w:tc>
        <w:tc>
          <w:tcPr>
            <w:tcW w:w="9673" w:type="dxa"/>
            <w:tcBorders/>
            <w:vAlign w:val="center"/>
          </w:tcPr>
          <w:p>
            <w:pPr>
              <w:pStyle w:val="TableContents"/>
              <w:bidi w:val="0"/>
              <w:spacing w:before="0" w:after="0"/>
              <w:ind w:left="0" w:right="0" w:hanging="0"/>
              <w:jc w:val="left"/>
              <w:rPr/>
            </w:pPr>
            <w:hyperlink w:anchor="ex_878524.htm">
              <w:r>
                <w:rPr>
                  <w:rStyle w:val="InternetLink"/>
                  <w:rFonts w:ascii="Times New Roman" w:hAnsi="Times New Roman"/>
                  <w:caps w:val="false"/>
                  <w:smallCaps w:val="false"/>
                  <w:sz w:val="20"/>
                </w:rPr>
                <w:t>Certification of Principal Financial Officer of Harvard Bioscience, Inc., pursuant to Rules 13a-14(a) and 15d-14(a), as adopted pursuant to Section 302 of the Sarbanes-Oxley Act of 2002.</w:t>
              </w:r>
            </w:hyperlink>
          </w:p>
        </w:tc>
      </w:tr>
      <w:tr>
        <w:trPr/>
        <w:tc>
          <w:tcPr>
            <w:tcW w:w="532" w:type="dxa"/>
            <w:tcBorders/>
            <w:vAlign w:val="center"/>
          </w:tcPr>
          <w:p>
            <w:pPr>
              <w:pStyle w:val="TableContents"/>
              <w:bidi w:val="0"/>
              <w:spacing w:before="0" w:after="0"/>
              <w:ind w:left="0" w:right="0" w:hanging="0"/>
              <w:jc w:val="left"/>
              <w:rPr/>
            </w:pPr>
            <w:hyperlink w:anchor="ex_878525.htm">
              <w:r>
                <w:rPr>
                  <w:rStyle w:val="InternetLink"/>
                  <w:rFonts w:ascii="Times New Roman" w:hAnsi="Times New Roman"/>
                  <w:caps w:val="false"/>
                  <w:smallCaps w:val="false"/>
                  <w:sz w:val="20"/>
                </w:rPr>
                <w:t>31.2</w:t>
              </w:r>
            </w:hyperlink>
          </w:p>
        </w:tc>
        <w:tc>
          <w:tcPr>
            <w:tcW w:w="9673" w:type="dxa"/>
            <w:tcBorders/>
            <w:vAlign w:val="center"/>
          </w:tcPr>
          <w:p>
            <w:pPr>
              <w:pStyle w:val="TableContents"/>
              <w:bidi w:val="0"/>
              <w:spacing w:before="0" w:after="0"/>
              <w:ind w:left="0" w:right="0" w:hanging="0"/>
              <w:jc w:val="left"/>
              <w:rPr/>
            </w:pPr>
            <w:hyperlink w:anchor="ex_878525.htm">
              <w:r>
                <w:rPr>
                  <w:rStyle w:val="InternetLink"/>
                  <w:rFonts w:ascii="Times New Roman" w:hAnsi="Times New Roman"/>
                  <w:caps w:val="false"/>
                  <w:smallCaps w:val="false"/>
                  <w:sz w:val="20"/>
                </w:rPr>
                <w:t>Certification of Principal Executive Officer of Harvard Bioscience, Inc., pursuant to Rules 13a-14(a) and 15d-14(a), as adopted pursuant to Section 302 of the Sarbanes-Oxley Act of 2002.</w:t>
              </w:r>
            </w:hyperlink>
            <w:r>
              <w:rPr>
                <w:rFonts w:ascii="Times New Roman" w:hAnsi="Times New Roman"/>
                <w:caps w:val="false"/>
                <w:smallCaps w:val="false"/>
                <w:sz w:val="20"/>
              </w:rPr>
              <w:t> </w:t>
            </w:r>
          </w:p>
        </w:tc>
      </w:tr>
      <w:tr>
        <w:trPr/>
        <w:tc>
          <w:tcPr>
            <w:tcW w:w="532" w:type="dxa"/>
            <w:tcBorders/>
            <w:vAlign w:val="center"/>
          </w:tcPr>
          <w:p>
            <w:pPr>
              <w:pStyle w:val="TableContents"/>
              <w:bidi w:val="0"/>
              <w:spacing w:before="0" w:after="0"/>
              <w:ind w:left="0" w:right="0" w:hanging="0"/>
              <w:jc w:val="left"/>
              <w:rPr/>
            </w:pPr>
            <w:hyperlink w:anchor="ex_878526.htm">
              <w:r>
                <w:rPr>
                  <w:rStyle w:val="InternetLink"/>
                  <w:rFonts w:ascii="Times New Roman" w:hAnsi="Times New Roman"/>
                  <w:caps w:val="false"/>
                  <w:smallCaps w:val="false"/>
                  <w:sz w:val="20"/>
                </w:rPr>
                <w:t>32.1*</w:t>
              </w:r>
            </w:hyperlink>
          </w:p>
        </w:tc>
        <w:tc>
          <w:tcPr>
            <w:tcW w:w="9673" w:type="dxa"/>
            <w:tcBorders/>
            <w:vAlign w:val="center"/>
          </w:tcPr>
          <w:p>
            <w:pPr>
              <w:pStyle w:val="TableContents"/>
              <w:bidi w:val="0"/>
              <w:spacing w:before="0" w:after="0"/>
              <w:ind w:left="0" w:right="0" w:hanging="0"/>
              <w:jc w:val="left"/>
              <w:rPr/>
            </w:pPr>
            <w:hyperlink w:anchor="ex_878526.htm">
              <w:r>
                <w:rPr>
                  <w:rStyle w:val="InternetLink"/>
                  <w:rFonts w:ascii="Times New Roman" w:hAnsi="Times New Roman"/>
                  <w:caps w:val="false"/>
                  <w:smallCaps w:val="false"/>
                  <w:sz w:val="20"/>
                </w:rPr>
                <w:t>Certification of Chief Financial Officer of Harvard Bioscience, Inc., pursuant to 18 U.S.C. Section 1350, as adopted pursuant to Section 906 of the Sarbanes-Oxley Act of 2002.</w:t>
              </w:r>
            </w:hyperlink>
          </w:p>
        </w:tc>
      </w:tr>
      <w:tr>
        <w:trPr/>
        <w:tc>
          <w:tcPr>
            <w:tcW w:w="532" w:type="dxa"/>
            <w:tcBorders/>
            <w:vAlign w:val="center"/>
          </w:tcPr>
          <w:p>
            <w:pPr>
              <w:pStyle w:val="TableContents"/>
              <w:bidi w:val="0"/>
              <w:spacing w:before="0" w:after="0"/>
              <w:ind w:left="0" w:right="0" w:hanging="0"/>
              <w:jc w:val="left"/>
              <w:rPr/>
            </w:pPr>
            <w:hyperlink w:anchor="ex_878527.htm">
              <w:r>
                <w:rPr>
                  <w:rStyle w:val="InternetLink"/>
                  <w:rFonts w:ascii="Times New Roman" w:hAnsi="Times New Roman"/>
                  <w:caps w:val="false"/>
                  <w:smallCaps w:val="false"/>
                  <w:sz w:val="20"/>
                </w:rPr>
                <w:t>32.2*</w:t>
              </w:r>
            </w:hyperlink>
          </w:p>
        </w:tc>
        <w:tc>
          <w:tcPr>
            <w:tcW w:w="9673" w:type="dxa"/>
            <w:tcBorders/>
            <w:vAlign w:val="center"/>
          </w:tcPr>
          <w:p>
            <w:pPr>
              <w:pStyle w:val="TableContents"/>
              <w:bidi w:val="0"/>
              <w:spacing w:before="0" w:after="0"/>
              <w:ind w:left="0" w:right="0" w:hanging="0"/>
              <w:jc w:val="left"/>
              <w:rPr/>
            </w:pPr>
            <w:hyperlink w:anchor="ex_878527.htm">
              <w:r>
                <w:rPr>
                  <w:rStyle w:val="InternetLink"/>
                  <w:rFonts w:ascii="Times New Roman" w:hAnsi="Times New Roman"/>
                  <w:caps w:val="false"/>
                  <w:smallCaps w:val="false"/>
                  <w:sz w:val="20"/>
                </w:rPr>
                <w:t>Certification of Chief Executive Officer of Harvard Bioscience, Inc., pursuant to 18 U.S.C. Section 1350, as adopted pursuant to Section 906 of the Sarbanes-Oxley Act of 2002</w:t>
              </w:r>
            </w:hyperlink>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28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2" w:name="sign"/>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2405"/>
        <w:gridCol w:w="320"/>
        <w:gridCol w:w="2510"/>
      </w:tblGrid>
      <w:tr>
        <w:trPr/>
        <w:tc>
          <w:tcPr>
            <w:tcW w:w="240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HARVARD BIOSCIENCE, INC.</w:t>
            </w:r>
          </w:p>
        </w:tc>
      </w:tr>
      <w:tr>
        <w:trPr/>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2025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MARK FROST  </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24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29</w:t>
      </w:r>
    </w:p>
    <w:p>
      <w:pPr>
        <w:pStyle w:val="TextBody"/>
        <w:bidi w:val="0"/>
        <w:spacing w:before="0" w:after="0"/>
        <w:ind w:left="0" w:right="0" w:hanging="0"/>
        <w:jc w:val="right"/>
        <w:rPr>
          <w:rFonts w:ascii="Times New Roman" w:hAnsi="Times New Roman"/>
          <w:b/>
          <w:caps w:val="false"/>
          <w:smallCaps w:val="false"/>
          <w:sz w:val="20"/>
        </w:rPr>
      </w:pPr>
      <w:bookmarkStart w:id="23" w:name="ex_878524.htm"/>
      <w:bookmarkStart w:id="24" w:name="ksex_878524"/>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 Mark Frost,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940"/>
        <w:gridCol w:w="2510"/>
      </w:tblGrid>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2025</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94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194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5" w:name="ex_878525.htm"/>
      <w:bookmarkStart w:id="26" w:name="ksex_878525"/>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Duke,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000"/>
        <w:gridCol w:w="237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2025</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00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200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878526.htm"/>
      <w:bookmarkStart w:id="28" w:name="ksex_878526"/>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September 30, 2025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000"/>
        <w:gridCol w:w="3005"/>
      </w:tblGrid>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2025</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200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Mark Frost</w:t>
            </w:r>
          </w:p>
        </w:tc>
      </w:tr>
      <w:tr>
        <w:trPr/>
        <w:tc>
          <w:tcPr>
            <w:tcW w:w="200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78527.htm"/>
      <w:bookmarkStart w:id="30" w:name="ksex_878527"/>
      <w:bookmarkEnd w:id="29"/>
      <w:bookmarkEnd w:id="3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September 30, 2025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80"/>
        <w:gridCol w:w="2435"/>
      </w:tblGrid>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2025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John Duke</w:t>
            </w:r>
          </w:p>
        </w:tc>
      </w:tr>
      <w:tr>
        <w:trPr/>
        <w:tc>
          <w:tcPr>
            <w:tcW w:w="218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23494/000117184325005288/exh_101.htm" TargetMode="External"/><Relationship Id="rId4" Type="http://schemas.openxmlformats.org/officeDocument/2006/relationships/hyperlink" Target="http://www.sec.gov/Archives/edgar/data/1123494/000117184325005288/exh_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16727</Words>
  <Characters>89974</Characters>
  <CharactersWithSpaces>108470</CharactersWithSpaces>
  <Paragraphs>6472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