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_________________________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20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66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001-33957</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HARVARD BIOSCIENCE,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207"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04-3306140</w:t>
            </w:r>
          </w:p>
        </w:tc>
      </w:t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84 October Hill Road, Holliston, MA</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01746</w:t>
            </w:r>
          </w:p>
        </w:tc>
      </w:tr>
      <w:tr>
        <w:trPr>
          <w:trHeight w:val="234"/>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480" w:type="dxa"/>
            <w:vAlign w:val="bottom"/>
          </w:tcPr>
          <w:p>
            <w:pPr>
              <w:jc w:val="center"/>
              <w:ind w:left="2230"/>
              <w:spacing w:after="0"/>
              <w:rPr>
                <w:sz w:val="20"/>
                <w:szCs w:val="20"/>
                <w:color w:val="auto"/>
              </w:rPr>
            </w:pPr>
            <w:r>
              <w:rPr>
                <w:rFonts w:ascii="Arial" w:cs="Arial" w:eastAsia="Arial" w:hAnsi="Arial"/>
                <w:sz w:val="18"/>
                <w:szCs w:val="18"/>
                <w:b w:val="1"/>
                <w:bCs w:val="1"/>
                <w:color w:val="auto"/>
                <w:w w:val="90"/>
              </w:rPr>
              <w:t>(508) 893-8999</w:t>
            </w:r>
          </w:p>
        </w:tc>
        <w:tc>
          <w:tcPr>
            <w:tcW w:w="1480" w:type="dxa"/>
            <w:vAlign w:val="bottom"/>
          </w:tcPr>
          <w:p>
            <w:pPr>
              <w:spacing w:after="0"/>
              <w:rPr>
                <w:sz w:val="24"/>
                <w:szCs w:val="24"/>
                <w:color w:val="auto"/>
              </w:rPr>
            </w:pPr>
          </w:p>
        </w:tc>
      </w:tr>
      <w:tr>
        <w:trPr>
          <w:trHeight w:val="220"/>
        </w:trPr>
        <w:tc>
          <w:tcPr>
            <w:tcW w:w="64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80" w:type="dxa"/>
            <w:vAlign w:val="bottom"/>
          </w:tcPr>
          <w:p>
            <w:pPr>
              <w:spacing w:after="0"/>
              <w:rPr>
                <w:sz w:val="19"/>
                <w:szCs w:val="19"/>
                <w:color w:val="auto"/>
              </w:rPr>
            </w:pPr>
          </w:p>
        </w:tc>
      </w:tr>
      <w:tr>
        <w:trPr>
          <w:trHeight w:val="230"/>
        </w:trPr>
        <w:tc>
          <w:tcPr>
            <w:tcW w:w="6480" w:type="dxa"/>
            <w:vAlign w:val="bottom"/>
          </w:tcPr>
          <w:p>
            <w:pPr>
              <w:jc w:val="center"/>
              <w:ind w:left="2270"/>
              <w:spacing w:after="0"/>
              <w:rPr>
                <w:sz w:val="20"/>
                <w:szCs w:val="20"/>
                <w:color w:val="auto"/>
              </w:rPr>
            </w:pPr>
            <w:r>
              <w:rPr>
                <w:rFonts w:ascii="Arial" w:cs="Arial" w:eastAsia="Arial" w:hAnsi="Arial"/>
                <w:sz w:val="18"/>
                <w:szCs w:val="18"/>
                <w:color w:val="auto"/>
                <w:w w:val="89"/>
              </w:rPr>
              <w:t>_________________________</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4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w w:val="96"/>
              </w:rPr>
              <w:t>Emerging growth company</w:t>
            </w:r>
          </w:p>
        </w:tc>
        <w:tc>
          <w:tcPr>
            <w:tcW w:w="47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82" w:lineRule="exact"/>
        <w:rPr>
          <w:sz w:val="24"/>
          <w:szCs w:val="24"/>
          <w:color w:val="auto"/>
        </w:rPr>
      </w:pPr>
    </w:p>
    <w:p>
      <w:pPr>
        <w:ind w:right="22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October 27, 2017, there were 34,880,512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2960" w:type="dxa"/>
            <w:vAlign w:val="bottom"/>
            <w:gridSpan w:val="10"/>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820" w:type="dxa"/>
            <w:vAlign w:val="bottom"/>
            <w:gridSpan w:val="7"/>
          </w:tcPr>
          <w:p>
            <w:pPr>
              <w:spacing w:after="0"/>
              <w:rPr>
                <w:sz w:val="24"/>
                <w:szCs w:val="24"/>
                <w:color w:val="auto"/>
              </w:rPr>
            </w:pPr>
          </w:p>
        </w:tc>
        <w:tc>
          <w:tcPr>
            <w:tcW w:w="500" w:type="dxa"/>
            <w:vAlign w:val="bottom"/>
            <w:gridSpan w:val="4"/>
          </w:tcPr>
          <w:p>
            <w:pPr>
              <w:jc w:val="center"/>
              <w:ind w:left="2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20" w:type="dxa"/>
            <w:vAlign w:val="bottom"/>
            <w:gridSpan w:val="2"/>
          </w:tcPr>
          <w:p>
            <w:pPr>
              <w:spacing w:after="0"/>
              <w:rPr>
                <w:sz w:val="24"/>
                <w:szCs w:val="24"/>
                <w:color w:val="auto"/>
              </w:rPr>
            </w:pPr>
          </w:p>
        </w:tc>
        <w:tc>
          <w:tcPr>
            <w:tcW w:w="20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820" w:type="dxa"/>
            <w:vAlign w:val="bottom"/>
            <w:gridSpan w:val="7"/>
          </w:tcPr>
          <w:p>
            <w:pPr>
              <w:spacing w:after="0"/>
              <w:rPr>
                <w:sz w:val="24"/>
                <w:szCs w:val="24"/>
                <w:color w:val="auto"/>
              </w:rPr>
            </w:pPr>
          </w:p>
        </w:tc>
        <w:tc>
          <w:tcPr>
            <w:tcW w:w="500" w:type="dxa"/>
            <w:vAlign w:val="bottom"/>
            <w:gridSpan w:val="4"/>
          </w:tcPr>
          <w:p>
            <w:pPr>
              <w:jc w:val="center"/>
              <w:ind w:left="2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2017 and December 31, 2016 (unaudited)</w:t>
              </w:r>
            </w:hyperlink>
          </w:p>
        </w:tc>
        <w:tc>
          <w:tcPr>
            <w:tcW w:w="500" w:type="dxa"/>
            <w:vAlign w:val="bottom"/>
            <w:gridSpan w:val="4"/>
          </w:tcPr>
          <w:p>
            <w:pPr>
              <w:jc w:val="center"/>
              <w:ind w:left="2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Nine Months Ended September 30, 2017 and 2016</w:t>
              </w:r>
            </w:hyperlink>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00" w:type="dxa"/>
            <w:vAlign w:val="bottom"/>
            <w:gridSpan w:val="4"/>
          </w:tcPr>
          <w:p>
            <w:pPr>
              <w:jc w:val="center"/>
              <w:ind w:left="2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60" w:type="dxa"/>
            <w:vAlign w:val="bottom"/>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Nine Months Ended September 30, 2017 and 2016 (unaudited)</w:t>
              </w:r>
            </w:hyperlink>
          </w:p>
        </w:tc>
        <w:tc>
          <w:tcPr>
            <w:tcW w:w="1880" w:type="dxa"/>
            <w:vAlign w:val="bottom"/>
            <w:gridSpan w:val="2"/>
          </w:tcPr>
          <w:p>
            <w:pPr>
              <w:spacing w:after="0"/>
              <w:rPr>
                <w:sz w:val="24"/>
                <w:szCs w:val="24"/>
                <w:color w:val="auto"/>
              </w:rPr>
            </w:pPr>
          </w:p>
        </w:tc>
        <w:tc>
          <w:tcPr>
            <w:tcW w:w="500" w:type="dxa"/>
            <w:vAlign w:val="bottom"/>
            <w:gridSpan w:val="4"/>
          </w:tcPr>
          <w:p>
            <w:pPr>
              <w:jc w:val="center"/>
              <w:ind w:left="2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1880" w:type="dxa"/>
            <w:vAlign w:val="bottom"/>
            <w:gridSpan w:val="2"/>
          </w:tcPr>
          <w:p>
            <w:pPr>
              <w:spacing w:after="0"/>
              <w:rPr>
                <w:sz w:val="24"/>
                <w:szCs w:val="24"/>
                <w:color w:val="auto"/>
              </w:rPr>
            </w:pPr>
          </w:p>
        </w:tc>
        <w:tc>
          <w:tcPr>
            <w:tcW w:w="500" w:type="dxa"/>
            <w:vAlign w:val="bottom"/>
            <w:gridSpan w:val="4"/>
          </w:tcPr>
          <w:p>
            <w:pPr>
              <w:jc w:val="center"/>
              <w:ind w:left="2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420" w:type="dxa"/>
            <w:vAlign w:val="bottom"/>
            <w:gridSpan w:val="2"/>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3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1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420" w:type="dxa"/>
            <w:vAlign w:val="bottom"/>
            <w:gridSpan w:val="2"/>
          </w:tcPr>
          <w:p>
            <w:pPr>
              <w:spacing w:after="0"/>
              <w:rPr>
                <w:sz w:val="24"/>
                <w:szCs w:val="24"/>
                <w:color w:val="auto"/>
              </w:rPr>
            </w:pPr>
          </w:p>
        </w:tc>
        <w:tc>
          <w:tcPr>
            <w:tcW w:w="984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500" w:type="dxa"/>
            <w:vAlign w:val="bottom"/>
            <w:gridSpan w:val="4"/>
          </w:tcPr>
          <w:p>
            <w:pPr>
              <w:jc w:val="center"/>
              <w:ind w:left="2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420" w:type="dxa"/>
            <w:vAlign w:val="bottom"/>
            <w:gridSpan w:val="2"/>
          </w:tcPr>
          <w:p>
            <w:pPr>
              <w:spacing w:after="0"/>
              <w:rPr>
                <w:sz w:val="24"/>
                <w:szCs w:val="24"/>
                <w:color w:val="auto"/>
              </w:rPr>
            </w:pP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5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78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 - OTHER INFORMATION</w:t>
              </w:r>
            </w:hyperlink>
          </w:p>
        </w:tc>
        <w:tc>
          <w:tcPr>
            <w:tcW w:w="500" w:type="dxa"/>
            <w:vAlign w:val="bottom"/>
            <w:gridSpan w:val="4"/>
          </w:tcPr>
          <w:p>
            <w:pPr>
              <w:jc w:val="center"/>
              <w:ind w:left="23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140" w:type="dxa"/>
            <w:vAlign w:val="bottom"/>
          </w:tcPr>
          <w:p>
            <w:pPr>
              <w:spacing w:after="0"/>
              <w:rPr>
                <w:sz w:val="24"/>
                <w:szCs w:val="24"/>
                <w:color w:val="auto"/>
              </w:rPr>
            </w:pPr>
          </w:p>
        </w:tc>
      </w:tr>
      <w:tr>
        <w:trPr>
          <w:trHeight w:val="412"/>
        </w:trPr>
        <w:tc>
          <w:tcPr>
            <w:tcW w:w="94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08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1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300" w:type="dxa"/>
            <w:vAlign w:val="bottom"/>
            <w:tcBorders>
              <w:top w:val="single" w:sz="8" w:color="0000EE"/>
            </w:tcBorders>
            <w:gridSpan w:val="2"/>
          </w:tcPr>
          <w:p>
            <w:pPr>
              <w:spacing w:after="0"/>
              <w:rPr>
                <w:sz w:val="24"/>
                <w:szCs w:val="24"/>
                <w:color w:val="auto"/>
              </w:rPr>
            </w:pPr>
          </w:p>
        </w:tc>
        <w:tc>
          <w:tcPr>
            <w:tcW w:w="894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140" w:type="dxa"/>
            <w:vAlign w:val="bottom"/>
          </w:tcPr>
          <w:p>
            <w:pPr>
              <w:spacing w:after="0"/>
              <w:rPr>
                <w:sz w:val="24"/>
                <w:szCs w:val="24"/>
                <w:color w:val="auto"/>
              </w:rPr>
            </w:pPr>
          </w:p>
        </w:tc>
      </w:tr>
      <w:tr>
        <w:trPr>
          <w:trHeight w:val="412"/>
        </w:trPr>
        <w:tc>
          <w:tcPr>
            <w:tcW w:w="1078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500" w:type="dxa"/>
            <w:vAlign w:val="bottom"/>
            <w:gridSpan w:val="4"/>
          </w:tcPr>
          <w:p>
            <w:pPr>
              <w:jc w:val="center"/>
              <w:ind w:left="23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140" w:type="dxa"/>
            <w:vAlign w:val="bottom"/>
          </w:tcPr>
          <w:p>
            <w:pPr>
              <w:spacing w:after="0"/>
              <w:rPr>
                <w:sz w:val="24"/>
                <w:szCs w:val="24"/>
                <w:color w:val="auto"/>
              </w:rPr>
            </w:pPr>
          </w:p>
        </w:tc>
      </w:tr>
      <w:tr>
        <w:trPr>
          <w:trHeight w:val="669"/>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68"/>
        </w:trPr>
        <w:tc>
          <w:tcPr>
            <w:tcW w:w="5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6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$600 and $611,</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4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15,266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receivables and other assets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39,837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indefinite lived intangible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110,678</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33,773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Common stock, par value $0.01 per share, 80,000,000 shares authorized; 42,626,019 and</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42,186,827 shares issued and 34,880,512 and 34,441,320 shares outstanding, respectively</w:t>
            </w: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217,636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(117,966)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76,905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110,678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25,050</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25,007</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74,419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13,411</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13,317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39,994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11,639</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11,690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11,775</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35,199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per share: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loss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34,840</w:t>
            </w: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34,327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34,706</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34,840</w:t>
            </w: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34,327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34,706</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Derivatives qualifying as hedges, net of tax:</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160"/>
              <w:spacing w:after="0" w:line="201" w:lineRule="exact"/>
              <w:rPr>
                <w:sz w:val="20"/>
                <w:szCs w:val="20"/>
                <w:color w:val="auto"/>
              </w:rPr>
            </w:pPr>
            <w:r>
              <w:rPr>
                <w:rFonts w:ascii="Arial" w:cs="Arial" w:eastAsia="Arial" w:hAnsi="Arial"/>
                <w:sz w:val="18"/>
                <w:szCs w:val="18"/>
                <w:color w:val="auto"/>
                <w:w w:val="96"/>
              </w:rPr>
              <w:t>Gain (loss) on derivative instruments designated and qualifying as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cash flow hedges</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Amounts reclassified from accumulated other comprehensive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loss</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(1,864)</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2,604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restructuring credits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Amortization of catalog costs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Decrease in accounts receivable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inventories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Increase in other receivables and other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trade accounts payable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Increase (decrease) in accrued income taxes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accrued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Increase in deferred revenue</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1,996</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catalog costs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taxes paid for) net proceeds from issuance of common stock</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Increase (decrease) in cash and cash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period</w:t>
      </w:r>
    </w:p>
    <w:p>
      <w:pPr>
        <w:spacing w:after="0" w:line="20" w:lineRule="exact"/>
        <w:rPr>
          <w:sz w:val="20"/>
          <w:szCs w:val="20"/>
          <w:color w:val="auto"/>
        </w:rPr>
      </w:pPr>
      <w:r>
        <w:rPr>
          <w:sz w:val="20"/>
          <w:szCs w:val="20"/>
          <w:color w:val="auto"/>
        </w:rPr>
        <w:br w:type="column"/>
      </w:r>
    </w:p>
    <w:p>
      <w:pPr>
        <w:jc w:val="both"/>
        <w:ind w:left="1000"/>
        <w:spacing w:after="0"/>
        <w:tabs>
          <w:tab w:leader="none" w:pos="25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(443)</w:t>
      </w:r>
    </w:p>
    <w:p>
      <w:pPr>
        <w:spacing w:after="0" w:line="23" w:lineRule="exact"/>
        <w:rPr>
          <w:sz w:val="20"/>
          <w:szCs w:val="20"/>
          <w:color w:val="auto"/>
        </w:rPr>
      </w:pPr>
    </w:p>
    <w:p>
      <w:pPr>
        <w:ind w:left="2380" w:hanging="1378"/>
        <w:spacing w:after="0"/>
        <w:tabs>
          <w:tab w:leader="none" w:pos="2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(1,399)</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5,596</w:t>
      </w:r>
      <w:r>
        <w:rPr>
          <w:rFonts w:ascii="Arial" w:cs="Arial" w:eastAsia="Arial" w:hAnsi="Arial"/>
          <w:sz w:val="16"/>
          <w:szCs w:val="16"/>
          <w:color w:val="auto"/>
        </w:rPr>
        <w:t>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-276860</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5"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5,345</w:t>
      </w:r>
    </w:p>
    <w:p>
      <w:pPr>
        <w:spacing w:after="0" w:line="23" w:lineRule="exact"/>
        <w:rPr>
          <w:sz w:val="20"/>
          <w:szCs w:val="20"/>
          <w:color w:val="auto"/>
        </w:rPr>
      </w:pPr>
    </w:p>
    <w:p>
      <w:pPr>
        <w:sectPr>
          <w:pgSz w:w="11900" w:h="16838" w:orient="portrait"/>
          <w:cols w:equalWidth="0" w:num="2">
            <w:col w:w="7740" w:space="720"/>
            <w:col w:w="296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46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Cash (refunded) paid for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725</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500" w:right="5600" w:hanging="492"/>
        <w:spacing w:after="0" w:line="503" w:lineRule="auto"/>
        <w:tabs>
          <w:tab w:leader="none" w:pos="4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September 30, 2017 and for the three and nine months ended September 30, 2017 and 2016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2016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2016, which was filed with the SEC on March 17, 2017.</w:t>
      </w:r>
    </w:p>
    <w:p>
      <w:pPr>
        <w:spacing w:after="0" w:line="16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the opinion of management, all adjustments, which include normal recurring adjustments necessary to present a fair statement of financial position as of September 30, 2017, results of operations and comprehensive loss for the three and nine months ended September 30, 2017 and 2016 and cash flows for the nine months ended September 30, 2017 and 2016, as applicable, have been made. The results of operations for the nine months ended September 30, 2017 are not necessarily indicative of the operating results for the full fiscal year or any future periods.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2016, which was filed with the SEC on March 17, 2017.</w:t>
      </w:r>
    </w:p>
    <w:p>
      <w:pPr>
        <w:spacing w:after="0" w:line="39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 new accounting standard that provides for a comprehensive model to use in the accounting for revenue arising from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 The Company expects to adopt this standard as of January 1, 2018 using the modified retrospective approach.</w:t>
      </w:r>
    </w:p>
    <w:p>
      <w:pPr>
        <w:spacing w:after="0" w:line="193"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The Company is in the process of evaluating the impact of the new standard on its consolidated financial position, results of operations and cash flows. As part of this process, the Company has conducted a comprehensive assessment of its contracts concerning any unique customer contract terms or transactions that could have implications under the new guidance. The Company has identified its significant revenue streams, which currently consist primarily of product revenue transactions, and to a lesser extent, extended warranty transactions on certain product sales, and revenues from government contracts. The Company is in the process of updating its revenue recognition policy, systems, and internal controls in response to the new update. The Company does not expect material changes to the timing of revenue recognition, nor does it expect significant changes to its systems or internal controls.</w:t>
      </w:r>
    </w:p>
    <w:p>
      <w:pPr>
        <w:spacing w:after="0" w:line="16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Finally, the Company is evaluating the disclosure requirements under the new standard, which are generally more expansive than current guidance. The Company expects these undertakings will be complete in the fourth quarter of 2017. Based on procedures to date, the Company does not anticipate material changes to its consolidated financial statements. The Company continues to work through the adoption process and it is possible that these preliminary conclusions could change.</w:t>
      </w:r>
    </w:p>
    <w:p>
      <w:pPr>
        <w:spacing w:after="0" w:line="187" w:lineRule="exact"/>
        <w:rPr>
          <w:sz w:val="20"/>
          <w:szCs w:val="20"/>
          <w:color w:val="auto"/>
        </w:rPr>
      </w:pPr>
    </w:p>
    <w:p>
      <w:pPr>
        <w:ind w:right="320" w:firstLine="441"/>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The Company has commenced the process of evaluating the requirements of the standard as well as collecting information on all its leases. The Company has not yet concluded on the impact of the adoption on its consolidated financial position, results of operations and cash flows, however, assets and liabilities will increase upon adoption for right-of-use assets and lease liabilities. The Company’s future commitments under lease obligations are summarized in Note 10.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The Company has evaluated the requirements of this guidance and does not expect the adoption of the standard to have a material impact on its consolidated financial position, results of operations and cash flows.</w:t>
      </w:r>
    </w:p>
    <w:p>
      <w:pPr>
        <w:spacing w:after="0" w:line="16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The Company is evaluating the requirements of this guidance and has not yet determined the impact of the adoption on its consolidated financial position, results of operations and cash flows.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18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167"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Company adopted ASU 2016-09 as of January 1, 2017.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nine months ended September 30, 2017 have been recognized in the current period’s income statement.</w:t>
      </w:r>
    </w:p>
    <w:p>
      <w:pPr>
        <w:spacing w:after="0" w:line="173"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The Company elected as an accounting policy to account for forfeitures for service based awards as they occur, and as a result, the Company recorded a cumulative effect adjustment of $0.1 million to reduce retained earnings with a corresponding increase in additional paid in capital related to the prior years’ stock-based compensation expense as required under the modified retrospective approach. The tax effect of this adjustment, which included the impact of a valuation allowance was immaterial.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Foreign currency</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Derivatives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translation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qualifying as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w w:val="92"/>
              </w:rPr>
              <w:t>Defined benefit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adjustments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hedges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w w:val="95"/>
              </w:rPr>
              <w:t>pension plans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4,189</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2017</w:t>
            </w:r>
          </w:p>
        </w:tc>
        <w:tc>
          <w:tcPr>
            <w:tcW w:w="220" w:type="dxa"/>
            <w:vAlign w:val="bottom"/>
          </w:tcPr>
          <w:p>
            <w:pPr>
              <w:spacing w:after="0"/>
              <w:rPr>
                <w:sz w:val="21"/>
                <w:szCs w:val="21"/>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(10,011)</w:t>
            </w:r>
          </w:p>
        </w:tc>
        <w:tc>
          <w:tcPr>
            <w:tcW w:w="160" w:type="dxa"/>
            <w:vAlign w:val="bottom"/>
          </w:tcPr>
          <w:p>
            <w:pPr>
              <w:spacing w:after="0"/>
              <w:rPr>
                <w:sz w:val="21"/>
                <w:szCs w:val="21"/>
                <w:color w:val="auto"/>
              </w:rPr>
            </w:pPr>
          </w:p>
        </w:tc>
        <w:tc>
          <w:tcPr>
            <w:tcW w:w="2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(2,458)</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w:t>
            </w:r>
          </w:p>
        </w:tc>
        <w:tc>
          <w:tcPr>
            <w:tcW w:w="40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Goodwill and Other Intangible Assets</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9"/>
          </w:tcPr>
          <w:p>
            <w:pPr>
              <w:jc w:val="right"/>
              <w:ind w:right="870"/>
              <w:spacing w:after="0"/>
              <w:rPr>
                <w:sz w:val="20"/>
                <w:szCs w:val="20"/>
                <w:color w:val="auto"/>
              </w:rPr>
            </w:pPr>
            <w:r>
              <w:rPr>
                <w:rFonts w:ascii="Arial" w:cs="Arial" w:eastAsia="Arial" w:hAnsi="Arial"/>
                <w:sz w:val="18"/>
                <w:szCs w:val="18"/>
                <w:b w:val="1"/>
                <w:bCs w:val="1"/>
                <w:color w:val="auto"/>
              </w:rPr>
              <w:t>December 31, 2016</w:t>
            </w:r>
          </w:p>
        </w:tc>
        <w:tc>
          <w:tcPr>
            <w:tcW w:w="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Life</w:t>
            </w:r>
          </w:p>
        </w:tc>
        <w:tc>
          <w:tcPr>
            <w:tcW w:w="38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7"/>
          </w:tcPr>
          <w:p>
            <w:pPr>
              <w:jc w:val="right"/>
              <w:ind w:right="780"/>
              <w:spacing w:after="0"/>
              <w:rPr>
                <w:sz w:val="20"/>
                <w:szCs w:val="20"/>
                <w:color w:val="auto"/>
              </w:rPr>
            </w:pPr>
            <w:r>
              <w:rPr>
                <w:rFonts w:ascii="Arial" w:cs="Arial" w:eastAsia="Arial" w:hAnsi="Arial"/>
                <w:sz w:val="18"/>
                <w:szCs w:val="18"/>
                <w:color w:val="auto"/>
              </w:rPr>
              <w:t>(in thousands)</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Amortizable intangible assets: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5"/>
          </w:tcPr>
          <w:p>
            <w:pPr>
              <w:jc w:val="right"/>
              <w:ind w:right="47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Amortization</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5"/>
          </w:tcPr>
          <w:p>
            <w:pPr>
              <w:jc w:val="right"/>
              <w:ind w:right="47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16,090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(12,948)</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6.6</w:t>
            </w:r>
          </w:p>
        </w:tc>
        <w:tc>
          <w:tcPr>
            <w:tcW w:w="3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7.3</w:t>
            </w: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agreements/customer relationships</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8.3</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Patents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gridSpan w:val="2"/>
          </w:tcPr>
          <w:p>
            <w:pPr>
              <w:jc w:val="center"/>
              <w:ind w:right="340"/>
              <w:spacing w:after="0"/>
              <w:rPr>
                <w:sz w:val="20"/>
                <w:szCs w:val="20"/>
                <w:color w:val="auto"/>
              </w:rPr>
            </w:pPr>
            <w:r>
              <w:rPr>
                <w:rFonts w:ascii="Arial" w:cs="Arial" w:eastAsia="Arial" w:hAnsi="Arial"/>
                <w:sz w:val="18"/>
                <w:szCs w:val="18"/>
                <w:color w:val="auto"/>
                <w:w w:val="95"/>
              </w:rPr>
              <w:t>1.4</w:t>
            </w: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(31,122)</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39,837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38,032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indefinite-lived intangible assets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6"/>
              </w:rPr>
              <w:t>Total goodwill and other indefinite-lived intangible 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41,077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39,241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intangible assets, gross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88,742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84,882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(a) Weighted average life as of September 30,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nine months ended September 30, 2017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(in thousands)</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2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2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39,837</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60" w:type="dxa"/>
            <w:vAlign w:val="bottom"/>
            <w:vMerge w:val="restart"/>
          </w:tcPr>
          <w:p>
            <w:pPr>
              <w:jc w:val="right"/>
              <w:ind w:right="610"/>
              <w:spacing w:after="0"/>
              <w:rPr>
                <w:sz w:val="20"/>
                <w:szCs w:val="20"/>
                <w:color w:val="auto"/>
              </w:rPr>
            </w:pPr>
            <w:r>
              <w:rPr>
                <w:rFonts w:ascii="Arial" w:cs="Arial" w:eastAsia="Arial" w:hAnsi="Arial"/>
                <w:sz w:val="18"/>
                <w:szCs w:val="18"/>
                <w:color w:val="auto"/>
              </w:rPr>
              <w:t>- 8 -</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0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3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intangible assets</w:t>
      </w:r>
    </w:p>
    <w:p>
      <w:pPr>
        <w:spacing w:after="0" w:line="225"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During the third quarter of 2016, the Company initiated plans to sell the operations of its AHN Biotechnologie GmbH subsidiary (AHN), a manufacturer of liquid handling products, located in Nordhausen, Germany. The Company assessed the held for sale accounting guidance, pursuant to ASC 360-10, and concluded that it had not met all the criteria for AHN’s assets and liabilities to be classified as held for sale as of September 30, 2016. As such, AHN’s assets and liabilities were presented as held and used, and the results of its operations included within continuing operations as of, and for the three and nine months ended September 30, 2016, respectively.</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As a result of the Company initiating plans to sell the operations of AHN, the Company evaluated the long-lived assets for impairment, pursuant to ASC 360-10. Based on the impairment analysis, the carrying amount of the long-lived assets exceeded the fair value of the long-lived assets as determined using the probability weighted present value of future cash flows. As a result, the Company recognized an impairment charge of $0.7 million for the three and nine months ended September 30, 2016 as part of operating expenses within its statements of operations. Of the overall charge, approximately $0.1 million was allocated to its intangible assets (trade name and customer relationships), while the remainder of the charge was allocated to its property, plant and equipment (machinery and equipment).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October 26, 2016, the Company sold AHN for $1.7 million in cash proceeds.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Intangible asset amortization expense was $0.6 million and $0.7 million for the three months ended September 30, 2017 and 2016, respectively. Intangible asset amortization expense was $1.8 million and $2.1 million for the nine months ended September 30, 2017 and 2016, respectively. Amortization expense of existing amortizable intangible assets is currently estimated to be $2.5 million for the year ending December 31, 2017, $2.4 million for the year ending December 31, 2018, $2.2 million for the year ending December 31, 2019, $2.2 million for the year ending December 31, 2020 and $2.2 million for the year ending December 31, 2021.</w:t>
      </w:r>
    </w:p>
    <w:p>
      <w:pPr>
        <w:sectPr>
          <w:pgSz w:w="11900" w:h="16838" w:orient="portrait"/>
          <w:cols w:equalWidth="0" w:num="1">
            <w:col w:w="11420"/>
          </w:cols>
          <w:pgMar w:left="240" w:top="226" w:right="239" w:bottom="1440" w:gutter="0" w:footer="0" w:header="0"/>
        </w:sectPr>
      </w:pPr>
    </w:p>
    <w:p>
      <w:pPr>
        <w:spacing w:after="0" w:line="18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8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right"/>
              <w:ind w:right="95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9,340</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-599440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-325120</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5320" w:space="720"/>
            <w:col w:w="5380"/>
          </w:cols>
          <w:pgMar w:left="240" w:top="226" w:right="239" w:bottom="1440" w:gutter="0" w:footer="0" w:header="0"/>
          <w:type w:val="continuous"/>
        </w:sectPr>
      </w:pP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December 31, 2016, 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4"/>
          </w:tcPr>
          <w:p>
            <w:pPr>
              <w:jc w:val="right"/>
              <w:ind w:right="950"/>
              <w:spacing w:after="0"/>
              <w:rPr>
                <w:sz w:val="20"/>
                <w:szCs w:val="20"/>
                <w:color w:val="auto"/>
              </w:rPr>
            </w:pPr>
            <w:r>
              <w:rPr>
                <w:rFonts w:ascii="Arial" w:cs="Arial" w:eastAsia="Arial" w:hAnsi="Arial"/>
                <w:sz w:val="18"/>
                <w:szCs w:val="18"/>
                <w:color w:val="auto"/>
              </w:rPr>
              <w:t>(in thousands)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16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vMerge w:val="restart"/>
          </w:tcPr>
          <w:p>
            <w:pPr>
              <w:jc w:val="right"/>
              <w:ind w:right="90"/>
              <w:spacing w:after="0"/>
              <w:rPr>
                <w:sz w:val="20"/>
                <w:szCs w:val="20"/>
                <w:color w:val="auto"/>
              </w:rPr>
            </w:pPr>
            <w:r>
              <w:rPr>
                <w:rFonts w:ascii="Arial" w:cs="Arial" w:eastAsia="Arial" w:hAnsi="Arial"/>
                <w:sz w:val="18"/>
                <w:szCs w:val="18"/>
                <w:color w:val="auto"/>
              </w:rPr>
              <w:t>- 9 -</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September 30, 2017 and 2016. Pursuant to a lease agreement, the Company incurred rent expense of approximately $64 thousand and $59 thousand to the former owners of MCS for the three months ended September 30, 2017 and 2016, respectively. The Company incurred rent expense of approximately $11 thousand to the former owner of TBSI for both the three months ended September 30, 2017 and 2016. The Company incurred rent expense of approximately $0.2 million to the former owners of MCS for both the nine months ended September 30, 2017 and 2016. The Company incurred rent expense of approximately $32 thousand to the former owner of TBSI for both the nine months ended September 30, 2017 and 2016.</w:t>
      </w:r>
    </w:p>
    <w:p>
      <w:pPr>
        <w:spacing w:after="0" w:line="16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w w:val="97"/>
              </w:rPr>
              <w:t>Beginning</w:t>
            </w:r>
          </w:p>
        </w:tc>
        <w:tc>
          <w:tcPr>
            <w:tcW w:w="1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Balance</w:t>
            </w: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Payments</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Additions</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40" w:type="dxa"/>
            <w:vAlign w:val="bottom"/>
            <w:gridSpan w:val="2"/>
          </w:tcPr>
          <w:p>
            <w:pPr>
              <w:jc w:val="right"/>
              <w:ind w:right="95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147</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4940" w:type="dxa"/>
            <w:vAlign w:val="bottom"/>
          </w:tcPr>
          <w:p>
            <w:pPr>
              <w:ind w:left="180"/>
              <w:spacing w:after="0"/>
              <w:rPr>
                <w:sz w:val="20"/>
                <w:szCs w:val="20"/>
                <w:color w:val="auto"/>
              </w:rPr>
            </w:pPr>
            <w:r>
              <w:rPr>
                <w:rFonts w:ascii="Arial" w:cs="Arial" w:eastAsia="Arial" w:hAnsi="Arial"/>
                <w:sz w:val="18"/>
                <w:szCs w:val="18"/>
                <w:b w:val="1"/>
                <w:bCs w:val="1"/>
                <w:color w:val="auto"/>
              </w:rPr>
              <w:t>Employee Benefit Plans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One of the Company’s subsidiaries in the United Kingdom, UK, Biochrom Limited, maintains contributory, defined benefit pension plans for substantially all of its employees. As of June 30, 2014, these defined benefit pension plans were closed to new employees, as well as closed to the future accrual of benefits for existing employees. The components of the Company’s defined benefit pension expense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5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3"/>
          </w:tcPr>
          <w:p>
            <w:pPr>
              <w:jc w:val="right"/>
              <w:ind w:right="430"/>
              <w:spacing w:after="0"/>
              <w:rPr>
                <w:sz w:val="20"/>
                <w:szCs w:val="20"/>
                <w:color w:val="auto"/>
              </w:rPr>
            </w:pPr>
            <w:r>
              <w:rPr>
                <w:rFonts w:ascii="Arial" w:cs="Arial" w:eastAsia="Arial" w:hAnsi="Arial"/>
                <w:sz w:val="18"/>
                <w:szCs w:val="18"/>
                <w:color w:val="auto"/>
                <w:w w:val="92"/>
              </w:rPr>
              <w:t>(in thousands)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1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w:t>
            </w:r>
          </w:p>
        </w:tc>
      </w:tr>
      <w:tr>
        <w:trPr>
          <w:trHeight w:val="23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 loss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For the three months ended September 30, 2017 and 2016, the Company contributed $0.2 million, for both periods, to its defined benefit pension plans. For the nine months ended September 30, 2017 and 2016, the Company contributed $0.5 million, for both periods, to its defined benefit pension plans. The Company expects to contribute approximately $0.1 million to its defined benefit pension plans during the remainder of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$3.4 million and $3.0 million, as of September 30, 2017 and December 31, 2016, respectively, included in the other long term liabilities line item in the consolidated balance sheets.</w:t>
      </w:r>
    </w:p>
    <w:p>
      <w:pPr>
        <w:spacing w:after="0" w:line="16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Company has noncancelable operating leases for office and warehouse space expiring at various dates through 2022 and thereafter. Rent expense, which is recorded on a straight-line basis, is estimated to be $1.9 million for the year ended December 31, 2017. Rent expense was approximately $0.5 million for both the three months ended September 30, 2017 and 2016. Rent expense was approximately $1.4 million for both the nine months ended September 30, 2017 and 2016,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September 30, 2017,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2019</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2021</w:t>
            </w: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6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Capital Stock</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Initially, these rights will not be exercisable and will trade with the shares of the Company’s common stock. Under the Shareholder Rights Plan, the rights generally will become exercisable if a person becomes an “acquiring person” by acquiring 20% or more of the common stock of the Company or if a person commences a tender offer that could result in that person owning 20% or more of the common stock of the Company. If a person becomes an acquiring person, each holder of a right (other than the acquiring person) would be entitled to purchase, at the then-current exercise price, such number of shares of preferred stock which are equivalent to shares of the Company’s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 Unless the Board of Directors elects to extend such plan, the Shareholder Rights Plan will expire in February 2018.</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September 30, 2017,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18, 2017, the stockholders of the Company approved an increase of 300,000 shares of common stock in the number of shares available for issuance under the ESPP. Following such amendment, 1,050,000 shares of common stock are authorized for issuance, of which 762,141 shares were issued, as of September 30, 2017. There were 36,902 and 39,353 shares issued under the ESPP during the nine months ended September 30, 2017 and 2016, respectively.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The Second Amendment to the Third A&amp;R Plan (the Amendment) was adopted by the Board of Directors on April 3, 2015. Such Amendment was approved by the stockholders at the Company’s 2015 Annual Meeting of Stockholders. Pursuant to the Amendment, the aggregate number of shares authorized for issuance under the Third A&amp;R Plan was increased by 2,500,000 shares to 17,508,929.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August 3, 2015, the Compensation Committee of the Board of Directors of the Company approved and granted deferred stock awards of Market Condition RSU’s to certain members of the Company’s management team under the Third A&amp;R Plan. The vesting of these Market Condition RSU’s is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September 30, 2017, the target number of these restricted stock units that may be earned is 170,903 shares; the maximum amount is 150% of the target number.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81"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 Company adopted ASU 2016-09 as of January 1, 2017. As disclosed in footnote 2,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 option and restricted stock unit activity under the Company’s Third A&amp;R Plan for the nine months ended September 30, 2017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560" w:type="dxa"/>
            <w:vAlign w:val="bottom"/>
            <w:gridSpan w:val="5"/>
          </w:tcPr>
          <w:p>
            <w:pPr>
              <w:ind w:left="680"/>
              <w:spacing w:after="0"/>
              <w:rPr>
                <w:sz w:val="20"/>
                <w:szCs w:val="20"/>
                <w:color w:val="auto"/>
              </w:rPr>
            </w:pPr>
            <w:r>
              <w:rPr>
                <w:rFonts w:ascii="Arial" w:cs="Arial" w:eastAsia="Arial" w:hAnsi="Arial"/>
                <w:sz w:val="18"/>
                <w:szCs w:val="18"/>
                <w:b w:val="1"/>
                <w:bCs w:val="1"/>
                <w:color w:val="auto"/>
              </w:rPr>
              <w:t>Stock Options</w:t>
            </w:r>
          </w:p>
        </w:tc>
        <w:tc>
          <w:tcPr>
            <w:tcW w:w="2500" w:type="dxa"/>
            <w:vAlign w:val="bottom"/>
            <w:gridSpan w:val="5"/>
          </w:tcPr>
          <w:p>
            <w:pPr>
              <w:ind w:left="340"/>
              <w:spacing w:after="0"/>
              <w:rPr>
                <w:sz w:val="20"/>
                <w:szCs w:val="20"/>
                <w:color w:val="auto"/>
              </w:rPr>
            </w:pPr>
            <w:r>
              <w:rPr>
                <w:rFonts w:ascii="Arial" w:cs="Arial" w:eastAsia="Arial" w:hAnsi="Arial"/>
                <w:sz w:val="18"/>
                <w:szCs w:val="18"/>
                <w:b w:val="1"/>
                <w:bCs w:val="1"/>
                <w:color w:val="auto"/>
              </w:rPr>
              <w:t>Restricted Stock Units</w:t>
            </w:r>
          </w:p>
        </w:tc>
        <w:tc>
          <w:tcPr>
            <w:tcW w:w="23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4,096,818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1,072,653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182,150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1,293,771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 / forfeited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3,780,392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1,838,543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170,903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fair value of the options granted under the Third A&amp;R Plan during the three months ended September 30, 2017 and 2016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$1.24 and $1.11, respectively. The weighted average fair value of the options granted under the Third A&amp;R Plan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and 2016 was $1.17 and $1.21, respectively. The following assumptions were used to estimate the fair value, using the Black-Scholes option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model, of stock options granted during the three and nine months ended September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35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3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20" w:type="dxa"/>
            <w:vAlign w:val="bottom"/>
          </w:tcPr>
          <w:p>
            <w:pPr>
              <w:spacing w:after="0"/>
              <w:rPr>
                <w:sz w:val="20"/>
                <w:szCs w:val="20"/>
                <w:color w:val="auto"/>
              </w:rPr>
            </w:pPr>
          </w:p>
        </w:tc>
        <w:tc>
          <w:tcPr>
            <w:tcW w:w="230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41.99%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43.05%</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41.97%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1.29%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23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5.10 years</w:t>
            </w: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5.08 years</w:t>
            </w:r>
          </w:p>
        </w:tc>
        <w:tc>
          <w:tcPr>
            <w:tcW w:w="23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5.16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 years</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Russell 3000 index as a whole.</w:t>
      </w:r>
    </w:p>
    <w:p>
      <w:pPr>
        <w:spacing w:after="0" w:line="193"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ESPP for the three and nine months ended September 30, 2017 and 2016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5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0"/>
              </w:rPr>
              <w:t>September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(in thousands)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2,604</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Effect of assumed conversion of employee and director stock options, restricted stock units and Market Condition RSU's 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9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26"/>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34,840,324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34,327,459</w:t>
            </w:r>
          </w:p>
        </w:tc>
        <w:tc>
          <w:tcPr>
            <w:tcW w:w="22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34,705,947</w:t>
            </w:r>
          </w:p>
        </w:tc>
        <w:tc>
          <w:tcPr>
            <w:tcW w:w="20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34,156,606</w:t>
            </w:r>
          </w:p>
        </w:tc>
      </w:tr>
      <w:tr>
        <w:trPr>
          <w:trHeight w:val="446"/>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34,840,324</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34,327,459</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34,705,947</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34,156,606</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-599440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226" w:right="239" w:bottom="1440" w:gutter="0" w:footer="0" w:header="0"/>
          <w:type w:val="continuous"/>
        </w:sect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5,789,838 and 5,300,945 shares of common stock for both the three and nine months ended September 30, 2017 and 2016, respectively, as the impact of these shares would be anti-dilutive.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On August 7, 2009, the Company entered into an Amended and Restated Revolving Credit Loan Agreement related to a $20.0 million revolving credit facility with Bank of America, as agent, and Bank of America and Brown Brothers Harriman &amp; Co as lenders (as amended, the 2009 Credit Agreement). On March 29, 2013, the Company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the Company entered into a series of amendments that among other things did the following:</w:t>
      </w:r>
    </w:p>
    <w:p>
      <w:pPr>
        <w:spacing w:after="0" w:line="158" w:lineRule="exact"/>
        <w:rPr>
          <w:sz w:val="20"/>
          <w:szCs w:val="20"/>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08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080" w:right="58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30, 2015, amended its quarterly minimum fixed charge coverage financial covenant;</w:t>
      </w:r>
    </w:p>
    <w:p>
      <w:pPr>
        <w:spacing w:after="0" w:line="9" w:lineRule="exact"/>
        <w:rPr>
          <w:rFonts w:ascii="Arial" w:cs="Arial" w:eastAsia="Arial" w:hAnsi="Arial"/>
          <w:sz w:val="18"/>
          <w:szCs w:val="18"/>
          <w:color w:val="auto"/>
        </w:rPr>
      </w:pPr>
    </w:p>
    <w:p>
      <w:pPr>
        <w:ind w:left="1080" w:right="160" w:hanging="316"/>
        <w:spacing w:after="0" w:line="250"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its quarterly minimum fixed charge coverage financial covenant; and</w:t>
      </w:r>
    </w:p>
    <w:p>
      <w:pPr>
        <w:ind w:left="1080" w:right="160" w:hanging="316"/>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19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the Company,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the Company, or a daily floating rate based on the BBA LIBOR, plus in either case, a margin of 2.25%.</w:t>
      </w:r>
    </w:p>
    <w:p>
      <w:pPr>
        <w:spacing w:after="0" w:line="18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Term Loan and loans under the Revolving Line evidenced by the Credit Agreement, or the Loans, are guaranteed by all of the Company’s direct and indirect domestic subsidiaries, and secured by substantially all of the assets of the Company and the guarantors. The Loans are subject to restrictive covenants under the Credit Agreement, and financial covenants that require the Company and its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89"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As of September 30, 2017 and December 31, 2016, the Company had borrowings net of debt issuance costs of $12.4 million and $13.7 million respectively, outstanding under its Credit Agreement. The carrying value of the debt approximates fair value because the interest rate under the obligation approximates market rates of interest available to the Company for similar instruments. As of September 30, 2017, the Company was in compliance with all financial covenants contained in the Credit Agreement, was subject to covenant and working capital borrowing restrictions and had available borrowing capacity under its Credit Agreement of $5.5 million.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2017, the weighted effective interest rate, net of the impact of the Company’s interest rate swap, on its Term Loan was 4.61%.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December 31, 2016,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10"/>
        </w:trPr>
        <w:tc>
          <w:tcPr>
            <w:tcW w:w="4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4"/>
          </w:tcPr>
          <w:p>
            <w:pPr>
              <w:jc w:val="right"/>
              <w:ind w:right="950"/>
              <w:spacing w:after="0"/>
              <w:rPr>
                <w:sz w:val="20"/>
                <w:szCs w:val="20"/>
                <w:color w:val="auto"/>
              </w:rPr>
            </w:pPr>
            <w:r>
              <w:rPr>
                <w:rFonts w:ascii="Arial" w:cs="Arial" w:eastAsia="Arial" w:hAnsi="Arial"/>
                <w:sz w:val="18"/>
                <w:szCs w:val="18"/>
                <w:color w:val="auto"/>
              </w:rPr>
              <w:t>(in thousands)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DDTL</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Revolving line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1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Total debt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13,746</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installments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3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1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r>
      <w:tr>
        <w:trPr>
          <w:trHeight w:val="20"/>
        </w:trPr>
        <w:tc>
          <w:tcPr>
            <w:tcW w:w="4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26"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Company uses variable-rate London Interbank Offered 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78"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As disclosed in Note 12, on May 2, 2017, the Company entered into the Credit Agreement to amend its credit facility with Bank of America, as agent, and Bank of America and Brown Brothers Harriman &amp; Co. as lenders. Immediately after entering into this Credit Agreement, the Company entered into an interest rate swap contract with Bank of America with a notional amount of $14.0 million and a termination date of March 30, 2022 in order to hedge the risk of changes in the effective benchmark interest rate (LIBOR) associated with the Company’s Term Loan. The swap contract converted specific variable-rate debt into fixed-rate debt and fixed the LIBOR rate associated with the Term Loan at 1.86% plus a bank margin of 2.75%. The interest rate swap was designated as a cash flow hedge instrument in accordance with ASC 815 “Derivatives and Hedging”.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amount of the Company’s derivative instruments as of September 30, 2017 was $12.6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September 30, 2017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September 30, 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September 30, 2017</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2"/>
              </w:rPr>
              <w:t>Notional Amount</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3"/>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Balance sheet classification</w:t>
            </w: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(in thousands)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liabilities-non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12,600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December 31, 2016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3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2"/>
              </w:rPr>
              <w:t>Notional Amount</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Balance sheet classification</w:t>
            </w: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gridSpan w:val="4"/>
          </w:tcPr>
          <w:p>
            <w:pPr>
              <w:ind w:left="100"/>
              <w:spacing w:after="0"/>
              <w:rPr>
                <w:sz w:val="20"/>
                <w:szCs w:val="20"/>
                <w:color w:val="auto"/>
              </w:rPr>
            </w:pPr>
            <w:r>
              <w:rPr>
                <w:rFonts w:ascii="Arial" w:cs="Arial" w:eastAsia="Arial" w:hAnsi="Arial"/>
                <w:sz w:val="18"/>
                <w:szCs w:val="18"/>
                <w:color w:val="auto"/>
                <w:w w:val="96"/>
              </w:rPr>
              <w:t>(in thousands)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liabilities-non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5,500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See Note 14 for the fair value measurements related to these financial instruments.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Company’s derivative instruments are designated as hedging instruments.</w:t>
      </w:r>
    </w:p>
    <w:p>
      <w:pPr>
        <w:spacing w:after="0" w:line="225"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and nine months ended September 30,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920" w:type="dxa"/>
            <w:vAlign w:val="bottom"/>
          </w:tcPr>
          <w:p>
            <w:pPr>
              <w:spacing w:after="0"/>
              <w:rPr>
                <w:sz w:val="18"/>
                <w:szCs w:val="18"/>
                <w:color w:val="auto"/>
              </w:rPr>
            </w:pPr>
          </w:p>
        </w:tc>
        <w:tc>
          <w:tcPr>
            <w:tcW w:w="43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Amount of gain (loss) recognized in OCI on derivative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770"/>
              <w:spacing w:after="0"/>
              <w:rPr>
                <w:sz w:val="20"/>
                <w:szCs w:val="20"/>
                <w:color w:val="auto"/>
              </w:rPr>
            </w:pPr>
            <w:r>
              <w:rPr>
                <w:rFonts w:ascii="Arial" w:cs="Arial" w:eastAsia="Arial" w:hAnsi="Arial"/>
                <w:sz w:val="18"/>
                <w:szCs w:val="18"/>
                <w:b w:val="1"/>
                <w:bCs w:val="1"/>
                <w:color w:val="auto"/>
                <w:w w:val="89"/>
              </w:rPr>
              <w:t>(effective portion)</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2340" w:type="dxa"/>
            <w:vAlign w:val="bottom"/>
            <w:gridSpan w:val="3"/>
          </w:tcPr>
          <w:p>
            <w:pPr>
              <w:jc w:val="center"/>
              <w:ind w:left="53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gridSpan w:val="3"/>
          </w:tcPr>
          <w:p>
            <w:pPr>
              <w:jc w:val="center"/>
              <w:ind w:right="390"/>
              <w:spacing w:after="0" w:line="191" w:lineRule="exact"/>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jc w:val="center"/>
              <w:ind w:left="70"/>
              <w:spacing w:after="0"/>
              <w:rPr>
                <w:sz w:val="20"/>
                <w:szCs w:val="20"/>
                <w:color w:val="auto"/>
              </w:rPr>
            </w:pPr>
            <w:r>
              <w:rPr>
                <w:rFonts w:ascii="Arial" w:cs="Arial" w:eastAsia="Arial" w:hAnsi="Arial"/>
                <w:sz w:val="18"/>
                <w:szCs w:val="18"/>
                <w:color w:val="auto"/>
                <w:w w:val="91"/>
              </w:rPr>
              <w:t>(in thousands)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following table summarizes the reclassifications out of accumulated other comprehensive loss for the three and nine months ended September 30, 2017 and 2016:</w:t>
      </w:r>
    </w:p>
    <w:p>
      <w:pPr>
        <w:sectPr>
          <w:pgSz w:w="11900" w:h="16838" w:orient="portrait"/>
          <w:cols w:equalWidth="0" w:num="1">
            <w:col w:w="11420"/>
          </w:cols>
          <w:pgMar w:left="240" w:top="226" w:right="2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4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57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w w:val="98"/>
              </w:rPr>
              <w:t>Amount reclassified from AOCI into income (effective portion)</w:t>
            </w:r>
          </w:p>
        </w:tc>
      </w:tr>
      <w:tr>
        <w:trPr>
          <w:trHeight w:val="191"/>
        </w:trPr>
        <w:tc>
          <w:tcPr>
            <w:tcW w:w="3240" w:type="dxa"/>
            <w:vAlign w:val="bottom"/>
          </w:tcPr>
          <w:p>
            <w:pPr>
              <w:spacing w:after="0"/>
              <w:rPr>
                <w:sz w:val="16"/>
                <w:szCs w:val="16"/>
                <w:color w:val="auto"/>
              </w:rPr>
            </w:pPr>
          </w:p>
        </w:tc>
        <w:tc>
          <w:tcPr>
            <w:tcW w:w="296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2740" w:type="dxa"/>
            <w:vAlign w:val="bottom"/>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Nine Months Ended</w:t>
            </w:r>
          </w:p>
        </w:tc>
      </w:tr>
      <w:tr>
        <w:trPr>
          <w:trHeight w:val="234"/>
        </w:trPr>
        <w:tc>
          <w:tcPr>
            <w:tcW w:w="3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20"/>
                <w:szCs w:val="20"/>
                <w:color w:val="auto"/>
              </w:rPr>
            </w:pPr>
          </w:p>
        </w:tc>
        <w:tc>
          <w:tcPr>
            <w:tcW w:w="1920" w:type="dxa"/>
            <w:vAlign w:val="bottom"/>
          </w:tcPr>
          <w:p>
            <w:pPr>
              <w:jc w:val="right"/>
              <w:ind w:right="73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3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 of amount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reclassified from AOCI</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into income (effective portion)</w:t>
      </w:r>
    </w:p>
    <w:p>
      <w:pPr>
        <w:spacing w:after="0" w:line="51" w:lineRule="exact"/>
        <w:rPr>
          <w:sz w:val="20"/>
          <w:szCs w:val="20"/>
          <w:color w:val="auto"/>
        </w:rPr>
      </w:pPr>
    </w:p>
    <w:p>
      <w:pPr>
        <w:sectPr>
          <w:pgSz w:w="11900" w:h="16838" w:orient="portrait"/>
          <w:cols w:equalWidth="0" w:num="2">
            <w:col w:w="8940" w:space="180"/>
            <w:col w:w="23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(in thousands)</w:t>
            </w:r>
          </w:p>
        </w:tc>
        <w:tc>
          <w:tcPr>
            <w:tcW w:w="6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Interest expense</w:t>
            </w:r>
          </w:p>
        </w:tc>
      </w:tr>
    </w:tbl>
    <w:p>
      <w:pPr>
        <w:spacing w:after="0" w:line="202"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As of September 30, 2017, $48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 As a result of entering into the May 2017 interest rate swap contract, the Company unwound its previous interest rate swap contracts, and received an immaterial amount in proceeds. There were no cash flow hedges discontinued during 2016.</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9"/>
              </w:rPr>
              <w:t>Fair Value as of September 30, 2017</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73"/>
        </w:trPr>
        <w:tc>
          <w:tcPr>
            <w:tcW w:w="52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0"/>
              </w:rPr>
              <w:t>Fair Value as of December 31, 2016</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 agreements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liabilities carried at fair value include derivative instruments used to hedge the Company’s interest rate risks. The fair value of the Company’s interest rate swap agreements was based on LIBOR yield curves at the reporting date.</w:t>
      </w:r>
    </w:p>
    <w:p>
      <w:pPr>
        <w:spacing w:after="0" w:line="177"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Income tax expense was approximately $7 thousand and $0.8 million for the three months ended September 30, 2017 and 2016, respectively. The tax expense for the three months ended September 30, 2017 reflects the incremental expense recorded for the nine months ended September 30, 2017 associated with the actual results for the nine-month period, as described below.</w:t>
      </w:r>
    </w:p>
    <w:p>
      <w:pPr>
        <w:spacing w:after="0" w:line="181"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Discrete items included in the tax expense for the three months ended September 30, 2017 included foreign currency gains and losses. Tax benefit for the three months ended September 30, 2016 included the recording of a full valuation allowance against the net deferred tax assets of one of the Company’s German subsidiaries, as well as the impact of an enacted tax rate change on the net deferred tax assets of one of the Company’s UK subsidiaries.</w:t>
      </w:r>
    </w:p>
    <w:p>
      <w:pPr>
        <w:spacing w:after="0" w:line="14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Income tax was an approximately $0.1 million benefit and a $0.9 million expense for the nine months ended September 30, 2017 and 2016, respectively. The effective income tax rate was 2.7% for the nine months ended September 30, 2017, compared with (42.9%) for the same period in 2016. The tax rates for the nine months ended September 30, 2017 and 2016 were based on actual results for the nine-month period rather than an effective tax rate estimated for the entire year. In 2017 and 2016, the Company determined that using a year-to-date approach resulted in a better estimate of income tax expense/benefit based on its forecast of pre-tax income/loss, the mix of taxable income/loss across several jurisdictions with different statutory tax rates, and the impact of the full valuation allowance against U.S. deferred tax assets.</w:t>
      </w:r>
    </w:p>
    <w:p>
      <w:pPr>
        <w:spacing w:after="0" w:line="178" w:lineRule="exact"/>
        <w:rPr>
          <w:sz w:val="20"/>
          <w:szCs w:val="20"/>
          <w:color w:val="auto"/>
        </w:rPr>
      </w:pPr>
    </w:p>
    <w:p>
      <w:pPr>
        <w:ind w:right="320" w:firstLine="441"/>
        <w:spacing w:after="0" w:line="279" w:lineRule="auto"/>
        <w:rPr>
          <w:sz w:val="20"/>
          <w:szCs w:val="20"/>
          <w:color w:val="auto"/>
        </w:rPr>
      </w:pPr>
      <w:r>
        <w:rPr>
          <w:rFonts w:ascii="Arial" w:cs="Arial" w:eastAsia="Arial" w:hAnsi="Arial"/>
          <w:sz w:val="17"/>
          <w:szCs w:val="17"/>
          <w:color w:val="auto"/>
        </w:rPr>
        <w:t>The difference between the Company’s effective tax rate period over period was primarily attributable to higher pre-tax income at certain individual subsidiaries in 2017 versus 2016, despite an overall pre-tax loss in both periods, as well as the settlement of an uncertain tax position in 2017, and the recording of a valuation allowance at a German subsidiary in 2016. In addition, both periods included the tax impact of amortization of certain indefinite-lived intangibles which are amortized for tax purposes only, against which a valuation allowance is not established.</w:t>
      </w:r>
    </w:p>
    <w:p>
      <w:pPr>
        <w:spacing w:after="0" w:line="17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As disclosed in footnote 2, the Company adopted ASU 2016-09 as of January 1, 2017. As a result,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a net impact of $0. In addition, tax deficiencies related to vested restricted stock units and canceled stock options during the nine months ended September 30, 2017 have been recognized in the current period’s income statement.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66" w:lineRule="auto"/>
        <w:rPr>
          <w:sz w:val="20"/>
          <w:szCs w:val="20"/>
          <w:color w:val="auto"/>
        </w:rPr>
      </w:pPr>
      <w:r>
        <w:rPr>
          <w:rFonts w:ascii="Arial" w:cs="Arial" w:eastAsia="Arial" w:hAnsi="Arial"/>
          <w:sz w:val="17"/>
          <w:szCs w:val="17"/>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currency exchange rate fluctuations; economic and political conditions generally and those affecting pharmaceutical and biotechnology industries; the seasonal nature of purchasing in Europe; our failure to expand into foreign countries and international markets; our failure to realize the expected benefits of facility consolidations; our inability to manage our growth; competition from our competitors; material weakness in our internal control over financial reporting; ineffective disclosure controls and procedures; failure or inadequacy of the our information technology structure; impact of difficulties implementing our enterprise resource planning systems;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our inability to effectively sell spectrophotometer products following the retirement of the GE Healthcare brand; failure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our spin-off of Biostage, Inc., f/k/a Harvard Apparatus Regenerative Technology, Inc., to qualify as a transaction that is generally tax-free for U.S. federal income tax purposes;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2016,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Harvard Bioscience, Inc., a Delaware corporation, is a global developer, manufacturer and marketer of a broad range of scientific instruments, systems and lab consumables used to advance life science for basic research, drug discovery, clinical and environmental testing. Our products are sold to thousands of researchers around the world through our global sales organization, websites, catalogs, and through distributors including Thermo Fisher Scientific Inc., VWR, and other specialized distributors. We have sales and manufacturing operations in the United States, the United Kingdom, Germany, Sweden, Spain, France, Canada, and China.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acquisitions;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generate revenues by selling apparatus, instruments, devices and consumables through our distributors, direct sales force, websites and</w:t>
      </w:r>
      <w:r>
        <w:rPr>
          <w:rFonts w:ascii="Arial" w:cs="Arial" w:eastAsia="Arial" w:hAnsi="Arial"/>
          <w:sz w:val="18"/>
          <w:szCs w:val="18"/>
          <w:i w:val="1"/>
          <w:iCs w:val="1"/>
          <w:color w:val="auto"/>
        </w:rPr>
        <w:t xml:space="preserve"> </w:t>
      </w:r>
      <w:r>
        <w:rPr>
          <w:rFonts w:ascii="Arial" w:cs="Arial" w:eastAsia="Arial" w:hAnsi="Arial"/>
          <w:sz w:val="18"/>
          <w:szCs w:val="18"/>
          <w:color w:val="auto"/>
        </w:rPr>
        <w:t>catalogs. Our websites and catalogs serve as the primary sales tools for our Cell and Animal Physiology product line. This product line includes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represented approximately 68% and 64% of our revenues for the three months ended September 30, 2017 and 2016, respectively. For the nine months ended September 30, 2017 and 2016, revenues from direct sales to end users represented approximately 66% and 63% of our revenues, respectively.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Products in our Molecular Separation and Analysis product line are generally sold by distributors, and are typically priced in the range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$5,000-$15,000. They are mainly scientific instruments like spectrophotometers and plate readers that analyze light to detect and quantify a wide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molecular and cellular processes, or apparatus like gel electrophoresis units. We also use distributors for both our catalog products and our higher 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as well as for sales in locations where we do not have subsidiaries or where we have existing distributors in place from acquired businesses.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2017 and 2016, approximately 32% and 36% of our total revenues, respectively, were derived from sales to distributors.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2017 and 2016, approximately 34% and 37% of our total revenues, respectively, were derived from sales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distributors.</w:t>
      </w:r>
    </w:p>
    <w:p>
      <w:pPr>
        <w:spacing w:after="0" w:line="211"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For the three and nine months ended September 30, 2017, approximately 62% of our revenues, for both periods, were derived from products we manufacture, approximately 13%, for both periods, were derived from complementary products we distribute in order to provide the researcher with a single source for all equipment needed to conduct a particular experiment, and approximately 25%, for both periods, were derived from distributed products sold under our brand names. For the three and nine months ended September 30, 2016, approximately 60% and 61% of our revenues, respectively, were derived from products we manufacture, approximately 14%, for both periods were derived from complementary products we distribute in order to provide the researcher with a single source for all equipment needed to conduct a particular experiment, and approximately 26% and 25%, respectively, were derived from distributed products sold under our brand names.</w:t>
      </w:r>
    </w:p>
    <w:p>
      <w:pPr>
        <w:spacing w:after="0" w:line="178" w:lineRule="exact"/>
        <w:rPr>
          <w:sz w:val="20"/>
          <w:szCs w:val="20"/>
          <w:color w:val="auto"/>
        </w:rPr>
      </w:pPr>
    </w:p>
    <w:p>
      <w:pPr>
        <w:ind w:right="200" w:firstLine="492"/>
        <w:spacing w:after="0" w:line="257" w:lineRule="auto"/>
        <w:rPr>
          <w:sz w:val="20"/>
          <w:szCs w:val="20"/>
          <w:color w:val="auto"/>
        </w:rPr>
      </w:pPr>
      <w:r>
        <w:rPr>
          <w:rFonts w:ascii="Arial" w:cs="Arial" w:eastAsia="Arial" w:hAnsi="Arial"/>
          <w:sz w:val="18"/>
          <w:szCs w:val="18"/>
          <w:color w:val="auto"/>
        </w:rPr>
        <w:t>For the three months ended September 30, 2017 and 2016, approximately 34% and 36% of our revenues, respectively, were derived from sales made by our non-United States operations. For the nine months ended September 30, 2017 and 2016, approximately 33% and 38% of our revenues, respectively, were derived from sales made by our non-United States operations. As discussed later under “Selected Results of Operations”, the decrease in revenues derived by our non-United States operations is primarily attributable to currency translation and the sale of our AHN Biotechnologie GmbH subsidiary (AHN).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relative proportion of our revenue sources between direct sales and distribution sales are primarily the result of changes in geographic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mix.</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6"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i w:val="1"/>
          <w:iCs w:val="1"/>
          <w:color w:val="auto"/>
        </w:rPr>
        <w:t xml:space="preserve">Stock-based compensation expenses. </w:t>
      </w:r>
      <w:r>
        <w:rPr>
          <w:rFonts w:ascii="Arial" w:cs="Arial" w:eastAsia="Arial" w:hAnsi="Arial"/>
          <w:sz w:val="18"/>
          <w:szCs w:val="18"/>
          <w:color w:val="auto"/>
        </w:rPr>
        <w:t>Stock-based compensation expense for the three months ended September 30, 2017 and 2016 was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both periods. Stock-based compensation expense for the nine months ended September 30, 2017 and 2016 was $2.6 million for both periods. The stock-based compensation expense related to stock options, restricted stock units, restricted stock units with a market condition and the employee stock purchase plan and was recorded as a component of cost of revenues, sales and marketing expenses, general and administrative expenses and research and development expenses.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19"/>
                <w:szCs w:val="19"/>
                <w:color w:val="auto"/>
              </w:rPr>
            </w:pPr>
          </w:p>
        </w:tc>
        <w:tc>
          <w:tcPr>
            <w:tcW w:w="13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Dollar</w:t>
            </w: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2016</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80" w:type="dxa"/>
            <w:vAlign w:val="bottom"/>
            <w:gridSpan w:val="3"/>
          </w:tcPr>
          <w:p>
            <w:pPr>
              <w:jc w:val="right"/>
              <w:ind w:right="790"/>
              <w:spacing w:after="0"/>
              <w:rPr>
                <w:sz w:val="20"/>
                <w:szCs w:val="20"/>
                <w:color w:val="auto"/>
              </w:rPr>
            </w:pPr>
            <w:r>
              <w:rPr>
                <w:rFonts w:ascii="Arial" w:cs="Arial" w:eastAsia="Arial" w:hAnsi="Arial"/>
                <w:sz w:val="18"/>
                <w:szCs w:val="18"/>
                <w:color w:val="auto"/>
                <w:w w:val="97"/>
              </w:rPr>
              <w:t>(dollars in thousands)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25,050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13,411</w:t>
            </w:r>
          </w:p>
        </w:tc>
        <w:tc>
          <w:tcPr>
            <w:tcW w:w="5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13,317</w:t>
            </w:r>
          </w:p>
        </w:tc>
        <w:tc>
          <w:tcPr>
            <w:tcW w:w="36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94</w:t>
            </w: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5,081</w:t>
            </w:r>
          </w:p>
        </w:tc>
        <w:tc>
          <w:tcPr>
            <w:tcW w:w="5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5,006</w:t>
            </w:r>
          </w:p>
        </w:tc>
        <w:tc>
          <w:tcPr>
            <w:tcW w:w="36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75</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4,783</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1,538</w:t>
            </w:r>
          </w:p>
        </w:tc>
        <w:tc>
          <w:tcPr>
            <w:tcW w:w="5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1,309</w:t>
            </w:r>
          </w:p>
        </w:tc>
        <w:tc>
          <w:tcPr>
            <w:tcW w:w="36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229</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Impairment charges</w:t>
            </w: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(676)</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850"/>
        </w:trPr>
        <w:tc>
          <w:tcPr>
            <w:tcW w:w="4080" w:type="dxa"/>
            <w:vAlign w:val="bottom"/>
          </w:tcPr>
          <w:p>
            <w:pPr>
              <w:spacing w:after="0"/>
              <w:rPr>
                <w:sz w:val="24"/>
                <w:szCs w:val="24"/>
                <w:color w:val="auto"/>
              </w:rPr>
            </w:pPr>
          </w:p>
        </w:tc>
        <w:tc>
          <w:tcPr>
            <w:tcW w:w="1900" w:type="dxa"/>
            <w:vAlign w:val="bottom"/>
            <w:gridSpan w:val="2"/>
          </w:tcPr>
          <w:p>
            <w:pPr>
              <w:ind w:left="1440"/>
              <w:spacing w:after="0"/>
              <w:rPr>
                <w:sz w:val="20"/>
                <w:szCs w:val="20"/>
                <w:color w:val="auto"/>
              </w:rPr>
            </w:pPr>
            <w:r>
              <w:rPr>
                <w:rFonts w:ascii="Arial" w:cs="Arial" w:eastAsia="Arial" w:hAnsi="Arial"/>
                <w:sz w:val="18"/>
                <w:szCs w:val="18"/>
                <w:color w:val="auto"/>
              </w:rPr>
              <w:t>- 20 -</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8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Revenues for the three months ended September 30, 2017 were $25.1 million, an increase of approximately 0.2%, or $43 thousand, compared to revenues of $25.0 million for the three months ended September 30, 2016.</w:t>
      </w:r>
    </w:p>
    <w:p>
      <w:pPr>
        <w:spacing w:after="0" w:line="170" w:lineRule="exact"/>
        <w:rPr>
          <w:sz w:val="20"/>
          <w:szCs w:val="20"/>
          <w:color w:val="auto"/>
        </w:rPr>
      </w:pPr>
    </w:p>
    <w:p>
      <w:pPr>
        <w:ind w:right="300" w:firstLine="441"/>
        <w:spacing w:after="0" w:line="257" w:lineRule="auto"/>
        <w:rPr>
          <w:sz w:val="20"/>
          <w:szCs w:val="20"/>
          <w:color w:val="auto"/>
        </w:rPr>
      </w:pPr>
      <w:r>
        <w:rPr>
          <w:rFonts w:ascii="Arial" w:cs="Arial" w:eastAsia="Arial" w:hAnsi="Arial"/>
          <w:sz w:val="18"/>
          <w:szCs w:val="18"/>
          <w:color w:val="auto"/>
        </w:rPr>
        <w:t>The loss in revenues from the October 2016 AHN disposition negatively impacted revenues in the quarter by approximately $0.7 million, while the impact of currency translation positively impacted revenues in the quarter by approximately $0.2 million. The favorability in currency translation in the quarter was primarily from the strengthening of the Euro and British Pound against the U.S. dollar. Excluding the impact of the AHN disposition and currency translation, revenues grew approximately 2%, or $0.5 million in the third quarter. This result was primarily due to growth in the U.S. and China, partially offset by a decline in Europe.</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58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w w:val="91"/>
              </w:rPr>
              <w:t>Reconciliation of Changes In Revenues Compared to the</w:t>
            </w:r>
          </w:p>
        </w:tc>
      </w:tr>
      <w:tr>
        <w:trPr>
          <w:trHeight w:val="234"/>
        </w:trPr>
        <w:tc>
          <w:tcPr>
            <w:tcW w:w="1980" w:type="dxa"/>
            <w:vAlign w:val="bottom"/>
          </w:tcPr>
          <w:p>
            <w:pPr>
              <w:spacing w:after="0"/>
              <w:rPr>
                <w:sz w:val="20"/>
                <w:szCs w:val="20"/>
                <w:color w:val="auto"/>
              </w:rPr>
            </w:pPr>
          </w:p>
        </w:tc>
        <w:tc>
          <w:tcPr>
            <w:tcW w:w="6580" w:type="dxa"/>
            <w:vAlign w:val="bottom"/>
            <w:gridSpan w:val="2"/>
          </w:tcPr>
          <w:p>
            <w:pPr>
              <w:jc w:val="right"/>
              <w:ind w:right="3030"/>
              <w:spacing w:after="0"/>
              <w:rPr>
                <w:sz w:val="20"/>
                <w:szCs w:val="20"/>
                <w:color w:val="auto"/>
              </w:rPr>
            </w:pPr>
            <w:r>
              <w:rPr>
                <w:rFonts w:ascii="Arial" w:cs="Arial" w:eastAsia="Arial" w:hAnsi="Arial"/>
                <w:sz w:val="18"/>
                <w:szCs w:val="18"/>
                <w:b w:val="1"/>
                <w:bCs w:val="1"/>
                <w:color w:val="auto"/>
              </w:rPr>
              <w:t>Same Period of the Prior Year</w:t>
            </w:r>
          </w:p>
        </w:tc>
      </w:tr>
      <w:tr>
        <w:trPr>
          <w:trHeight w:val="427"/>
        </w:trPr>
        <w:tc>
          <w:tcPr>
            <w:tcW w:w="1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19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1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5"/>
              </w:rPr>
              <w:t>Organic and AHN change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1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198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r>
      <w:tr>
        <w:trPr>
          <w:trHeight w:val="22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42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9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Cost of revenues were $13.4 million for the three months ended September 30, 2017, an increase of $0.1 million, or 0.7%, compared with $13.3 million for the three months ended September 30, 2016. The increase in cost of revenues was primarily due to the effect of changes in volume and mix of distributed or manufactured products in comparison to the prior period. These increases were offset by the effect on cost of revenues of the sale of AHN which was approximately $0.5 million. Gross profit margin as a percentage of revenues decreased slightly to 46.5% for the three months ended September 30, 2017 compared with 46.7% for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Sales and marketing expenses were relatively flat, increasing $0.1 million or 1.5% to $5.1 million for the three months ended September 30, 2017 compared to $5.0 million during the same period in 2016. The increase in sales and marketing expenses was due to increases in employee costs and stock compensation offset by decreases in consulting and purchased services as well as the impact of the sale of AHN.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General and administrative expenses were $4.5 million for the three months ended September 30, 2017, a decrease of $0.3 million, or 5.2%, compared with $4.8 million for the three months ended September 30, 2016. The reduction in these expenses was primarily due to a decrease in employee, consulting and purchased services costs, offset by an increase in facilities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700" w:firstLine="441"/>
        <w:spacing w:after="0" w:line="286" w:lineRule="auto"/>
        <w:rPr>
          <w:sz w:val="20"/>
          <w:szCs w:val="20"/>
          <w:color w:val="auto"/>
        </w:rPr>
      </w:pPr>
      <w:r>
        <w:rPr>
          <w:rFonts w:ascii="Arial" w:cs="Arial" w:eastAsia="Arial" w:hAnsi="Arial"/>
          <w:sz w:val="17"/>
          <w:szCs w:val="17"/>
          <w:color w:val="auto"/>
        </w:rPr>
        <w:t>Research and development expenses were $1.5 million for the three months ended September 30, 2017, an increase of $0.2 million, or 17.5%, compared with $1.3 million for the three months ended September 30, 2016. The increase in expense was primarily due to an increase in employee, consulting and other purchased services costs due to investments in new product development and compliance efforts.</w:t>
      </w:r>
    </w:p>
    <w:p>
      <w:pPr>
        <w:sectPr>
          <w:pgSz w:w="11900" w:h="16838" w:orient="portrait"/>
          <w:cols w:equalWidth="0" w:num="1">
            <w:col w:w="11380"/>
          </w:cols>
          <w:pgMar w:left="240" w:top="226" w:right="27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Amortization of intangible asset expenses was $0.6 million and $0.7 million for the three months ended September 30, 2017 and 2016, respectively. The decrease in amortization expense was primarily due to the effect of certain long-lived intangible assets becoming fully amortized towards the end of fiscal year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Impairment charges were $0.7 million for the three months ended September 30, 2016. During the third quarter of 2016, we initiated plans to sell the operations of AHN. As a result of initiating the plan to sell the operations of AHN, we evaluated the long-lived assets for impairment, pursuant to ASC 360-10. Based on the resulting impairment analysis, we recognized an impairment charge of $0.7 million for the three months ended September 30,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Other expense, net, was $0.3 million and $0.1 million for the three months ended September 30, 2017 and 2016, respectively. Included in other expense, net for three months ended September 30, 2017 and 2016 was interest expense of $0.2 million and $0.1 million, respectively. The increase in other expense, net was primarily due to an increase in foreign exchange losses. Currency exchange rate fluctuations included as a component of net loss resulted in approximately $0.1 million in currency losses and $0.1 million in currency gains for the three months ended September 30, 2017 and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441"/>
        <w:spacing w:after="0" w:line="255" w:lineRule="auto"/>
        <w:rPr>
          <w:sz w:val="20"/>
          <w:szCs w:val="20"/>
          <w:color w:val="auto"/>
        </w:rPr>
      </w:pPr>
      <w:r>
        <w:rPr>
          <w:rFonts w:ascii="Arial" w:cs="Arial" w:eastAsia="Arial" w:hAnsi="Arial"/>
          <w:sz w:val="18"/>
          <w:szCs w:val="18"/>
          <w:color w:val="auto"/>
        </w:rPr>
        <w:t>Income tax expense was approximately $7 thousand and $0.8 million for the three months ended September 30, 2017 and 2016, respectively. The tax expense for the three months ended September 30, 2017 reflects the incremental expense recorded for the nine months ended September 30, 2017 associated with the actual results for the nine-month period. Discrete items included in the tax expense for the three months ended September 30, 2017 included foreign currency gains and losses. Discrete items for the three months ended September 30, 2016 included the recording of a full valuation allowance against the net deferred tax assets of one of the Company’s German subsidiaries, as well as the impact of an enacted tax rate change on the net deferred tax assets of one of the Company’s UK subsidiaries.</w:t>
      </w:r>
    </w:p>
    <w:p>
      <w:pPr>
        <w:spacing w:after="0" w:line="193"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Additionally, in order to ensure that all EU laws remain in place until specifically repealed, the UK government has announced its intention to enact a ‘Repeal Bill’ which enshrines all EU law into domestic UK legislation. As of the filing date of this Form 10-Q, this Repeal Bill has not been enacted. Consequently, we plan to adjust our current and deferred taxes when tax law changes related to UK’s withdrawal from the EU are actually enacted and/or when EU law ceases to apply in the UK.</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Nine Months Ended September 30, 2017 compared to Nine Months Ended September 30, 2016</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Dollar</w:t>
            </w:r>
          </w:p>
        </w:tc>
        <w:tc>
          <w:tcPr>
            <w:tcW w:w="13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8"/>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2016</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60" w:type="dxa"/>
            <w:vAlign w:val="bottom"/>
            <w:gridSpan w:val="3"/>
          </w:tcPr>
          <w:p>
            <w:pPr>
              <w:jc w:val="right"/>
              <w:ind w:right="890"/>
              <w:spacing w:after="0"/>
              <w:rPr>
                <w:sz w:val="20"/>
                <w:szCs w:val="20"/>
                <w:color w:val="auto"/>
              </w:rPr>
            </w:pPr>
            <w:r>
              <w:rPr>
                <w:rFonts w:ascii="Arial" w:cs="Arial" w:eastAsia="Arial" w:hAnsi="Arial"/>
                <w:sz w:val="18"/>
                <w:szCs w:val="18"/>
                <w:color w:val="auto"/>
              </w:rPr>
              <w:t>(dollars 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74,419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78,106</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(3,687)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39,994</w:t>
            </w:r>
          </w:p>
        </w:tc>
        <w:tc>
          <w:tcPr>
            <w:tcW w:w="6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41,796</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(1,802)</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15,111</w:t>
            </w:r>
          </w:p>
        </w:tc>
        <w:tc>
          <w:tcPr>
            <w:tcW w:w="6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15,194</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14,144</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15,979</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(1,835)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4,119</w:t>
            </w:r>
          </w:p>
        </w:tc>
        <w:tc>
          <w:tcPr>
            <w:tcW w:w="6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4,236</w:t>
            </w:r>
          </w:p>
        </w:tc>
        <w:tc>
          <w:tcPr>
            <w:tcW w:w="44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1,825</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2,099</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4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(676)</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Revenues for the nine months ended September 30, 2017 were $74.4 million, a decrease of 4.7%, or $3.7 million, compared to revenues of $78.1 million for the same period in 2016.</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Excluding the effects of currency translation, primarily from the weakening of the British Pound against the U.S. dollar, our revenues decreased 3.4%, or $2.7 million from the same period in 2016. Also included in the revenue decline for the quarter is a decrease of $2.0 million, due to the AHN disposition in October 2016. Excluding the unfavorable currency translation and the revenue impact of the AHN disposition, revenues declined by approximately 1%. The decrease was primarily due to continued softness in Europe, partially offset with revenue growth in the U.S. and China for the nine months ended September 30, 2017.</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58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w w:val="91"/>
              </w:rPr>
              <w:t>Reconciliation of Changes In Revenues Compared to the</w:t>
            </w:r>
          </w:p>
        </w:tc>
      </w:tr>
      <w:tr>
        <w:trPr>
          <w:trHeight w:val="234"/>
        </w:trPr>
        <w:tc>
          <w:tcPr>
            <w:tcW w:w="1980" w:type="dxa"/>
            <w:vAlign w:val="bottom"/>
          </w:tcPr>
          <w:p>
            <w:pPr>
              <w:spacing w:after="0"/>
              <w:rPr>
                <w:sz w:val="20"/>
                <w:szCs w:val="20"/>
                <w:color w:val="auto"/>
              </w:rPr>
            </w:pPr>
          </w:p>
        </w:tc>
        <w:tc>
          <w:tcPr>
            <w:tcW w:w="6580" w:type="dxa"/>
            <w:vAlign w:val="bottom"/>
            <w:gridSpan w:val="2"/>
          </w:tcPr>
          <w:p>
            <w:pPr>
              <w:jc w:val="right"/>
              <w:ind w:right="3030"/>
              <w:spacing w:after="0"/>
              <w:rPr>
                <w:sz w:val="20"/>
                <w:szCs w:val="20"/>
                <w:color w:val="auto"/>
              </w:rPr>
            </w:pPr>
            <w:r>
              <w:rPr>
                <w:rFonts w:ascii="Arial" w:cs="Arial" w:eastAsia="Arial" w:hAnsi="Arial"/>
                <w:sz w:val="18"/>
                <w:szCs w:val="18"/>
                <w:b w:val="1"/>
                <w:bCs w:val="1"/>
                <w:color w:val="auto"/>
              </w:rPr>
              <w:t>Same Period of the Prior Year</w:t>
            </w:r>
          </w:p>
        </w:tc>
      </w:tr>
      <w:tr>
        <w:trPr>
          <w:trHeight w:val="427"/>
        </w:trPr>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19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1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5"/>
              </w:rPr>
              <w:t>Organic and AHN change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98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r>
      <w:tr>
        <w:trPr>
          <w:trHeight w:val="22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436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approximates information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Cost of revenues decreased $1.8 million, or 4.3%, to $40 million for the nine months ended September 30, 2017 compared with $41.8 million for the nine months ended September 30, 2016. The decrease in cost of revenues was primarily due to the decrease in revenues, including the effect on cost of revenues of the sale of AHN which was approximately $1.4 million. Gross profit margin as a percentage of revenues was relatively flat at 46.3% for the nine months ended September 30, 2017 compared with 46.5% for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Sales and marketing expenses decreased $0.1 million, or 0.5%, to $15.1 million for the nine months ended September 30, 2017 compared with $15.2 million for the nine months ended September 30, 2016. The decrease was primarily due to currency fluctuation and also included the effect of a decrease in sales commissions, and the impact of the sale of AHN. Sales commissions decreased due to lower revenues during the nine months ended September 30, 2017 in comparison to the same period in 2016. These decreases were offset by increases in freight and stock compensation costs.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General and administrative expenses decreased $1.9 million, or 11.5%, to $14.1 million for the nine months ended September 30, 2017 compared with $16.0 million for the nine months ended September 30, 2016. The decrease was primarily due to forensic investigation costs incurred during the nine months ended September 30, 2016, as well as a decrease in consulting fees, and lower travel costs compared to the same period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Research and development expenses were $4.1 million for the nine months ended September 30, 2017, a decrease of $0.1 million, or 2.8%, compared with $4.2 million for the nine months ended September 30, 2016. The decrease was primarily due to a reduction in payroll related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Amortization of intangible asset expenses was $1.8 million and $2.1 million for the nine months ended September 30, 2017 and 2016, respectively. The decrease in amortization expense was primarily due to the effect of certain long-lived intangible assets becoming fully amortized towards the end of fiscal year 2016, as well as the sale of AHN during October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Impairment charges were $0.7 million for the nine months ended September 30, 2016. During the third quarter of 2016, we initiated plans to sell the operations of AHN. As a result of initiating the plan to sell the operations of AHN, we evaluated the long-lived assets for impairment, pursuant to ASC 360-10. Based on the resulting impairment analysis, we recognized an impairment charge of $0.7 million for the nine months ended September 30,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Other expense, net, was $1.1 million and $0.2 million for the nine months ended September 30, 2017 and 2016, respectively. The increase in other expense, net was primarily due to an increase in foreign currency losses as compared to foreign currency gains in the prior period. Currency exchange rate fluctuations included as a component of net loss resulted in approximately $0.4 million in currency losses and $0.4 million in currency gains during the nine months ended September 30, 2017 and 2016, respectively. Interest expense was $0.5 million for both the nine months ended September 30, 2017 and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Income tax was an approximately a $0.1 million benefit and a $0.9 million expense for the nine months ended September 30, 2017 and 2016, respectively. The effective income tax rate was 2.7% for the nine months ended September 30, 2017, compared with (42.9%) for the same period in 2016. The tax rates for the nine months ended September 30, 2017 and 2016, respectively, were based on actual results for the nine-month period rather than an effective tax rate estimated for the entire year. We determined that using a year-to-date approach resulted in a better estimate of income tax expense based on our updated forecasts of pre-tax income, mix of income across several jurisdictions with different statutory tax rates as well as the impact of the full valuation allowance against U.S. deferred tax assets.</w:t>
      </w:r>
    </w:p>
    <w:p>
      <w:pPr>
        <w:spacing w:after="0" w:line="19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difference between our effective tax rate period over period was primarily attributable to higher pre-tax income at certain individual subsidiaries in 2017 versus 2016 despite an overall pre-tax loss in both periods, as well as the settlement of an uncertain tax position in 2017, and the recording of a valuation allowance at a German subsidiary in 2016. In addition, both periods included the tax impact of amortization of certain indefinite-lived intangibles which are amortized for tax purposes only, against which a valuation allowance is not established.</w:t>
      </w:r>
    </w:p>
    <w:p>
      <w:pPr>
        <w:spacing w:after="0" w:line="18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Additionally, in order to ensure that all EU laws remain in place until specifically repealed, the UK government has announced its intention to enact a ‘Repeal Bill’ which enshrines all EU law into domestic UK legislation. As of the filing date of this Form 10-Q, this Repeal Bill has not been enacted. Consequently, we plan to adjust our current and deferred taxes when tax law changes related to UK’s withdrawal from the EU are actually enacted and/or when EU law ceases to apply in the UK.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the issuance of common stock, and bank borrowings. Our liquidity requirements arise primarily from investing activities, including funding of acquisitions, and other capital expenditures.</w:t>
      </w:r>
    </w:p>
    <w:p>
      <w:pPr>
        <w:spacing w:after="0" w:line="14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of September 30, 2017, we held cash and cash equivalents of $5.8 million, compared with $5.6 million at December 31, 2016. As of September 30, 2017 and December 31, 2016, we had $12.4 million and $13.7 million of borrowings outstanding under our credit facility, net of deferred financing costs. Total debt, net of cash and cash equivalents was $6.6 million at September 30, 2017, compared to $8.1 million at December 31, 2016, respectively. In addition, we had an underfunded United Kingdom pension liability of approximately $3.4 million and $3.0 million at September 30, 2017 and December 31, 2016, respectively.</w:t>
      </w:r>
    </w:p>
    <w:p>
      <w:pPr>
        <w:spacing w:after="0" w:line="18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As of September 30, 2017 and December 31, 2016, cash and cash equivalents held by our foreign subsidiaries was $4.6 million and $4.5 million, respectively. Funds held by our foreign subsidiaries are not available for domestic operations unless the funds are repatriated. If we planned to or did repatriate these funds, then United States federal and state income taxes would have to be recorded on such amounts. Our reinvestment determination is based on the future operational and capital requirements of our U.S. and non-U.S. operations. As of December 31, 2015, we determined that the assertion of permanent reinvestment at our foreign subsidiaries in Canada and France was no longer appropriate and we repatriated approximately $3.5 million during the nine months ended September 30, 2016. We did not repatriate any funds during the nine months ended September 30, 2017. Cash balances did not exceed the level required for normal business operations at our subsidiaries in Canada and France as of September 30, 2017. With no funds available to repatriate, no deferred tax liability was recorded as of that date. The total tax liability associated with the repatriation of undistributed earnings in Canada and France during the nine months ended September 30, 2016 was approximately $1.2 million, however it is anticipated that any taxable income generated by the repatriation will be offset by the use of carried forward net operating losses. We currently have no plans to repatriate any of our undistributed foreign earnings in any other countries outside of Canada and France. These balances are considered permanently reinvested and will be used for foreign items including foreign acquisitions, capital investments, pension obligations and operations. It is impracticable to estimate the total tax liability, if any, which would be created by the future distribution of these earnings.</w:t>
      </w:r>
    </w:p>
    <w:p>
      <w:pPr>
        <w:spacing w:after="0" w:line="18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currently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right="480"/>
        <w:spacing w:after="0" w:line="258" w:lineRule="auto"/>
        <w:rPr>
          <w:sz w:val="20"/>
          <w:szCs w:val="20"/>
          <w:color w:val="auto"/>
        </w:rPr>
      </w:pPr>
      <w:r>
        <w:rPr>
          <w:rFonts w:ascii="Arial" w:cs="Arial" w:eastAsia="Arial" w:hAnsi="Arial"/>
          <w:sz w:val="18"/>
          <w:szCs w:val="18"/>
          <w:color w:val="auto"/>
        </w:rPr>
        <w:t>Other adjustments to operating cash flows Changes in assets and liabilities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Net cash provided by operating activities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right="420"/>
        <w:spacing w:after="0" w:line="258" w:lineRule="auto"/>
        <w:rPr>
          <w:sz w:val="20"/>
          <w:szCs w:val="20"/>
          <w:color w:val="auto"/>
        </w:rPr>
      </w:pPr>
      <w:r>
        <w:rPr>
          <w:rFonts w:ascii="Arial" w:cs="Arial" w:eastAsia="Arial" w:hAnsi="Arial"/>
          <w:sz w:val="18"/>
          <w:szCs w:val="18"/>
          <w:color w:val="auto"/>
        </w:rPr>
        <w:t>Additions to property, plant and equipment Other investing activities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repayments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financing activities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financing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4400"/>
        <w:spacing w:after="0"/>
        <w:rPr>
          <w:sz w:val="20"/>
          <w:szCs w:val="20"/>
          <w:color w:val="auto"/>
        </w:rPr>
      </w:pPr>
      <w:r>
        <w:rPr>
          <w:rFonts w:ascii="Arial" w:cs="Arial" w:eastAsia="Arial" w:hAnsi="Arial"/>
          <w:sz w:val="15"/>
          <w:szCs w:val="15"/>
          <w:b w:val="1"/>
          <w:bCs w:val="1"/>
          <w:color w:val="auto"/>
        </w:rPr>
        <w:t>Condensed Cash Flow Statements</w:t>
      </w:r>
    </w:p>
    <w:p>
      <w:pPr>
        <w:spacing w:after="0" w:line="62" w:lineRule="exact"/>
        <w:rPr>
          <w:sz w:val="20"/>
          <w:szCs w:val="20"/>
          <w:color w:val="auto"/>
        </w:rPr>
      </w:pPr>
    </w:p>
    <w:p>
      <w:pPr>
        <w:jc w:val="center"/>
        <w:ind w:right="44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439"/>
        <w:spacing w:after="0"/>
        <w:rPr>
          <w:sz w:val="20"/>
          <w:szCs w:val="20"/>
          <w:color w:val="auto"/>
        </w:rPr>
      </w:pPr>
      <w:r>
        <w:rPr>
          <w:rFonts w:ascii="Arial" w:cs="Arial" w:eastAsia="Arial" w:hAnsi="Arial"/>
          <w:sz w:val="18"/>
          <w:szCs w:val="18"/>
          <w:b w:val="1"/>
          <w:bCs w:val="1"/>
          <w:color w:val="auto"/>
        </w:rPr>
        <w:t>September 30,</w:t>
      </w:r>
    </w:p>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r>
      <w:tr>
        <w:trPr>
          <w:trHeight w:val="224"/>
        </w:trPr>
        <w:tc>
          <w:tcPr>
            <w:tcW w:w="2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r>
      <w:tr>
        <w:trPr>
          <w:trHeight w:val="620"/>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(1,864)</w:t>
            </w:r>
          </w:p>
        </w:tc>
        <w:tc>
          <w:tcPr>
            <w:tcW w:w="200" w:type="dxa"/>
            <w:vAlign w:val="bottom"/>
          </w:tcPr>
          <w:p>
            <w:pPr>
              <w:spacing w:after="0"/>
              <w:rPr>
                <w:sz w:val="24"/>
                <w:szCs w:val="24"/>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(2,987)</w:t>
            </w:r>
          </w:p>
        </w:tc>
      </w:tr>
      <w:tr>
        <w:trPr>
          <w:trHeight w:val="230"/>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7,116</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849"/>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633"/>
        </w:trPr>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(3,738)</w:t>
            </w:r>
          </w:p>
        </w:tc>
      </w:tr>
      <w:tr>
        <w:trPr>
          <w:trHeight w:val="230"/>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4"/>
        </w:trPr>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431"/>
        </w:trPr>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453"/>
        </w:trPr>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4"/>
                <w:szCs w:val="24"/>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-2854960</wp:posOffset>
            </wp:positionV>
            <wp:extent cx="61575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-2580640</wp:posOffset>
            </wp:positionV>
            <wp:extent cx="61575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-2297430</wp:posOffset>
            </wp:positionV>
            <wp:extent cx="615759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-2014855</wp:posOffset>
            </wp:positionV>
            <wp:extent cx="615759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-1740535</wp:posOffset>
            </wp:positionV>
            <wp:extent cx="61575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-1457325</wp:posOffset>
            </wp:positionV>
            <wp:extent cx="615759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-1174115</wp:posOffset>
            </wp:positionV>
            <wp:extent cx="615759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-899795</wp:posOffset>
            </wp:positionV>
            <wp:extent cx="615759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-608330</wp:posOffset>
            </wp:positionV>
            <wp:extent cx="615759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-325120</wp:posOffset>
            </wp:positionV>
            <wp:extent cx="615759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7000"/>
          </w:cols>
          <w:pgMar w:left="240" w:top="226"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0" w:firstLine="441"/>
        <w:spacing w:after="0" w:line="308" w:lineRule="auto"/>
        <w:rPr>
          <w:sz w:val="20"/>
          <w:szCs w:val="20"/>
          <w:color w:val="auto"/>
        </w:rPr>
      </w:pPr>
      <w:r>
        <w:rPr>
          <w:rFonts w:ascii="Arial" w:cs="Arial" w:eastAsia="Arial" w:hAnsi="Arial"/>
          <w:sz w:val="17"/>
          <w:szCs w:val="17"/>
          <w:color w:val="auto"/>
        </w:rPr>
        <w:t>Our operating activities provided cash of $2.0 million and $3.7 million for the nine months ended September 30, 2017 and 2016, respectively. The decrease in net cash flow from operations was primarily due to the effect of changes in working capital quarter over quarter.</w:t>
      </w:r>
    </w:p>
    <w:p>
      <w:pPr>
        <w:spacing w:after="0" w:line="147"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Our investing activities used cash of $0.7 million and $1.0 million for the nine months ended September 30, 2017 and 2016, respectively. Investing activities during the nine months ended September 30, 2017 and 2016 primarily included cash used for purchases of property, plant and equipment. We spent $0.7 million and $0.9 million on capital expenditures during the nine months ended September 30, 2017 and 2016, respectively.</w:t>
      </w:r>
    </w:p>
    <w:p>
      <w:pPr>
        <w:spacing w:after="0" w:line="166"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Our financing activities have historically consisted of borrowings and repayments under our revolving credit facility and term loans, payments of debt issuance costs and the issuance of common stock. During the nine months ended September 30, 2017, financing activities used cash of $1.4 million, compared with $3.7 million of cash used by financing activities for the nine months ended September 30, 2016. During the nine months ended September 30, 2017, we borrowed $2.3 million under our credit facility, repaid $3.5 million of debt under our credit facility and term loans and ended the quarter with $12.4 million of borrowings, net of deferred financing costs of $0.2 million. Net cash paid for tax withholdings from the issuance of common stock for the nine months ended September 30, 2017 was $0.1 million, which related to the vesting of restricted stock units. During the nine months ended September 30, 2016, we borrowed $3.0 million under our credit facility, repaid $6.7 million of debt under our credit facility and term loans and ended with $15.0 million of borrowings at September 30, 2016, net of deferred financing costs of $0.1 million. Net proceeds from the issuance of common stock for the nine months ended September 30, 2016 were $0.1 million, which related to the exercise of stock options and vesting of restricted stock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On August 7, 2009, we entered into an Amended and Restated Revolving Credit Loan Agreement related to a $20.0 million revolving credit facility with Bank of America, as agent, and Bank of America and Brown Brothers Harriman &amp; Co as lenders (as amended, the 2009 Credit Agreement). On March 29, 2013, we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May 2017, we entered into a series of amendments that among other things did the following:</w:t>
      </w:r>
    </w:p>
    <w:p>
      <w:pPr>
        <w:spacing w:after="0" w:line="173" w:lineRule="exact"/>
        <w:rPr>
          <w:sz w:val="20"/>
          <w:szCs w:val="20"/>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08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080" w:right="58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30, 2015, amended its quarterly minimum fixed charge coverage financial covenant;</w:t>
      </w:r>
    </w:p>
    <w:p>
      <w:pPr>
        <w:spacing w:after="0" w:line="9" w:lineRule="exact"/>
        <w:rPr>
          <w:rFonts w:ascii="Arial" w:cs="Arial" w:eastAsia="Arial" w:hAnsi="Arial"/>
          <w:sz w:val="18"/>
          <w:szCs w:val="18"/>
          <w:color w:val="auto"/>
        </w:rPr>
      </w:pPr>
    </w:p>
    <w:p>
      <w:pPr>
        <w:ind w:left="1080" w:right="160" w:hanging="316"/>
        <w:spacing w:after="0" w:line="25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its quarterly minimum fixed charge coverage financial covenant; and</w:t>
      </w:r>
    </w:p>
    <w:p>
      <w:pPr>
        <w:ind w:left="1080" w:right="160" w:hanging="316"/>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2, 2017, entered into a Third Amended and Restated Revolving Credit Agreement (as amended, the Credit Agreement) with Bank of America, as agent, and Bank of America and Brown Brothers Harriman &amp; Co, as lenders that amended and restated the 2013 Credit Agreement.</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Credit Agreement was entered into to, among other things, consolidate, combine and restate the outstanding indebtedness, on the date of the Credit Agreement, into a term loan (the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us,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us, or a daily floating rate based on the BBA LIBOR, plus in either case, a margin of 2.25%.</w:t>
      </w:r>
    </w:p>
    <w:p>
      <w:pPr>
        <w:spacing w:after="0" w:line="189"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At September 30, 2017, the weighted effective interest rate, net of the impact of our interest rate swap, on the Term Loan was 4.61%. The Credit Agreement includes covenants relating to income, debt coverage and cash flow, as well as minimum working capital requirements. The Credit Agreement also contains limitations on our ability to incur additional indebtedness and requires lender approval for acquisitions funded with cash, promissory notes and/or other consideration in excess of $6.0 million and for acquisitions funded solely with equity in excess of $10.0 million. As of September 30, 2017, we were in compliance with all financial covenants contained in the Credit Agreement; we were subject to covenant and working capital borrowing restrictions, and had available borrowing capacity under the Credit Agreement of $5.5 million.</w:t>
      </w:r>
    </w:p>
    <w:p>
      <w:pPr>
        <w:spacing w:after="0" w:line="17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The Term Loan and loans under the Revolving Line as evidenced by the Credit Agreement, or the Loans, are guaranteed by all of our direct and indirect domestic subsidiaries, and secured by substantially all of our assets and the guarantors. The Loans are subject to restrictive covenants under the Credit Agreement, and financial covenants that require us and our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our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65"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any potential future acquisitions and capital expenditures for the next 12 months and beyond. This may involve incurring additional debt or raising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2016, which was filed with the SEC on March 17,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sterling, the Euro, the Canadian dollar and the Swedish krona.</w:t>
      </w:r>
    </w:p>
    <w:p>
      <w:pPr>
        <w:spacing w:after="0" w:line="1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During the nine months ended September 30, 2017, changes in foreign currency exchange rates resulted in an unfavorable translation effect on our consolidated revenues and a neutral effect on our consolidated net loss. Changes in foreign currency exchange rates resulted in an unfavorable effect on revenues of approximately $1.0 million and a favorable effect on expenses of approximately $1.0 million. During the nine months ended September 30, 2016, changes in foreign currency exchange rates resulted in an unfavorable effect on revenues of $1.2 million and a favorable effect on expenses of $1.1 million.</w:t>
      </w:r>
    </w:p>
    <w:p>
      <w:pPr>
        <w:spacing w:after="0" w:line="15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gain associated with the translation of foreign equity into U.S. dollars included as a component of comprehensive loss during the three months ended September 30, 2017, was approximately $1.2 million, compared to a loss of $2.0 million for the three months ended September 30, 2016. The gain associated with the translation of foreign equity into U.S. dollars included as a component of comprehensive loss during the nine months ended September 30, 2017, was approximately $4.2 million, compared to a loss of $1.4 million for the nine months ended September 30,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currency exchange rate fluctuations included as a component of net loss resulted in approximately $0.1 million in currency losses and $0.1 million in currency gains during the three months ended September 30, 2017 and 2016, respectively. Currency exchange rate fluctuations included as a component of net loss resulted in approximately $0.5 million in currency losses and $0.4 million in currency gains during the nine months ended September 30,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 new accounting standard that provides for a comprehensive model to use in the accounting for revenue arising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 We expect to adopt this standard as of January 1, 2018 using the modified retrospective approach.</w:t>
      </w:r>
    </w:p>
    <w:p>
      <w:pPr>
        <w:spacing w:after="0" w:line="15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are in the process of evaluating the impact of the new standard on our consolidated financial position, results of operations and cash flows. As part of this process, we have conducted a comprehensive assessment of our contracts concerning any unique customer contract terms or transactions that could have implications under the new guidance. We have identified our significant revenue streams, which currently consist primarily of product revenue transactions, and to a lesser extent, extended warranty transactions on certain product sales, and revenues from government contracts. We are in the process of updating our revenue recognition policy, systems, and internal controls in response to the new update. We do not expect material changes to the timing of revenue recognition, nor do we expect significant changes to our systems or internal controls.</w:t>
      </w:r>
    </w:p>
    <w:p>
      <w:pPr>
        <w:spacing w:after="0" w:line="178" w:lineRule="exact"/>
        <w:rPr>
          <w:sz w:val="20"/>
          <w:szCs w:val="20"/>
          <w:color w:val="auto"/>
        </w:rPr>
      </w:pPr>
    </w:p>
    <w:p>
      <w:pPr>
        <w:ind w:right="240" w:firstLine="441"/>
        <w:spacing w:after="0" w:line="312" w:lineRule="auto"/>
        <w:rPr>
          <w:sz w:val="20"/>
          <w:szCs w:val="20"/>
          <w:color w:val="auto"/>
        </w:rPr>
      </w:pPr>
      <w:r>
        <w:rPr>
          <w:rFonts w:ascii="Arial" w:cs="Arial" w:eastAsia="Arial" w:hAnsi="Arial"/>
          <w:sz w:val="16"/>
          <w:szCs w:val="16"/>
          <w:color w:val="auto"/>
        </w:rPr>
        <w:t>Finally, we are evaluating the disclosure requirements under the new standard, which are generally more expansive than current guidance. We expect these undertakings will be complete in the fourth quarter of 2017. Based on procedures to date, we do not anticipate material changes to our consolidated financial statements. We continue to work through the adoption process and it is possible that these preliminary conclusions could change.</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We have commenced the process of evaluating the requirements of the standard as well as collecting information on all our leases. We have not yet concluded on the impact of the adoption on our consolidated financial position, results of operations and cash flows, however, assets and liabilities will increase upon adoption for right-of-use assets and lease liabilities. Our future commitments under lease obligations are summarized in Note 10.</w:t>
      </w:r>
    </w:p>
    <w:p>
      <w:pPr>
        <w:spacing w:after="0" w:line="193"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Stock compensation (Topic 718): Scope of modification accounting</w:t>
      </w:r>
      <w:r>
        <w:rPr>
          <w:rFonts w:ascii="Arial" w:cs="Arial" w:eastAsia="Arial" w:hAnsi="Arial"/>
          <w:sz w:val="17"/>
          <w:szCs w:val="17"/>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We have evaluated the requirements of this guidance and do not expect the adoption of the standard to have a material impact on our consolidated financial position, results of operations and cash flows.</w:t>
      </w:r>
    </w:p>
    <w:p>
      <w:pPr>
        <w:spacing w:after="0" w:line="17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We are evaluating the requirements of this guidance and have not yet determined the impact of the adoption on our consolidated financial position, results of operations and cash flows.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16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adopted ASU 2016-09 as of January 1, 2017. We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no net impact to retained earnings and deferred tax assets. In addition, tax deficiencies related to vested restricted stock units and canceled stock options during the nine months ended September 30, 2017 have been recognized in the current period’s income statement.</w:t>
      </w:r>
    </w:p>
    <w:p>
      <w:pPr>
        <w:spacing w:after="0" w:line="188"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We elected as an accounting policy to account for forfeitures for service based awards as they occur, and as a result, we recorded a cumulative effect adjustment of $0.1 million to reduce retained earnings with a corresponding increase in additional paid in capital related to the prior years as required under the modified retrospective approach. The tax effect of this adjustment, which included the impact of a valuation allowance was immaterial.</w:t>
      </w:r>
    </w:p>
    <w:p>
      <w:pPr>
        <w:spacing w:after="0" w:line="3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September 30, 2017, we had $12.4 million outstanding under our Credit Agreement, net of deferred financing costs.</w:t>
      </w:r>
    </w:p>
    <w:p>
      <w:pPr>
        <w:spacing w:after="0" w:line="170"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As noted above under the heading “Borrowing Arrangements”, on May 2, 2017, we entered into the Credit Agreement to amend our credit facility with Bank of America, as agent, and Bank of America and Brown Brothers Harriman &amp; Co. as lenders. Immediately after entering into this Credit Agreement, we entered into a new interest rate swap contract with Bank of America with a notional amount of $14.0 million and a termination date of March 30, 2022 in order to hedge the risk of changes in the effective benchmark interest rate (LIBOR) associated with our Term Loan. The swap contract converted specific variable-rate debt into fixed-rate debt and fixed the LIBOR rate associated with the Term Loan at 1.86%. The interest rate swap was designated as a cash flow hedge instrument in accordance with ASC 815 “Derivatives and Hedging”. As a result of entering into the new interest rate swap contract, we unwound the previous interest rate swap contracts, and received an immaterial amount in proceeds.</w:t>
      </w:r>
    </w:p>
    <w:p>
      <w:pPr>
        <w:spacing w:after="0" w:line="17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As of September 30, 2017, the weighted effective interest rates, net of the impact of our interest rate swaps, on our Term Loan was 4.61%. Assuming no other changes which would affect the margin of the interest rate under our Term Loan, due to interest rate on the Term Loan being fixed at a rate of 1.86% plus a bank margin of 2.75%, there would be no effect of interest rate fluctuations on outstanding borrowings under our Credit Agreement as of September 30, 2017, over the next twelve months.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to allow timely decisions regarding required disclosures.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required by Rules 13a-15(e) and 15d-15(e) under the Exchange Act, our management, under the supervision and with the participation of our Chief Executive Officer and Chief Financial Officer, conducted an evaluation of the effectiveness of the design and operation of our disclosure controls and procedures as of September 30, 2017.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not effective, as of September 30, 2017, because of the material weaknesses in internal control over financial reporting described in Part II, Item 9A of our Annual Report on Form 10-K for the year ended December 31, 2016, filed with the SEC on March 17, 2017 (the 2016 Form 10-K). Management has concluded that the material weaknesses that were present at December 31, 2016 were also present at September 30, 2017.</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Notwithstanding the assessment that our internal controls over financial reporting were not effective and that there were material weaknesses as identified in the 2016 Form 10-K, we believe that our financial statements contained in our Quarterly Report on Form 10-Q for the fiscal quarter ended September 30, 2017, fairly present our financial condition, results of operations and cash flows in all material respects.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previously disclosed in the 2016 Form 10-K, to remediate the material weaknesses described under the subheading “Management’s Report on Internal Control Over Financial Reporting” in Item 9A of the 2016 Form 10-K, we have continued to implement the remediation initiatives described under the subheading “Remediation Plan” in Item 9A of the 2016 Form 10-K. Specifically, we have implemented a new ERP system at MCS, continue to review authority and reporting lines at MCS, and continue to design and implement additional income tax related controls. We will continue to evaluate the remediation and may in the future implement additional measures. While improvements have been made, there were no changes in our internal control over financial reporting identified in connection with the evaluation required by Rules 13a-15 and 15d-15 under the Exchange Act that occurred during the quarter ended September 30, 2017 that have materially affected, or are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2016, which was filed with the SEC on March 17,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17"/>
                <w:szCs w:val="17"/>
                <w:color w:val="auto"/>
              </w:rPr>
            </w:pPr>
          </w:p>
        </w:tc>
        <w:tc>
          <w:tcPr>
            <w:tcW w:w="10140" w:type="dxa"/>
            <w:vAlign w:val="bottom"/>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Financial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24"/>
                <w:szCs w:val="24"/>
                <w:color w:val="auto"/>
              </w:rPr>
            </w:pPr>
          </w:p>
        </w:tc>
        <w:tc>
          <w:tcPr>
            <w:tcW w:w="10140" w:type="dxa"/>
            <w:vAlign w:val="bottom"/>
            <w:gridSpan w:val="6"/>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c>
          <w:tcPr>
            <w:tcW w:w="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of the Sarbanes-Oxley Act of 2002.</w:t>
              </w:r>
            </w:hyperlink>
          </w:p>
        </w:tc>
        <w:tc>
          <w:tcPr>
            <w:tcW w:w="7580" w:type="dxa"/>
            <w:vAlign w:val="bottom"/>
            <w:gridSpan w:val="5"/>
          </w:tcPr>
          <w:p>
            <w:pPr>
              <w:spacing w:after="0"/>
              <w:rPr>
                <w:sz w:val="17"/>
                <w:szCs w:val="17"/>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40" w:type="dxa"/>
            <w:vAlign w:val="bottom"/>
            <w:gridSpan w:val="6"/>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5"/>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4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7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7"/>
              </w:rPr>
              <w:t>JEFFREY A. DUCHEMIN</w:t>
            </w:r>
          </w:p>
        </w:tc>
      </w:tr>
      <w:tr>
        <w:trPr>
          <w:trHeight w:val="191"/>
        </w:trPr>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jc w:val="center"/>
              <w:ind w:right="670"/>
              <w:spacing w:after="0" w:line="191" w:lineRule="exact"/>
              <w:rPr>
                <w:sz w:val="20"/>
                <w:szCs w:val="20"/>
                <w:color w:val="auto"/>
              </w:rPr>
            </w:pPr>
            <w:r>
              <w:rPr>
                <w:rFonts w:ascii="Arial" w:cs="Arial" w:eastAsia="Arial" w:hAnsi="Arial"/>
                <w:sz w:val="18"/>
                <w:szCs w:val="18"/>
                <w:b w:val="1"/>
                <w:bCs w:val="1"/>
                <w:color w:val="auto"/>
                <w:w w:val="90"/>
              </w:rPr>
              <w:t>Jeffrey A. Duchemin</w:t>
            </w:r>
          </w:p>
        </w:tc>
      </w:tr>
      <w:tr>
        <w:trPr>
          <w:trHeight w:val="234"/>
        </w:trPr>
        <w:tc>
          <w:tcPr>
            <w:tcW w:w="580" w:type="dxa"/>
            <w:vAlign w:val="bottom"/>
          </w:tcPr>
          <w:p>
            <w:pPr>
              <w:spacing w:after="0"/>
              <w:rPr>
                <w:sz w:val="20"/>
                <w:szCs w:val="20"/>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0"/>
              </w:rPr>
              <w:t>/S/</w:t>
            </w:r>
          </w:p>
        </w:tc>
        <w:tc>
          <w:tcPr>
            <w:tcW w:w="24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4"/>
              </w:rPr>
              <w:t>ROBERT E. GAGNON</w:t>
            </w:r>
          </w:p>
        </w:tc>
      </w:tr>
      <w:tr>
        <w:trPr>
          <w:trHeight w:val="191"/>
        </w:trPr>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jc w:val="center"/>
              <w:ind w:right="690"/>
              <w:spacing w:after="0" w:line="191" w:lineRule="exact"/>
              <w:rPr>
                <w:sz w:val="20"/>
                <w:szCs w:val="20"/>
                <w:color w:val="auto"/>
              </w:rPr>
            </w:pPr>
            <w:r>
              <w:rPr>
                <w:rFonts w:ascii="Arial" w:cs="Arial" w:eastAsia="Arial" w:hAnsi="Arial"/>
                <w:sz w:val="18"/>
                <w:szCs w:val="18"/>
                <w:b w:val="1"/>
                <w:bCs w:val="1"/>
                <w:color w:val="auto"/>
                <w:w w:val="91"/>
              </w:rPr>
              <w:t>Robert E. Gagnon</w:t>
            </w:r>
          </w:p>
        </w:tc>
      </w:tr>
      <w:tr>
        <w:trPr>
          <w:trHeight w:val="234"/>
        </w:trPr>
        <w:tc>
          <w:tcPr>
            <w:tcW w:w="580" w:type="dxa"/>
            <w:vAlign w:val="bottom"/>
          </w:tcPr>
          <w:p>
            <w:pPr>
              <w:spacing w:after="0"/>
              <w:rPr>
                <w:sz w:val="20"/>
                <w:szCs w:val="20"/>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80" w:type="dxa"/>
            <w:vAlign w:val="bottom"/>
            <w:gridSpan w:val="6"/>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Financial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gridSpan w:val="3"/>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4"/>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c>
          <w:tcPr>
            <w:tcW w:w="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of the Sarbanes-Oxley Act of 2002.</w:t>
              </w:r>
            </w:hyperlink>
          </w:p>
        </w:tc>
        <w:tc>
          <w:tcPr>
            <w:tcW w:w="7580" w:type="dxa"/>
            <w:vAlign w:val="bottom"/>
            <w:gridSpan w:val="7"/>
          </w:tcPr>
          <w:p>
            <w:pPr>
              <w:spacing w:after="0"/>
              <w:rPr>
                <w:sz w:val="17"/>
                <w:szCs w:val="17"/>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40" w:type="dxa"/>
            <w:vAlign w:val="bottom"/>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7"/>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hanging="492"/>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E. Gagnon,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56" w:lineRule="auto"/>
        <w:tabs>
          <w:tab w:leader="none" w:pos="6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60" w:firstLine="8"/>
        <w:spacing w:after="0" w:line="290"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/s/ ROBERT E.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E. Gagnon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56" w:lineRule="auto"/>
        <w:tabs>
          <w:tab w:leader="none" w:pos="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60" w:firstLine="8"/>
        <w:spacing w:after="0" w:line="290"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September 30,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/s/ ROBERT E.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E. Gagnon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September 30,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7"/>
          <w:szCs w:val="17"/>
          <w:color w:val="auto"/>
        </w:rPr>
        <w:t>/s/ 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A. Duchemin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40"/>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
      <w:numFmt w:val="bullet"/>
      <w:start w:val="1"/>
    </w:lvl>
  </w:abstractNum>
  <w:abstractNum w:abstractNumId="18">
    <w:nsid w:val="436C6125"/>
    <w:multiLevelType w:val="hybridMultilevel"/>
    <w:lvl w:ilvl="0">
      <w:lvlJc w:val="left"/>
      <w:lvlText w:val="*"/>
      <w:numFmt w:val="bullet"/>
      <w:start w:val="1"/>
    </w:lvl>
    <w:lvl w:ilvl="1">
      <w:lvlJc w:val="left"/>
      <w:lvlText w:val="-"/>
      <w:numFmt w:val="bullet"/>
      <w:start w:val="1"/>
    </w:lvl>
  </w:abstractNum>
  <w:abstractNum w:abstractNumId="19">
    <w:nsid w:val="628C895D"/>
    <w:multiLevelType w:val="hybridMultilevel"/>
    <w:lvl w:ilvl="0">
      <w:lvlJc w:val="left"/>
      <w:lvlText w:val="*"/>
      <w:numFmt w:val="bullet"/>
      <w:start w:val="1"/>
    </w:lvl>
    <w:lvl w:ilvl="1">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2019-12-29T03:25:12Z</dcterms:created>
  <dcterms:modified xsi:type="dcterms:W3CDTF">2019-12-29T03:25:12Z</dcterms:modified>
</cp:coreProperties>
</file>