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219" w:lineRule="exact"/>
        <w:rPr>
          <w:sz w:val="24"/>
          <w:szCs w:val="24"/>
          <w:color w:val="auto"/>
        </w:rPr>
      </w:pPr>
    </w:p>
    <w:p>
      <w:pPr>
        <w:ind w:left="4060" w:right="3760" w:hanging="4054"/>
        <w:spacing w:after="0" w:line="537" w:lineRule="auto"/>
        <w:tabs>
          <w:tab w:leader="none" w:pos="62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9" w:lineRule="exact"/>
        <w:rPr>
          <w:sz w:val="24"/>
          <w:szCs w:val="24"/>
          <w:color w:val="auto"/>
        </w:rPr>
      </w:pPr>
    </w:p>
    <w:p>
      <w:pPr>
        <w:jc w:val="right"/>
        <w:ind w:left="3800" w:right="3980" w:hanging="3794"/>
        <w:spacing w:after="0" w:line="635" w:lineRule="auto"/>
        <w:tabs>
          <w:tab w:leader="none" w:pos="62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ind w:left="4420"/>
        <w:spacing w:after="0"/>
        <w:rPr>
          <w:rFonts w:ascii="MS PGothic" w:cs="MS PGothic" w:eastAsia="MS PGothic" w:hAnsi="MS PGothic"/>
          <w:sz w:val="14"/>
          <w:szCs w:val="14"/>
          <w:color w:val="auto"/>
        </w:rPr>
      </w:pPr>
      <w:r>
        <w:rPr>
          <w:rFonts w:ascii="Arial" w:cs="Arial" w:eastAsia="Arial" w:hAnsi="Arial"/>
          <w:sz w:val="18"/>
          <w:szCs w:val="18"/>
          <w:b w:val="1"/>
          <w:bCs w:val="1"/>
          <w:color w:val="auto"/>
        </w:rPr>
        <w:t>Commission file number 001-33957</w:t>
      </w:r>
    </w:p>
    <w:p>
      <w:pPr>
        <w:spacing w:after="0" w:line="21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HARVARD BIOSCIENCE, INC.</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tbl>
      <w:tblPr>
        <w:tblLayout w:type="fixed"/>
        <w:tblInd w:w="1740" w:type="dxa"/>
        <w:tblCellMar>
          <w:top w:w="0" w:type="dxa"/>
          <w:left w:w="0" w:type="dxa"/>
          <w:bottom w:w="0" w:type="dxa"/>
          <w:right w:w="0" w:type="dxa"/>
        </w:tblCellMar>
      </w:tblPr>
      <w:tr>
        <w:trPr>
          <w:trHeight w:val="219"/>
        </w:trPr>
        <w:tc>
          <w:tcPr>
            <w:tcW w:w="4500" w:type="dxa"/>
            <w:vAlign w:val="bottom"/>
          </w:tcPr>
          <w:p>
            <w:pPr>
              <w:jc w:val="center"/>
              <w:ind w:right="225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ind w:left="2271"/>
              <w:spacing w:after="0"/>
              <w:rPr>
                <w:sz w:val="20"/>
                <w:szCs w:val="20"/>
                <w:color w:val="auto"/>
              </w:rPr>
            </w:pPr>
            <w:r>
              <w:rPr>
                <w:rFonts w:ascii="Arial" w:cs="Arial" w:eastAsia="Arial" w:hAnsi="Arial"/>
                <w:sz w:val="18"/>
                <w:szCs w:val="18"/>
                <w:b w:val="1"/>
                <w:bCs w:val="1"/>
                <w:color w:val="auto"/>
                <w:w w:val="89"/>
              </w:rPr>
              <w:t>04-3306140</w:t>
            </w:r>
          </w:p>
        </w:tc>
      </w:tr>
      <w:tr>
        <w:trPr>
          <w:trHeight w:val="213"/>
        </w:trPr>
        <w:tc>
          <w:tcPr>
            <w:tcW w:w="4500" w:type="dxa"/>
            <w:vAlign w:val="bottom"/>
          </w:tcPr>
          <w:p>
            <w:pPr>
              <w:jc w:val="center"/>
              <w:ind w:right="2271"/>
              <w:spacing w:after="0"/>
              <w:rPr>
                <w:sz w:val="20"/>
                <w:szCs w:val="20"/>
                <w:color w:val="auto"/>
              </w:rPr>
            </w:pPr>
            <w:r>
              <w:rPr>
                <w:rFonts w:ascii="Arial" w:cs="Arial" w:eastAsia="Arial" w:hAnsi="Arial"/>
                <w:sz w:val="18"/>
                <w:szCs w:val="18"/>
                <w:color w:val="auto"/>
                <w:w w:val="91"/>
              </w:rPr>
              <w:t>(State or other jurisdiction of</w:t>
            </w:r>
          </w:p>
        </w:tc>
        <w:tc>
          <w:tcPr>
            <w:tcW w:w="3660" w:type="dxa"/>
            <w:vAlign w:val="bottom"/>
          </w:tcPr>
          <w:p>
            <w:pPr>
              <w:jc w:val="center"/>
              <w:ind w:left="2271"/>
              <w:spacing w:after="0"/>
              <w:rPr>
                <w:sz w:val="20"/>
                <w:szCs w:val="20"/>
                <w:color w:val="auto"/>
              </w:rPr>
            </w:pPr>
            <w:r>
              <w:rPr>
                <w:rFonts w:ascii="Arial" w:cs="Arial" w:eastAsia="Arial" w:hAnsi="Arial"/>
                <w:sz w:val="18"/>
                <w:szCs w:val="18"/>
                <w:color w:val="auto"/>
                <w:w w:val="92"/>
              </w:rPr>
              <w:t>(I.R.S. Employer</w:t>
            </w:r>
          </w:p>
        </w:tc>
      </w:tr>
      <w:tr>
        <w:trPr>
          <w:trHeight w:val="224"/>
        </w:trPr>
        <w:tc>
          <w:tcPr>
            <w:tcW w:w="4500" w:type="dxa"/>
            <w:vAlign w:val="bottom"/>
          </w:tcPr>
          <w:p>
            <w:pPr>
              <w:jc w:val="center"/>
              <w:ind w:right="2271"/>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ind w:left="2251"/>
              <w:spacing w:after="0"/>
              <w:rPr>
                <w:sz w:val="20"/>
                <w:szCs w:val="20"/>
                <w:color w:val="auto"/>
              </w:rPr>
            </w:pPr>
            <w:r>
              <w:rPr>
                <w:rFonts w:ascii="Arial" w:cs="Arial" w:eastAsia="Arial" w:hAnsi="Arial"/>
                <w:sz w:val="18"/>
                <w:szCs w:val="18"/>
                <w:color w:val="auto"/>
                <w:w w:val="94"/>
              </w:rPr>
              <w:t>Identification No.)</w:t>
            </w:r>
          </w:p>
        </w:tc>
      </w:tr>
    </w:tbl>
    <w:p>
      <w:pPr>
        <w:spacing w:after="0" w:line="19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(508) 893-8999</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2"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190"/>
        </w:trPr>
        <w:tc>
          <w:tcPr>
            <w:tcW w:w="45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Common Stock, $0.01 par value</w:t>
            </w:r>
          </w:p>
        </w:tc>
        <w:tc>
          <w:tcPr>
            <w:tcW w:w="22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HBIO</w:t>
            </w:r>
          </w:p>
        </w:tc>
        <w:tc>
          <w:tcPr>
            <w:tcW w:w="4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The Nasdaq Global Market</w:t>
            </w:r>
          </w:p>
        </w:tc>
      </w:tr>
    </w:tbl>
    <w:p>
      <w:pPr>
        <w:spacing w:after="0" w:line="201" w:lineRule="exact"/>
        <w:rPr>
          <w:sz w:val="24"/>
          <w:szCs w:val="24"/>
          <w:color w:val="auto"/>
        </w:rPr>
      </w:pPr>
    </w:p>
    <w:p>
      <w:pPr>
        <w:ind w:left="300" w:right="1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300" w:right="2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300" w:right="1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0" w:right="339" w:bottom="1440" w:gutter="0" w:footer="0" w:header="0"/>
        </w:sectPr>
      </w:pPr>
    </w:p>
    <w:p>
      <w:pPr>
        <w:spacing w:after="0" w:line="155" w:lineRule="exact"/>
        <w:rPr>
          <w:sz w:val="24"/>
          <w:szCs w:val="24"/>
          <w:color w:val="auto"/>
        </w:rPr>
      </w:pPr>
    </w:p>
    <w:p>
      <w:pPr>
        <w:ind w:left="5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10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920" w:space="720"/>
            <w:col w:w="6600"/>
          </w:cols>
          <w:pgMar w:left="320" w:top="920" w:right="339" w:bottom="1440" w:gutter="0" w:footer="0" w:header="0"/>
          <w:type w:val="continuous"/>
        </w:sectPr>
      </w:pPr>
    </w:p>
    <w:p>
      <w:pPr>
        <w:spacing w:after="0" w:line="28" w:lineRule="exact"/>
        <w:rPr>
          <w:sz w:val="24"/>
          <w:szCs w:val="24"/>
          <w:color w:val="auto"/>
        </w:rPr>
      </w:pPr>
    </w:p>
    <w:p>
      <w:pPr>
        <w:ind w:left="300" w:right="4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00"/>
        <w:spacing w:after="0"/>
        <w:rPr>
          <w:sz w:val="20"/>
          <w:szCs w:val="20"/>
          <w:color w:val="auto"/>
        </w:rPr>
      </w:pPr>
      <w:r>
        <w:rPr>
          <w:rFonts w:ascii="Arial" w:cs="Arial" w:eastAsia="Arial" w:hAnsi="Arial"/>
          <w:sz w:val="18"/>
          <w:szCs w:val="18"/>
          <w:color w:val="auto"/>
        </w:rPr>
        <w:t>As of July 30, 2021, there were 40,762,931 shares of the registrant’s common stock issued and outstanding.</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4"/>
          </w:tcPr>
          <w:p>
            <w:pPr>
              <w:spacing w:after="0"/>
              <w:rPr>
                <w:sz w:val="20"/>
                <w:szCs w:val="20"/>
                <w:color w:val="auto"/>
              </w:rPr>
            </w:pPr>
            <w:r>
              <w:rPr>
                <w:rFonts w:ascii="Arial" w:cs="Arial" w:eastAsia="Arial" w:hAnsi="Arial"/>
                <w:sz w:val="18"/>
                <w:szCs w:val="18"/>
                <w:color w:val="0000EE"/>
              </w:rPr>
              <w:t>Table of Contents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2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10"/>
          </w:tcPr>
          <w:p>
            <w:pPr>
              <w:jc w:val="center"/>
              <w:ind w:right="2200"/>
              <w:spacing w:after="0"/>
              <w:rPr>
                <w:sz w:val="20"/>
                <w:szCs w:val="20"/>
                <w:color w:val="auto"/>
              </w:rPr>
            </w:pPr>
            <w:r>
              <w:rPr>
                <w:rFonts w:ascii="Arial" w:cs="Arial" w:eastAsia="Arial" w:hAnsi="Arial"/>
                <w:sz w:val="18"/>
                <w:szCs w:val="18"/>
                <w:b w:val="1"/>
                <w:bCs w:val="1"/>
                <w:color w:val="auto"/>
                <w:w w:val="98"/>
              </w:rPr>
              <w:t>HARVARD BIOSCIENCE,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7"/>
              </w:rPr>
              <w:t>FORM 10-Q</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7"/>
          </w:tcPr>
          <w:p>
            <w:pPr>
              <w:jc w:val="center"/>
              <w:ind w:right="432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Page</w:t>
            </w:r>
          </w:p>
        </w:tc>
      </w:tr>
      <w:tr>
        <w:trPr>
          <w:trHeight w:val="387"/>
        </w:trPr>
        <w:tc>
          <w:tcPr>
            <w:tcW w:w="104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76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580" w:type="dxa"/>
            <w:vAlign w:val="bottom"/>
            <w:gridSpan w:val="11"/>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2021 and December 31, 2020 (unaudited)</w:t>
              </w:r>
            </w:hyperlink>
          </w:p>
        </w:tc>
        <w:tc>
          <w:tcPr>
            <w:tcW w:w="7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for the Three and Six Months Ended June 30, 2021 and 2020 (unaudited)</w:t>
              </w:r>
            </w:hyperlink>
          </w:p>
        </w:tc>
        <w:tc>
          <w:tcPr>
            <w:tcW w:w="1700" w:type="dxa"/>
            <w:vAlign w:val="bottom"/>
            <w:gridSpan w:val="3"/>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Comprehensive Income (Loss) for the Three and Six Months Ended June 30, 2021 and 2020 (unaudited)</w:t>
              </w:r>
            </w:hyperlink>
          </w:p>
        </w:tc>
        <w:tc>
          <w:tcPr>
            <w:tcW w:w="7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Stockholders' Equity for the Three and Six Months Ended June 31, 2021 and 2020 (unaudited)</w:t>
              </w:r>
            </w:hyperlink>
          </w:p>
        </w:tc>
        <w:tc>
          <w:tcPr>
            <w:tcW w:w="300" w:type="dxa"/>
            <w:vAlign w:val="bottom"/>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June 30, 2021 and 2020 (unaudited)</w:t>
              </w:r>
            </w:hyperlink>
          </w:p>
        </w:tc>
        <w:tc>
          <w:tcPr>
            <w:tcW w:w="1020" w:type="dxa"/>
            <w:vAlign w:val="bottom"/>
            <w:gridSpan w:val="2"/>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3400" w:type="dxa"/>
            <w:vAlign w:val="bottom"/>
            <w:gridSpan w:val="5"/>
          </w:tcPr>
          <w:p>
            <w:pPr>
              <w:spacing w:after="0"/>
              <w:rPr>
                <w:sz w:val="24"/>
                <w:szCs w:val="24"/>
                <w:color w:val="auto"/>
              </w:rPr>
            </w:pPr>
          </w:p>
        </w:tc>
        <w:tc>
          <w:tcPr>
            <w:tcW w:w="2420" w:type="dxa"/>
            <w:vAlign w:val="bottom"/>
            <w:gridSpan w:val="4"/>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72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97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97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7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6"/>
        </w:trPr>
        <w:tc>
          <w:tcPr>
            <w:tcW w:w="1048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76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880" w:type="dxa"/>
            <w:vAlign w:val="bottom"/>
            <w:gridSpan w:val="12"/>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640" w:type="dxa"/>
            <w:vAlign w:val="bottom"/>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1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64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7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5"/>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7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 Upon Senior Securities</w:t>
              </w:r>
            </w:hyperlink>
          </w:p>
        </w:tc>
        <w:tc>
          <w:tcPr>
            <w:tcW w:w="7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5"/>
            <w:shd w:val="clear" w:color="auto" w:fill="0000EE"/>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7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7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97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7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97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6"/>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SIGNATURES</w:t>
              </w:r>
            </w:hyperlink>
          </w:p>
        </w:tc>
        <w:tc>
          <w:tcPr>
            <w:tcW w:w="9380" w:type="dxa"/>
            <w:vAlign w:val="bottom"/>
            <w:gridSpan w:val="19"/>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65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15"/>
          </w:tcPr>
          <w:p>
            <w:pPr>
              <w:jc w:val="center"/>
              <w:ind w:left="3551"/>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6"/>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45"/>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5340" w:type="dxa"/>
            <w:vAlign w:val="bottom"/>
          </w:tcPr>
          <w:p>
            <w:pPr>
              <w:ind w:left="164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3"/>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40" w:type="dxa"/>
            <w:vAlign w:val="bottom"/>
          </w:tcPr>
          <w:p>
            <w:pPr>
              <w:jc w:val="center"/>
              <w:ind w:left="711"/>
              <w:spacing w:after="0"/>
              <w:rPr>
                <w:sz w:val="20"/>
                <w:szCs w:val="20"/>
                <w:color w:val="auto"/>
              </w:rPr>
            </w:pPr>
            <w:r>
              <w:rPr>
                <w:rFonts w:ascii="Arial" w:cs="Arial" w:eastAsia="Arial" w:hAnsi="Arial"/>
                <w:sz w:val="18"/>
                <w:szCs w:val="18"/>
                <w:b w:val="1"/>
                <w:bCs w:val="1"/>
                <w:color w:val="auto"/>
                <w:w w:val="98"/>
              </w:rPr>
              <w:t>HARVARD BIOSCIENCE,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34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CONSOLIDATED BALANCE SHEETS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tcPr>
          <w:p>
            <w:pPr>
              <w:ind w:left="820"/>
              <w:spacing w:after="0"/>
              <w:rPr>
                <w:sz w:val="20"/>
                <w:szCs w:val="20"/>
                <w:color w:val="auto"/>
              </w:rPr>
            </w:pPr>
            <w:r>
              <w:rPr>
                <w:rFonts w:ascii="Arial" w:cs="Arial" w:eastAsia="Arial" w:hAnsi="Arial"/>
                <w:sz w:val="18"/>
                <w:szCs w:val="18"/>
                <w:b w:val="1"/>
                <w:bCs w:val="1"/>
                <w:color w:val="auto"/>
                <w:w w:val="88"/>
              </w:rPr>
              <w:t>(Unaudited, in thousands, except share and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1"/>
              <w:spacing w:after="0"/>
              <w:rPr>
                <w:sz w:val="20"/>
                <w:szCs w:val="20"/>
                <w:color w:val="auto"/>
              </w:rPr>
            </w:pPr>
            <w:r>
              <w:rPr>
                <w:rFonts w:ascii="Arial" w:cs="Arial" w:eastAsia="Arial" w:hAnsi="Arial"/>
                <w:sz w:val="18"/>
                <w:szCs w:val="18"/>
                <w:b w:val="1"/>
                <w:bCs w:val="1"/>
                <w:color w:val="auto"/>
                <w:w w:val="90"/>
              </w:rPr>
              <w:t>December 31,</w:t>
            </w:r>
          </w:p>
        </w:tc>
      </w:tr>
      <w:tr>
        <w:trPr>
          <w:trHeight w:val="23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r>
      <w:tr>
        <w:trPr>
          <w:trHeight w:val="167"/>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7" w:lineRule="exact"/>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40"/>
        </w:trPr>
        <w:tc>
          <w:tcPr>
            <w:tcW w:w="2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5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r>
      <w:tr>
        <w:trPr>
          <w:trHeight w:val="213"/>
        </w:trPr>
        <w:tc>
          <w:tcPr>
            <w:tcW w:w="20" w:type="dxa"/>
            <w:vAlign w:val="bottom"/>
          </w:tcPr>
          <w:p>
            <w:pPr>
              <w:spacing w:after="0"/>
              <w:rPr>
                <w:sz w:val="18"/>
                <w:szCs w:val="18"/>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8,317</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17,766</w:t>
            </w:r>
          </w:p>
        </w:tc>
      </w:tr>
      <w:tr>
        <w:trPr>
          <w:trHeight w:val="213"/>
        </w:trPr>
        <w:tc>
          <w:tcPr>
            <w:tcW w:w="20" w:type="dxa"/>
            <w:vAlign w:val="bottom"/>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Inventories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22,262</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3,355</w:t>
            </w:r>
          </w:p>
        </w:tc>
      </w:tr>
      <w:tr>
        <w:trPr>
          <w:trHeight w:val="206"/>
        </w:trPr>
        <w:tc>
          <w:tcPr>
            <w:tcW w:w="20" w:type="dxa"/>
            <w:vAlign w:val="bottom"/>
          </w:tcPr>
          <w:p>
            <w:pPr>
              <w:spacing w:after="0"/>
              <w:rPr>
                <w:sz w:val="17"/>
                <w:szCs w:val="17"/>
                <w:color w:val="auto"/>
              </w:rPr>
            </w:pPr>
          </w:p>
        </w:tc>
        <w:tc>
          <w:tcPr>
            <w:tcW w:w="78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53,557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51,700</w:t>
            </w:r>
          </w:p>
        </w:tc>
      </w:tr>
      <w:tr>
        <w:trPr>
          <w:trHeight w:val="213"/>
        </w:trPr>
        <w:tc>
          <w:tcPr>
            <w:tcW w:w="20" w:type="dxa"/>
            <w:vAlign w:val="bottom"/>
          </w:tcPr>
          <w:p>
            <w:pPr>
              <w:spacing w:after="0"/>
              <w:rPr>
                <w:sz w:val="18"/>
                <w:szCs w:val="18"/>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3,960</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7,761</w:t>
            </w:r>
          </w:p>
        </w:tc>
      </w:tr>
      <w:tr>
        <w:trPr>
          <w:trHeight w:val="213"/>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58,590</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33,151</w:t>
            </w:r>
          </w:p>
        </w:tc>
      </w:tr>
      <w:tr>
        <w:trPr>
          <w:trHeight w:val="213"/>
        </w:trPr>
        <w:tc>
          <w:tcPr>
            <w:tcW w:w="7880" w:type="dxa"/>
            <w:vAlign w:val="bottom"/>
            <w:gridSpan w:val="6"/>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1,092</w:t>
            </w:r>
          </w:p>
        </w:tc>
      </w:tr>
      <w:tr>
        <w:trPr>
          <w:trHeight w:val="246"/>
        </w:trPr>
        <w:tc>
          <w:tcPr>
            <w:tcW w:w="20" w:type="dxa"/>
            <w:vAlign w:val="bottom"/>
          </w:tcPr>
          <w:p>
            <w:pPr>
              <w:spacing w:after="0"/>
              <w:rPr>
                <w:sz w:val="21"/>
                <w:szCs w:val="21"/>
                <w:color w:val="auto"/>
              </w:rPr>
            </w:pPr>
          </w:p>
        </w:tc>
        <w:tc>
          <w:tcPr>
            <w:tcW w:w="78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153,971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156,254</w:t>
            </w:r>
          </w:p>
        </w:tc>
      </w:tr>
      <w:tr>
        <w:trPr>
          <w:trHeight w:val="153"/>
        </w:trPr>
        <w:tc>
          <w:tcPr>
            <w:tcW w:w="20" w:type="dxa"/>
            <w:vAlign w:val="bottom"/>
          </w:tcPr>
          <w:p>
            <w:pPr>
              <w:spacing w:after="0"/>
              <w:rPr>
                <w:sz w:val="13"/>
                <w:szCs w:val="13"/>
                <w:color w:val="auto"/>
              </w:rPr>
            </w:pPr>
          </w:p>
        </w:tc>
        <w:tc>
          <w:tcPr>
            <w:tcW w:w="7860" w:type="dxa"/>
            <w:vAlign w:val="bottom"/>
            <w:tcBorders>
              <w:top w:val="single" w:sz="8" w:color="CCEEFF"/>
            </w:tcBorders>
            <w:gridSpan w:val="5"/>
          </w:tcPr>
          <w:p>
            <w:pPr>
              <w:spacing w:after="0" w:line="153" w:lineRule="exact"/>
              <w:rPr>
                <w:sz w:val="20"/>
                <w:szCs w:val="20"/>
                <w:color w:val="auto"/>
              </w:rPr>
            </w:pPr>
            <w:r>
              <w:rPr>
                <w:rFonts w:ascii="Arial" w:cs="Arial" w:eastAsia="Arial" w:hAnsi="Arial"/>
                <w:sz w:val="17"/>
                <w:szCs w:val="17"/>
                <w:color w:val="auto"/>
              </w:rPr>
              <w:t>Liabilities and Stockholders' Equity</w:t>
            </w: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5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1,721</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2,111</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5,972</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3,771</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7,478</w:t>
            </w:r>
          </w:p>
        </w:tc>
      </w:tr>
      <w:tr>
        <w:trPr>
          <w:trHeight w:val="206"/>
        </w:trPr>
        <w:tc>
          <w:tcPr>
            <w:tcW w:w="20" w:type="dxa"/>
            <w:vAlign w:val="bottom"/>
          </w:tcPr>
          <w:p>
            <w:pPr>
              <w:spacing w:after="0"/>
              <w:rPr>
                <w:sz w:val="17"/>
                <w:szCs w:val="17"/>
                <w:color w:val="auto"/>
              </w:rPr>
            </w:pPr>
          </w:p>
        </w:tc>
        <w:tc>
          <w:tcPr>
            <w:tcW w:w="78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21,053</w:t>
            </w:r>
          </w:p>
        </w:tc>
      </w:tr>
      <w:tr>
        <w:trPr>
          <w:trHeight w:val="213"/>
        </w:trPr>
        <w:tc>
          <w:tcPr>
            <w:tcW w:w="20" w:type="dxa"/>
            <w:vAlign w:val="bottom"/>
          </w:tcPr>
          <w:p>
            <w:pPr>
              <w:spacing w:after="0"/>
              <w:rPr>
                <w:sz w:val="18"/>
                <w:szCs w:val="18"/>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46,286</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1,899</w:t>
            </w:r>
          </w:p>
        </w:tc>
      </w:tr>
      <w:tr>
        <w:trPr>
          <w:trHeight w:val="213"/>
        </w:trPr>
        <w:tc>
          <w:tcPr>
            <w:tcW w:w="20" w:type="dxa"/>
            <w:vAlign w:val="bottom"/>
          </w:tcPr>
          <w:p>
            <w:pPr>
              <w:spacing w:after="0"/>
              <w:rPr>
                <w:sz w:val="18"/>
                <w:szCs w:val="18"/>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7,481</w:t>
            </w:r>
          </w:p>
        </w:tc>
      </w:tr>
      <w:tr>
        <w:trPr>
          <w:trHeight w:val="233"/>
        </w:trPr>
        <w:tc>
          <w:tcPr>
            <w:tcW w:w="20" w:type="dxa"/>
            <w:vAlign w:val="bottom"/>
          </w:tcPr>
          <w:p>
            <w:pPr>
              <w:spacing w:after="0"/>
              <w:rPr>
                <w:sz w:val="20"/>
                <w:szCs w:val="20"/>
                <w:color w:val="auto"/>
              </w:rPr>
            </w:pPr>
          </w:p>
        </w:tc>
        <w:tc>
          <w:tcPr>
            <w:tcW w:w="78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2,854</w:t>
            </w:r>
          </w:p>
        </w:tc>
      </w:tr>
      <w:tr>
        <w:trPr>
          <w:trHeight w:val="233"/>
        </w:trPr>
        <w:tc>
          <w:tcPr>
            <w:tcW w:w="20" w:type="dxa"/>
            <w:vAlign w:val="bottom"/>
          </w:tcPr>
          <w:p>
            <w:pPr>
              <w:spacing w:after="0"/>
              <w:rPr>
                <w:sz w:val="20"/>
                <w:szCs w:val="20"/>
                <w:color w:val="auto"/>
              </w:rPr>
            </w:pPr>
          </w:p>
        </w:tc>
        <w:tc>
          <w:tcPr>
            <w:tcW w:w="7860" w:type="dxa"/>
            <w:vAlign w:val="bottom"/>
            <w:gridSpan w:val="5"/>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75,270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79,573</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Commitments and contingencies - Note 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1"/>
        </w:trPr>
        <w:tc>
          <w:tcPr>
            <w:tcW w:w="20" w:type="dxa"/>
            <w:vAlign w:val="bottom"/>
          </w:tcPr>
          <w:p>
            <w:pPr>
              <w:spacing w:after="0"/>
              <w:rPr>
                <w:sz w:val="17"/>
                <w:szCs w:val="17"/>
                <w:color w:val="auto"/>
              </w:rPr>
            </w:pPr>
          </w:p>
        </w:tc>
        <w:tc>
          <w:tcPr>
            <w:tcW w:w="7860" w:type="dxa"/>
            <w:vAlign w:val="bottom"/>
            <w:gridSpan w:val="5"/>
          </w:tcPr>
          <w:p>
            <w:pPr>
              <w:ind w:left="140"/>
              <w:spacing w:after="0" w:line="201" w:lineRule="exact"/>
              <w:rPr>
                <w:sz w:val="20"/>
                <w:szCs w:val="20"/>
                <w:color w:val="auto"/>
              </w:rPr>
            </w:pPr>
            <w:r>
              <w:rPr>
                <w:rFonts w:ascii="Arial" w:cs="Arial" w:eastAsia="Arial" w:hAnsi="Arial"/>
                <w:sz w:val="18"/>
                <w:szCs w:val="18"/>
                <w:color w:val="auto"/>
                <w:w w:val="88"/>
              </w:rPr>
              <w:t>Common stock, par value $0.01 per share, 80,000,000 shares authorized; 40,485,586 and 47,152,587 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issued and 40,485,586 and 39,407,080 shares outstanding, respectively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14"/>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232,357</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(132,386)</w:t>
            </w:r>
          </w:p>
        </w:tc>
      </w:tr>
      <w:tr>
        <w:trPr>
          <w:trHeight w:val="213"/>
        </w:trPr>
        <w:tc>
          <w:tcPr>
            <w:tcW w:w="20" w:type="dxa"/>
            <w:vAlign w:val="bottom"/>
          </w:tcPr>
          <w:p>
            <w:pPr>
              <w:spacing w:after="0"/>
              <w:rPr>
                <w:sz w:val="18"/>
                <w:szCs w:val="18"/>
                <w:color w:val="auto"/>
              </w:rPr>
            </w:pPr>
          </w:p>
        </w:tc>
        <w:tc>
          <w:tcPr>
            <w:tcW w:w="7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r>
      <w:tr>
        <w:trPr>
          <w:trHeight w:val="213"/>
        </w:trPr>
        <w:tc>
          <w:tcPr>
            <w:tcW w:w="20" w:type="dxa"/>
            <w:vAlign w:val="bottom"/>
          </w:tcPr>
          <w:p>
            <w:pPr>
              <w:spacing w:after="0"/>
              <w:rPr>
                <w:sz w:val="18"/>
                <w:szCs w:val="18"/>
                <w:color w:val="auto"/>
              </w:rPr>
            </w:pPr>
          </w:p>
        </w:tc>
        <w:tc>
          <w:tcPr>
            <w:tcW w:w="7860" w:type="dxa"/>
            <w:vAlign w:val="bottom"/>
            <w:gridSpan w:val="5"/>
          </w:tcPr>
          <w:p>
            <w:pPr>
              <w:ind w:left="140"/>
              <w:spacing w:after="0"/>
              <w:rPr>
                <w:sz w:val="20"/>
                <w:szCs w:val="20"/>
                <w:color w:val="auto"/>
              </w:rPr>
            </w:pPr>
            <w:r>
              <w:rPr>
                <w:rFonts w:ascii="Arial" w:cs="Arial" w:eastAsia="Arial" w:hAnsi="Arial"/>
                <w:sz w:val="18"/>
                <w:szCs w:val="18"/>
                <w:color w:val="auto"/>
              </w:rPr>
              <w:t>Treasury stock at cost, -0- and 7,745,507 common shares, respectively</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06"/>
        </w:trPr>
        <w:tc>
          <w:tcPr>
            <w:tcW w:w="20" w:type="dxa"/>
            <w:vAlign w:val="bottom"/>
          </w:tcPr>
          <w:p>
            <w:pPr>
              <w:spacing w:after="0"/>
              <w:rPr>
                <w:sz w:val="17"/>
                <w:szCs w:val="17"/>
                <w:color w:val="auto"/>
              </w:rPr>
            </w:pPr>
          </w:p>
        </w:tc>
        <w:tc>
          <w:tcPr>
            <w:tcW w:w="7860" w:type="dxa"/>
            <w:vAlign w:val="bottom"/>
            <w:tcBorders>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78,701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76,681</w:t>
            </w:r>
          </w:p>
        </w:tc>
      </w:tr>
      <w:tr>
        <w:trPr>
          <w:trHeight w:val="206"/>
        </w:trPr>
        <w:tc>
          <w:tcPr>
            <w:tcW w:w="20" w:type="dxa"/>
            <w:vAlign w:val="bottom"/>
          </w:tcPr>
          <w:p>
            <w:pPr>
              <w:spacing w:after="0"/>
              <w:rPr>
                <w:sz w:val="17"/>
                <w:szCs w:val="17"/>
                <w:color w:val="auto"/>
              </w:rPr>
            </w:pPr>
          </w:p>
        </w:tc>
        <w:tc>
          <w:tcPr>
            <w:tcW w:w="7860" w:type="dxa"/>
            <w:vAlign w:val="bottom"/>
            <w:gridSpan w:val="5"/>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153,971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156,254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gridSpan w:val="3"/>
          </w:tcPr>
          <w:p>
            <w:pPr>
              <w:jc w:val="center"/>
              <w:ind w:left="751"/>
              <w:spacing w:after="0"/>
              <w:rPr>
                <w:sz w:val="20"/>
                <w:szCs w:val="20"/>
                <w:color w:val="auto"/>
              </w:rPr>
            </w:pPr>
            <w:r>
              <w:rPr>
                <w:rFonts w:ascii="Arial" w:cs="Arial" w:eastAsia="Arial" w:hAnsi="Arial"/>
                <w:sz w:val="18"/>
                <w:szCs w:val="18"/>
                <w:b w:val="1"/>
                <w:bCs w:val="1"/>
                <w:color w:val="auto"/>
                <w:w w:val="98"/>
              </w:rPr>
              <w:t>HARVARD BIOSCIENCE, INC.</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40" w:type="dxa"/>
            <w:vAlign w:val="bottom"/>
            <w:gridSpan w:val="6"/>
          </w:tcPr>
          <w:p>
            <w:pPr>
              <w:jc w:val="center"/>
              <w:ind w:right="451"/>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20" w:type="dxa"/>
            <w:vAlign w:val="bottom"/>
            <w:gridSpan w:val="5"/>
          </w:tcPr>
          <w:p>
            <w:pPr>
              <w:jc w:val="center"/>
              <w:ind w:left="291"/>
              <w:spacing w:after="0"/>
              <w:rPr>
                <w:sz w:val="20"/>
                <w:szCs w:val="20"/>
                <w:color w:val="auto"/>
              </w:rPr>
            </w:pPr>
            <w:r>
              <w:rPr>
                <w:rFonts w:ascii="Arial" w:cs="Arial" w:eastAsia="Arial" w:hAnsi="Arial"/>
                <w:sz w:val="18"/>
                <w:szCs w:val="18"/>
                <w:b w:val="1"/>
                <w:bCs w:val="1"/>
                <w:color w:val="auto"/>
                <w:w w:val="88"/>
              </w:rPr>
              <w:t>(Unaudited, in thousands,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29,197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56,186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47,079</w:t>
            </w:r>
          </w:p>
        </w:tc>
        <w:tc>
          <w:tcPr>
            <w:tcW w:w="0" w:type="dxa"/>
            <w:vAlign w:val="bottom"/>
          </w:tcPr>
          <w:p>
            <w:pPr>
              <w:spacing w:after="0"/>
              <w:rPr>
                <w:sz w:val="1"/>
                <w:szCs w:val="1"/>
                <w:color w:val="auto"/>
              </w:rPr>
            </w:pPr>
          </w:p>
        </w:tc>
      </w:tr>
      <w:tr>
        <w:trPr>
          <w:trHeight w:val="213"/>
        </w:trPr>
        <w:tc>
          <w:tcPr>
            <w:tcW w:w="33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2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12,844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24,402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31,784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26,838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12,732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3"/>
        </w:trPr>
        <w:tc>
          <w:tcPr>
            <w:tcW w:w="332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2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31,965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29,555</w:t>
            </w: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17"/>
                <w:szCs w:val="17"/>
                <w:color w:val="auto"/>
              </w:rPr>
            </w:pPr>
          </w:p>
        </w:tc>
        <w:tc>
          <w:tcPr>
            <w:tcW w:w="2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6"/>
        </w:trPr>
        <w:tc>
          <w:tcPr>
            <w:tcW w:w="3320" w:type="dxa"/>
            <w:vAlign w:val="bottom"/>
            <w:gridSpan w:val="3"/>
          </w:tcPr>
          <w:p>
            <w:pPr>
              <w:spacing w:after="0"/>
              <w:rPr>
                <w:sz w:val="20"/>
                <w:szCs w:val="20"/>
                <w:color w:val="auto"/>
              </w:rPr>
            </w:pPr>
            <w:r>
              <w:rPr>
                <w:rFonts w:ascii="Arial" w:cs="Arial" w:eastAsia="Arial" w:hAnsi="Arial"/>
                <w:sz w:val="18"/>
                <w:szCs w:val="18"/>
                <w:color w:val="auto"/>
              </w:rPr>
              <w:t>Total other expense</w:t>
            </w:r>
          </w:p>
        </w:tc>
        <w:tc>
          <w:tcPr>
            <w:tcW w:w="2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6"/>
        </w:trPr>
        <w:tc>
          <w:tcPr>
            <w:tcW w:w="33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gridSpan w:val="3"/>
          </w:tcPr>
          <w:p>
            <w:pPr>
              <w:spacing w:after="0"/>
              <w:rPr>
                <w:sz w:val="20"/>
                <w:szCs w:val="20"/>
                <w:color w:val="auto"/>
              </w:rPr>
            </w:pPr>
            <w:r>
              <w:rPr>
                <w:rFonts w:ascii="Arial" w:cs="Arial" w:eastAsia="Arial" w:hAnsi="Arial"/>
                <w:sz w:val="18"/>
                <w:szCs w:val="18"/>
                <w:color w:val="auto"/>
              </w:rPr>
              <w:t>Loss per share:</w:t>
            </w:r>
          </w:p>
        </w:tc>
        <w:tc>
          <w:tcPr>
            <w:tcW w:w="2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Basic and diluted loss per common share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2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Basic and diluted</w:t>
            </w:r>
          </w:p>
        </w:tc>
        <w:tc>
          <w:tcPr>
            <w:tcW w:w="2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40,152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38,468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39,960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3400" w:type="dxa"/>
            <w:vAlign w:val="bottom"/>
            <w:gridSpan w:val="3"/>
          </w:tcPr>
          <w:p>
            <w:pPr>
              <w:jc w:val="center"/>
              <w:ind w:left="131"/>
              <w:spacing w:after="0"/>
              <w:rPr>
                <w:sz w:val="20"/>
                <w:szCs w:val="20"/>
                <w:color w:val="auto"/>
              </w:rPr>
            </w:pPr>
            <w:r>
              <w:rPr>
                <w:rFonts w:ascii="Arial" w:cs="Arial" w:eastAsia="Arial" w:hAnsi="Arial"/>
                <w:sz w:val="18"/>
                <w:szCs w:val="18"/>
                <w:b w:val="1"/>
                <w:bCs w:val="1"/>
                <w:color w:val="auto"/>
                <w:w w:val="98"/>
              </w:rPr>
              <w:t>HARVARD BIOSCIENCE,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0" w:type="dxa"/>
            <w:vAlign w:val="bottom"/>
            <w:gridSpan w:val="8"/>
          </w:tcPr>
          <w:p>
            <w:pPr>
              <w:jc w:val="center"/>
              <w:ind w:left="1231"/>
              <w:spacing w:after="0"/>
              <w:rPr>
                <w:sz w:val="20"/>
                <w:szCs w:val="20"/>
                <w:color w:val="auto"/>
              </w:rPr>
            </w:pPr>
            <w:r>
              <w:rPr>
                <w:rFonts w:ascii="Arial" w:cs="Arial" w:eastAsia="Arial" w:hAnsi="Arial"/>
                <w:sz w:val="18"/>
                <w:szCs w:val="18"/>
                <w:b w:val="1"/>
                <w:bCs w:val="1"/>
                <w:color w:val="auto"/>
                <w:w w:val="98"/>
              </w:rPr>
              <w:t>CONSOLIDATED STATEMENTS OF COMPREHENSIVE INCOME (LOSS)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0" w:type="dxa"/>
            <w:vAlign w:val="bottom"/>
            <w:gridSpan w:val="3"/>
          </w:tcPr>
          <w:p>
            <w:pPr>
              <w:jc w:val="center"/>
              <w:ind w:left="111"/>
              <w:spacing w:after="0"/>
              <w:rPr>
                <w:sz w:val="20"/>
                <w:szCs w:val="20"/>
                <w:color w:val="auto"/>
              </w:rPr>
            </w:pPr>
            <w:r>
              <w:rPr>
                <w:rFonts w:ascii="Arial" w:cs="Arial" w:eastAsia="Arial" w:hAnsi="Arial"/>
                <w:sz w:val="18"/>
                <w:szCs w:val="18"/>
                <w:b w:val="1"/>
                <w:bCs w:val="1"/>
                <w:color w:val="auto"/>
                <w:w w:val="88"/>
              </w:rPr>
              <w:t>(Unaudited, 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Derivatives qualifying as hedges, net of tax</w:t>
            </w:r>
          </w:p>
        </w:tc>
        <w:tc>
          <w:tcPr>
            <w:tcW w:w="2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7"/>
          </w:tcPr>
          <w:p>
            <w:pPr>
              <w:jc w:val="center"/>
              <w:ind w:right="471"/>
              <w:spacing w:after="0"/>
              <w:rPr>
                <w:sz w:val="20"/>
                <w:szCs w:val="20"/>
                <w:color w:val="auto"/>
              </w:rPr>
            </w:pPr>
            <w:r>
              <w:rPr>
                <w:rFonts w:ascii="Arial" w:cs="Arial" w:eastAsia="Arial" w:hAnsi="Arial"/>
                <w:sz w:val="18"/>
                <w:szCs w:val="18"/>
                <w:b w:val="1"/>
                <w:bCs w:val="1"/>
                <w:color w:val="auto"/>
                <w:w w:val="98"/>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0" w:type="dxa"/>
            <w:vAlign w:val="bottom"/>
            <w:gridSpan w:val="14"/>
          </w:tcPr>
          <w:p>
            <w:pPr>
              <w:jc w:val="center"/>
              <w:ind w:right="271"/>
              <w:spacing w:after="0"/>
              <w:rPr>
                <w:sz w:val="20"/>
                <w:szCs w:val="20"/>
                <w:color w:val="auto"/>
              </w:rPr>
            </w:pPr>
            <w:r>
              <w:rPr>
                <w:rFonts w:ascii="Arial" w:cs="Arial" w:eastAsia="Arial" w:hAnsi="Arial"/>
                <w:sz w:val="18"/>
                <w:szCs w:val="18"/>
                <w:b w:val="1"/>
                <w:bCs w:val="1"/>
                <w:color w:val="auto"/>
                <w:w w:val="98"/>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6"/>
          </w:tcPr>
          <w:p>
            <w:pPr>
              <w:jc w:val="center"/>
              <w:ind w:left="211"/>
              <w:spacing w:after="0"/>
              <w:rPr>
                <w:sz w:val="20"/>
                <w:szCs w:val="20"/>
                <w:color w:val="auto"/>
              </w:rPr>
            </w:pPr>
            <w:r>
              <w:rPr>
                <w:rFonts w:ascii="Arial" w:cs="Arial" w:eastAsia="Arial" w:hAnsi="Arial"/>
                <w:sz w:val="18"/>
                <w:szCs w:val="18"/>
                <w:b w:val="1"/>
                <w:bCs w:val="1"/>
                <w:color w:val="auto"/>
                <w:w w:val="88"/>
              </w:rPr>
              <w:t>(Unaudited, 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211"/>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June 30, 2021</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47,696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234,781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77,115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Retirement of treasury stock</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option exercises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purchase plan</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Shares withheld for taxes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6"/>
        </w:trPr>
        <w:tc>
          <w:tcPr>
            <w:tcW w:w="2700" w:type="dxa"/>
            <w:vAlign w:val="bottom"/>
            <w:gridSpan w:val="3"/>
          </w:tcPr>
          <w:p>
            <w:pPr>
              <w:spacing w:after="0"/>
              <w:rPr>
                <w:sz w:val="20"/>
                <w:szCs w:val="20"/>
                <w:color w:val="auto"/>
              </w:rPr>
            </w:pPr>
            <w:r>
              <w:rPr>
                <w:rFonts w:ascii="Arial" w:cs="Arial" w:eastAsia="Arial" w:hAnsi="Arial"/>
                <w:sz w:val="18"/>
                <w:szCs w:val="18"/>
                <w:color w:val="auto"/>
              </w:rPr>
              <w:t>Balance at June 30, 2021</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40,486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225,583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(133,465)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211"/>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June 30, 2020</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46,121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229,740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(129,092)</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option exercises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purchase plan</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withheld for taxes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compensation expense</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46,414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230,675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(130,673)</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76,068</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9"/>
              </w:rPr>
              <w:t>Six Months Ended</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211"/>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June 30, 2021</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47,153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232,357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Retirement of treasury stock</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option exercises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purchase plan</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Shares withheld for taxes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6"/>
        </w:trPr>
        <w:tc>
          <w:tcPr>
            <w:tcW w:w="2700" w:type="dxa"/>
            <w:vAlign w:val="bottom"/>
            <w:gridSpan w:val="3"/>
          </w:tcPr>
          <w:p>
            <w:pPr>
              <w:spacing w:after="0"/>
              <w:rPr>
                <w:sz w:val="20"/>
                <w:szCs w:val="20"/>
                <w:color w:val="auto"/>
              </w:rPr>
            </w:pPr>
            <w:r>
              <w:rPr>
                <w:rFonts w:ascii="Arial" w:cs="Arial" w:eastAsia="Arial" w:hAnsi="Arial"/>
                <w:sz w:val="18"/>
                <w:szCs w:val="18"/>
                <w:color w:val="auto"/>
              </w:rPr>
              <w:t>Balance at June 30, 2021</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40,486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225,583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(133,465)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9"/>
              </w:rPr>
              <w:t>Six Months Ended</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211"/>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June 30, 2020</w:t>
            </w:r>
          </w:p>
        </w:tc>
        <w:tc>
          <w:tcPr>
            <w:tcW w:w="44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45,934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229,189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(124,576)</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81,694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option exercises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purchase plan</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withheld for taxes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Stock compensation expense</w:t>
            </w:r>
          </w:p>
        </w:tc>
        <w:tc>
          <w:tcPr>
            <w:tcW w:w="1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230,675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(130,673)</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6" w:right="3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600" w:type="dxa"/>
            <w:vAlign w:val="bottom"/>
          </w:tcPr>
          <w:p>
            <w:pPr>
              <w:jc w:val="center"/>
              <w:ind w:left="2051"/>
              <w:spacing w:after="0"/>
              <w:rPr>
                <w:sz w:val="20"/>
                <w:szCs w:val="20"/>
                <w:color w:val="auto"/>
              </w:rPr>
            </w:pPr>
            <w:r>
              <w:rPr>
                <w:rFonts w:ascii="Arial" w:cs="Arial" w:eastAsia="Arial" w:hAnsi="Arial"/>
                <w:sz w:val="18"/>
                <w:szCs w:val="18"/>
                <w:b w:val="1"/>
                <w:bCs w:val="1"/>
                <w:color w:val="auto"/>
                <w:w w:val="98"/>
              </w:rPr>
              <w:t>HARVARD BIOSCIENCE,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0" w:type="dxa"/>
            <w:vAlign w:val="bottom"/>
          </w:tcPr>
          <w:p>
            <w:pPr>
              <w:jc w:val="center"/>
              <w:ind w:left="203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0" w:type="dxa"/>
            <w:vAlign w:val="bottom"/>
          </w:tcPr>
          <w:p>
            <w:pPr>
              <w:jc w:val="center"/>
              <w:ind w:left="2031"/>
              <w:spacing w:after="0"/>
              <w:rPr>
                <w:sz w:val="20"/>
                <w:szCs w:val="20"/>
                <w:color w:val="auto"/>
              </w:rPr>
            </w:pPr>
            <w:r>
              <w:rPr>
                <w:rFonts w:ascii="Arial" w:cs="Arial" w:eastAsia="Arial" w:hAnsi="Arial"/>
                <w:sz w:val="18"/>
                <w:szCs w:val="18"/>
                <w:b w:val="1"/>
                <w:bCs w:val="1"/>
                <w:color w:val="auto"/>
                <w:w w:val="88"/>
              </w:rPr>
              <w:t>(Unaudited, 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Deferred income taxes and 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gridSpan w:val="2"/>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Additions to intangible assets</w:t>
            </w:r>
          </w:p>
        </w:tc>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17"/>
                <w:szCs w:val="17"/>
                <w:color w:val="auto"/>
              </w:rPr>
            </w:pPr>
          </w:p>
        </w:tc>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6"/>
        </w:trPr>
        <w:tc>
          <w:tcPr>
            <w:tcW w:w="786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6,237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110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HARVARD BIOSCIENCE, INC.</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59" w:lineRule="exact"/>
        <w:rPr>
          <w:sz w:val="20"/>
          <w:szCs w:val="20"/>
          <w:color w:val="auto"/>
        </w:rPr>
      </w:pPr>
    </w:p>
    <w:p>
      <w:pPr>
        <w:ind w:left="600" w:right="3140" w:hanging="594"/>
        <w:spacing w:after="0" w:line="497" w:lineRule="auto"/>
        <w:tabs>
          <w:tab w:leader="none" w:pos="5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and Risks and Uncertainties </w:t>
      </w:r>
      <w:r>
        <w:rPr>
          <w:rFonts w:ascii="Arial" w:cs="Arial" w:eastAsia="Arial" w:hAnsi="Arial"/>
          <w:sz w:val="18"/>
          <w:szCs w:val="18"/>
          <w:b w:val="1"/>
          <w:bCs w:val="1"/>
          <w:i w:val="1"/>
          <w:iCs w:val="1"/>
          <w:color w:val="auto"/>
        </w:rPr>
        <w:t>Basis of Presentation and Summary of Significant Accounting Policies</w:t>
      </w:r>
    </w:p>
    <w:p>
      <w:pPr>
        <w:spacing w:after="0" w:line="1" w:lineRule="exact"/>
        <w:rPr>
          <w:sz w:val="20"/>
          <w:szCs w:val="20"/>
          <w:color w:val="auto"/>
        </w:rPr>
      </w:pPr>
    </w:p>
    <w:p>
      <w:pPr>
        <w:jc w:val="both"/>
        <w:ind w:left="300" w:firstLine="319"/>
        <w:spacing w:after="0" w:line="285"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June 30, 2021 and for the three and six months ended June 30, 2021 and 2020,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2020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2020.</w:t>
      </w:r>
    </w:p>
    <w:p>
      <w:pPr>
        <w:spacing w:after="0" w:line="169"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June 30, 2021, results of operations and comprehensive income (loss) and cash flows for the three months and six months ended June 30, 2021 and 2020, as applicable, have been made. The results of operations for the three months and six months ended June 30, 2021 are not necessarily indicative of the operating results for the full fiscal year or any future periods.</w:t>
      </w:r>
    </w:p>
    <w:p>
      <w:pPr>
        <w:spacing w:after="0" w:line="192"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2020. There have been no material changes in the Company’s significant accounting policies during the three and six months ended June 30, 2021.</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19" w:lineRule="exact"/>
        <w:rPr>
          <w:sz w:val="20"/>
          <w:szCs w:val="20"/>
          <w:color w:val="auto"/>
        </w:rPr>
      </w:pPr>
    </w:p>
    <w:p>
      <w:pPr>
        <w:jc w:val="both"/>
        <w:ind w:left="300" w:firstLine="319"/>
        <w:spacing w:after="0" w:line="283"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global outbreak of COVID-19, many customers, particularly academic research institutions, have reduced laboratory work which has negatively impacted, and will continue to negatively impact, the Company’s sales. While many of the Company's customers, including academic labs, have reopened, a significant number of them remained closed or at significantly lower capacity levels through the second quarter of 2021. Additionally, to ensure business continuity while maintaining a safe environment for employees aligned with guidance from government and health organizations, the Company transitioned a significant portion of its workforce to work-from-home while implementing social distancing requirements and other measures to allow manufacturing and other personnel essential to production to continue work within the Company's facilities. Business travel was significantly reduced during this period. While a portion of the workforce has returned to in-office work and travel is less restricted, the Company continued to have restrictions which represent disruptions which can impact productivity including sales and marketing activities.</w:t>
      </w:r>
    </w:p>
    <w:p>
      <w:pPr>
        <w:spacing w:after="0" w:line="173"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The global supply chain has experienced significant disruptions during the first half of 2021 due to electronic component and labor shortages and other macroeconomic factors which have emerged since the onset of COVID-19, leading to increased cost of freight and purchased materials, while also delaying customer shipments. Accordingly, these conditions in addition to the overall impact on the global economy have negatively impacted results of operations and cash flows.</w:t>
      </w:r>
    </w:p>
    <w:p>
      <w:pPr>
        <w:spacing w:after="0" w:line="200" w:lineRule="exact"/>
        <w:rPr>
          <w:sz w:val="20"/>
          <w:szCs w:val="20"/>
          <w:color w:val="auto"/>
        </w:rPr>
      </w:pPr>
    </w:p>
    <w:p>
      <w:pPr>
        <w:spacing w:after="0" w:line="226" w:lineRule="exact"/>
        <w:rPr>
          <w:sz w:val="20"/>
          <w:szCs w:val="20"/>
          <w:color w:val="auto"/>
        </w:rPr>
      </w:pPr>
    </w:p>
    <w:p>
      <w:pPr>
        <w:ind w:left="600" w:right="7240" w:hanging="594"/>
        <w:spacing w:after="0" w:line="639" w:lineRule="auto"/>
        <w:tabs>
          <w:tab w:leader="none" w:pos="569"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Recently Issued Accounting Pronouncements </w:t>
      </w:r>
      <w:r>
        <w:rPr>
          <w:rFonts w:ascii="Arial" w:cs="Arial" w:eastAsia="Arial" w:hAnsi="Arial"/>
          <w:sz w:val="14"/>
          <w:szCs w:val="14"/>
          <w:i w:val="1"/>
          <w:iCs w:val="1"/>
          <w:color w:val="auto"/>
        </w:rPr>
        <w:t>Accounting Pronouncements Adopted</w:t>
      </w:r>
    </w:p>
    <w:p>
      <w:pPr>
        <w:spacing w:after="0" w:line="1" w:lineRule="exact"/>
        <w:rPr>
          <w:sz w:val="20"/>
          <w:szCs w:val="20"/>
          <w:color w:val="auto"/>
        </w:rPr>
      </w:pPr>
    </w:p>
    <w:p>
      <w:pPr>
        <w:jc w:val="both"/>
        <w:ind w:left="300" w:firstLine="319"/>
        <w:spacing w:after="0" w:line="270"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The Company adopted the provisions of ASU 2019-12 effective on January 1, 2021. The adoption of this new accounting guidance did not have a material impact on the Company’s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19" w:lineRule="exact"/>
        <w:rPr>
          <w:sz w:val="20"/>
          <w:szCs w:val="20"/>
          <w:color w:val="auto"/>
        </w:rPr>
      </w:pPr>
    </w:p>
    <w:p>
      <w:pPr>
        <w:jc w:val="both"/>
        <w:ind w:left="320" w:right="100" w:firstLine="319"/>
        <w:spacing w:after="0" w:line="267" w:lineRule="auto"/>
        <w:rPr>
          <w:sz w:val="20"/>
          <w:szCs w:val="20"/>
          <w:color w:val="auto"/>
        </w:rPr>
      </w:pPr>
      <w:r>
        <w:rPr>
          <w:rFonts w:ascii="Arial" w:cs="Arial" w:eastAsia="Arial" w:hAnsi="Arial"/>
          <w:sz w:val="17"/>
          <w:szCs w:val="17"/>
          <w:color w:val="auto"/>
        </w:rPr>
        <w:t xml:space="preserve">In September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w:t>
      </w:r>
      <w:r>
        <w:rPr>
          <w:rFonts w:ascii="Arial" w:cs="Arial" w:eastAsia="Arial" w:hAnsi="Arial"/>
          <w:sz w:val="17"/>
          <w:szCs w:val="17"/>
          <w:i w:val="1"/>
          <w:iCs w:val="1"/>
          <w:color w:val="auto"/>
        </w:rPr>
        <w:t xml:space="preserve">Credit Losses (Topic 326): Measurement of Credit Losses on Financial Instruments (ASU 2016-13), </w:t>
      </w:r>
      <w:r>
        <w:rPr>
          <w:rFonts w:ascii="Arial" w:cs="Arial" w:eastAsia="Arial" w:hAnsi="Arial"/>
          <w:sz w:val="17"/>
          <w:szCs w:val="17"/>
          <w:color w:val="auto"/>
        </w:rPr>
        <w:t>which amends the impairment model</w:t>
      </w:r>
      <w:r>
        <w:rPr>
          <w:rFonts w:ascii="Arial" w:cs="Arial" w:eastAsia="Arial" w:hAnsi="Arial"/>
          <w:sz w:val="17"/>
          <w:szCs w:val="17"/>
          <w:i w:val="1"/>
          <w:iCs w:val="1"/>
          <w:color w:val="auto"/>
        </w:rPr>
        <w:t xml:space="preserve"> </w:t>
      </w:r>
      <w:r>
        <w:rPr>
          <w:rFonts w:ascii="Arial" w:cs="Arial" w:eastAsia="Arial" w:hAnsi="Arial"/>
          <w:sz w:val="17"/>
          <w:szCs w:val="17"/>
          <w:color w:val="auto"/>
        </w:rPr>
        <w:t>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position, results of operations and cash flows.</w:t>
      </w:r>
    </w:p>
    <w:p>
      <w:pPr>
        <w:spacing w:after="0" w:line="200" w:lineRule="exact"/>
        <w:rPr>
          <w:sz w:val="20"/>
          <w:szCs w:val="20"/>
          <w:color w:val="auto"/>
        </w:rPr>
      </w:pPr>
    </w:p>
    <w:p>
      <w:pPr>
        <w:spacing w:after="0" w:line="215" w:lineRule="exact"/>
        <w:rPr>
          <w:sz w:val="20"/>
          <w:szCs w:val="20"/>
          <w:color w:val="auto"/>
        </w:rPr>
      </w:pPr>
    </w:p>
    <w:p>
      <w:pPr>
        <w:ind w:left="620" w:right="8380" w:hanging="594"/>
        <w:spacing w:after="0" w:line="497" w:lineRule="auto"/>
        <w:tabs>
          <w:tab w:leader="none" w:pos="60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for the six months ended June 30, 2021 is as follows: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2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4"/>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Carrying amount at December 31, 2020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8"/>
                <w:szCs w:val="18"/>
                <w:color w:val="auto"/>
                <w:w w:val="90"/>
              </w:rPr>
              <w:t>Effect of change in currency translation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at June 30, 2021</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05"/>
        </w:trPr>
        <w:tc>
          <w:tcPr>
            <w:tcW w:w="284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Intangible Assets</w:t>
            </w: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7"/>
        </w:trPr>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December 31, 2020</w:t>
            </w:r>
          </w:p>
        </w:tc>
        <w:tc>
          <w:tcPr>
            <w:tcW w:w="700" w:type="dxa"/>
            <w:vAlign w:val="bottom"/>
            <w:tcBorders>
              <w:bottom w:val="single" w:sz="8" w:color="auto"/>
            </w:tcBorders>
          </w:tcPr>
          <w:p>
            <w:pPr>
              <w:spacing w:after="0"/>
              <w:rPr>
                <w:sz w:val="24"/>
                <w:szCs w:val="24"/>
                <w:color w:val="auto"/>
              </w:rPr>
            </w:pPr>
          </w:p>
        </w:tc>
      </w:tr>
      <w:tr>
        <w:trPr>
          <w:trHeight w:val="195"/>
        </w:trPr>
        <w:tc>
          <w:tcPr>
            <w:tcW w:w="2640" w:type="dxa"/>
            <w:vAlign w:val="bottom"/>
          </w:tcPr>
          <w:p>
            <w:pPr>
              <w:spacing w:after="0"/>
              <w:rPr>
                <w:sz w:val="16"/>
                <w:szCs w:val="16"/>
                <w:color w:val="auto"/>
              </w:rPr>
            </w:pPr>
          </w:p>
        </w:tc>
        <w:tc>
          <w:tcPr>
            <w:tcW w:w="1120" w:type="dxa"/>
            <w:vAlign w:val="bottom"/>
            <w:gridSpan w:val="2"/>
          </w:tcPr>
          <w:p>
            <w:pPr>
              <w:jc w:val="center"/>
              <w:ind w:right="31"/>
              <w:spacing w:after="0" w:line="195"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right"/>
              <w:ind w:right="591"/>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3"/>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211"/>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5"/>
        </w:trPr>
        <w:tc>
          <w:tcPr>
            <w:tcW w:w="264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Gross</w:t>
            </w:r>
          </w:p>
        </w:tc>
        <w:tc>
          <w:tcPr>
            <w:tcW w:w="100" w:type="dxa"/>
            <w:vAlign w:val="bottom"/>
          </w:tcPr>
          <w:p>
            <w:pPr>
              <w:spacing w:after="0"/>
              <w:rPr>
                <w:sz w:val="19"/>
                <w:szCs w:val="19"/>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Net</w:t>
            </w:r>
          </w:p>
        </w:tc>
      </w:tr>
      <w:tr>
        <w:trPr>
          <w:trHeight w:val="194"/>
        </w:trPr>
        <w:tc>
          <w:tcPr>
            <w:tcW w:w="28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Distribution agreements/customer</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relationships</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18,039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18,237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13"/>
        </w:trPr>
        <w:tc>
          <w:tcPr>
            <w:tcW w:w="2840" w:type="dxa"/>
            <w:vAlign w:val="bottom"/>
            <w:gridSpan w:val="2"/>
          </w:tcPr>
          <w:p>
            <w:pPr>
              <w:spacing w:after="0"/>
              <w:rPr>
                <w:sz w:val="20"/>
                <w:szCs w:val="20"/>
                <w:color w:val="auto"/>
              </w:rPr>
            </w:pPr>
            <w:r>
              <w:rPr>
                <w:rFonts w:ascii="Arial" w:cs="Arial" w:eastAsia="Arial" w:hAnsi="Arial"/>
                <w:sz w:val="18"/>
                <w:szCs w:val="18"/>
                <w:color w:val="auto"/>
              </w:rPr>
              <w:t>Existing technology</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38,761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13"/>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9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8,681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6"/>
        </w:trPr>
        <w:tc>
          <w:tcPr>
            <w:tcW w:w="2840" w:type="dxa"/>
            <w:vAlign w:val="bottom"/>
            <w:gridSpan w:val="2"/>
          </w:tcPr>
          <w:p>
            <w:pPr>
              <w:spacing w:after="0"/>
              <w:rPr>
                <w:sz w:val="20"/>
                <w:szCs w:val="20"/>
                <w:color w:val="auto"/>
              </w:rPr>
            </w:pPr>
            <w:r>
              <w:rPr>
                <w:rFonts w:ascii="Arial" w:cs="Arial" w:eastAsia="Arial" w:hAnsi="Arial"/>
                <w:sz w:val="18"/>
                <w:szCs w:val="18"/>
                <w:color w:val="auto"/>
              </w:rPr>
              <w:t>Total amortizable intangible assets</w:t>
            </w:r>
          </w:p>
        </w:tc>
        <w:tc>
          <w:tcPr>
            <w:tcW w:w="92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65,688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(35,426)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30,262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65,679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3"/>
        </w:trPr>
        <w:tc>
          <w:tcPr>
            <w:tcW w:w="2840" w:type="dxa"/>
            <w:vAlign w:val="bottom"/>
            <w:tcBorders>
              <w:bottom w:val="single" w:sz="8" w:color="CCEEFF"/>
            </w:tcBorders>
            <w:gridSpan w:val="2"/>
            <w:shd w:val="clear" w:color="auto" w:fill="CCEEFF"/>
          </w:tcPr>
          <w:p>
            <w:pPr>
              <w:spacing w:after="0" w:line="193" w:lineRule="exact"/>
              <w:rPr>
                <w:sz w:val="20"/>
                <w:szCs w:val="20"/>
                <w:color w:val="auto"/>
              </w:rPr>
            </w:pPr>
            <w:r>
              <w:rPr>
                <w:rFonts w:ascii="Arial" w:cs="Arial" w:eastAsia="Arial" w:hAnsi="Arial"/>
                <w:sz w:val="18"/>
                <w:szCs w:val="18"/>
                <w:color w:val="auto"/>
              </w:rPr>
              <w:t>Indefinite-lived intangible assets:</w:t>
            </w: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line="193" w:lineRule="exact"/>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25</w:t>
            </w:r>
          </w:p>
        </w:tc>
      </w:tr>
      <w:tr>
        <w:trPr>
          <w:trHeight w:val="206"/>
        </w:trPr>
        <w:tc>
          <w:tcPr>
            <w:tcW w:w="284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33,15</w:t>
            </w: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life in years as of June 30, 2021</w:t>
      </w:r>
    </w:p>
    <w:p>
      <w:pPr>
        <w:spacing w:after="0" w:line="219" w:lineRule="exact"/>
        <w:rPr>
          <w:sz w:val="20"/>
          <w:szCs w:val="20"/>
          <w:color w:val="auto"/>
        </w:rPr>
      </w:pPr>
    </w:p>
    <w:p>
      <w:pPr>
        <w:jc w:val="both"/>
        <w:ind w:left="320" w:right="100" w:firstLine="319"/>
        <w:spacing w:after="0" w:line="256" w:lineRule="auto"/>
        <w:rPr>
          <w:sz w:val="20"/>
          <w:szCs w:val="20"/>
          <w:color w:val="auto"/>
        </w:rPr>
      </w:pPr>
      <w:r>
        <w:rPr>
          <w:rFonts w:ascii="Arial" w:cs="Arial" w:eastAsia="Arial" w:hAnsi="Arial"/>
          <w:sz w:val="18"/>
          <w:szCs w:val="18"/>
          <w:color w:val="auto"/>
        </w:rPr>
        <w:t>Intangible asset amortization expense was $1.5 million for each of the three months ended June 30, 2021 and 2020, respectively, and was $2.9 million for each of the six months ended June 30, 2021 and 2020, respectively. Estimated amortization expense of existing amortizable intangible assets for each of the five succeeding years and thereafter as of June 30, 2021 is as follows: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Amortization</w:t>
            </w:r>
          </w:p>
        </w:tc>
        <w:tc>
          <w:tcPr>
            <w:tcW w:w="5020" w:type="dxa"/>
            <w:vAlign w:val="bottom"/>
          </w:tcPr>
          <w:p>
            <w:pPr>
              <w:spacing w:after="0"/>
              <w:rPr>
                <w:sz w:val="18"/>
                <w:szCs w:val="18"/>
                <w:color w:val="auto"/>
              </w:rPr>
            </w:pPr>
          </w:p>
        </w:tc>
      </w:tr>
      <w:tr>
        <w:trPr>
          <w:trHeight w:val="231"/>
        </w:trPr>
        <w:tc>
          <w:tcPr>
            <w:tcW w:w="60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89"/>
              </w:rPr>
              <w:t>Expense</w:t>
            </w:r>
          </w:p>
        </w:tc>
        <w:tc>
          <w:tcPr>
            <w:tcW w:w="5020" w:type="dxa"/>
            <w:vAlign w:val="bottom"/>
          </w:tcPr>
          <w:p>
            <w:pPr>
              <w:spacing w:after="0"/>
              <w:rPr>
                <w:sz w:val="20"/>
                <w:szCs w:val="20"/>
                <w:color w:val="auto"/>
              </w:rPr>
            </w:pPr>
          </w:p>
        </w:tc>
      </w:tr>
      <w:tr>
        <w:trPr>
          <w:trHeight w:val="207"/>
        </w:trPr>
        <w:tc>
          <w:tcPr>
            <w:tcW w:w="6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2"/>
              </w:rPr>
              <w:t>(in thousands)</w:t>
            </w:r>
          </w:p>
        </w:tc>
        <w:tc>
          <w:tcPr>
            <w:tcW w:w="5020" w:type="dxa"/>
            <w:vAlign w:val="bottom"/>
          </w:tcPr>
          <w:p>
            <w:pPr>
              <w:spacing w:after="0"/>
              <w:rPr>
                <w:sz w:val="17"/>
                <w:szCs w:val="17"/>
                <w:color w:val="auto"/>
              </w:rPr>
            </w:pPr>
          </w:p>
        </w:tc>
      </w:tr>
      <w:tr>
        <w:trPr>
          <w:trHeight w:val="213"/>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5,814</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5,398</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5020" w:type="dxa"/>
            <w:vAlign w:val="bottom"/>
          </w:tcPr>
          <w:p>
            <w:pPr>
              <w:spacing w:after="0"/>
              <w:rPr>
                <w:sz w:val="18"/>
                <w:szCs w:val="18"/>
                <w:color w:val="auto"/>
              </w:rPr>
            </w:pPr>
          </w:p>
        </w:tc>
      </w:tr>
      <w:tr>
        <w:trPr>
          <w:trHeight w:val="246"/>
        </w:trPr>
        <w:tc>
          <w:tcPr>
            <w:tcW w:w="60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30,262</w:t>
            </w:r>
          </w:p>
        </w:tc>
        <w:tc>
          <w:tcPr>
            <w:tcW w:w="5020" w:type="dxa"/>
            <w:vAlign w:val="bottom"/>
          </w:tcPr>
          <w:p>
            <w:pPr>
              <w:spacing w:after="0"/>
              <w:rPr>
                <w:sz w:val="21"/>
                <w:szCs w:val="21"/>
                <w:color w:val="auto"/>
              </w:rPr>
            </w:pPr>
          </w:p>
        </w:tc>
      </w:tr>
      <w:tr>
        <w:trPr>
          <w:trHeight w:val="618"/>
        </w:trPr>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471"/>
              <w:spacing w:after="0"/>
              <w:rPr>
                <w:sz w:val="20"/>
                <w:szCs w:val="20"/>
                <w:color w:val="auto"/>
              </w:rPr>
            </w:pPr>
            <w:r>
              <w:rPr>
                <w:rFonts w:ascii="Arial" w:cs="Arial" w:eastAsia="Arial" w:hAnsi="Arial"/>
                <w:sz w:val="18"/>
                <w:szCs w:val="18"/>
                <w:color w:val="auto"/>
              </w:rPr>
              <w:t>9</w:t>
            </w:r>
          </w:p>
        </w:tc>
        <w:tc>
          <w:tcPr>
            <w:tcW w:w="5020" w:type="dxa"/>
            <w:vAlign w:val="bottom"/>
          </w:tcPr>
          <w:p>
            <w:pPr>
              <w:spacing w:after="0"/>
              <w:rPr>
                <w:sz w:val="24"/>
                <w:szCs w:val="24"/>
                <w:color w:val="auto"/>
              </w:rPr>
            </w:pPr>
          </w:p>
        </w:tc>
      </w:tr>
      <w:tr>
        <w:trPr>
          <w:trHeight w:val="114"/>
        </w:trPr>
        <w:tc>
          <w:tcPr>
            <w:tcW w:w="60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bl>
    <w:p>
      <w:pPr>
        <w:sectPr>
          <w:pgSz w:w="11900" w:h="16838" w:orient="portrait"/>
          <w:cols w:equalWidth="0" w:num="1">
            <w:col w:w="11360"/>
          </w:cols>
          <w:pgMar w:left="300" w:top="12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hanging="594"/>
        <w:spacing w:after="0"/>
        <w:tabs>
          <w:tab w:leader="none" w:pos="6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details of selected balance sheet items as of the periods indicated:</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422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1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0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1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w:t>
            </w:r>
          </w:p>
        </w:tc>
      </w:tr>
      <w:tr>
        <w:trPr>
          <w:trHeight w:val="206"/>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24,709</w:t>
            </w:r>
          </w:p>
        </w:tc>
        <w:tc>
          <w:tcPr>
            <w:tcW w:w="3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22,262</w:t>
            </w:r>
          </w:p>
        </w:tc>
      </w:tr>
      <w:tr>
        <w:trPr>
          <w:trHeight w:val="20"/>
        </w:trPr>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4220" w:type="dxa"/>
            <w:vAlign w:val="bottom"/>
          </w:tcPr>
          <w:p>
            <w:pPr>
              <w:spacing w:after="0"/>
              <w:rPr>
                <w:sz w:val="20"/>
                <w:szCs w:val="20"/>
                <w:color w:val="auto"/>
              </w:rPr>
            </w:pPr>
            <w:r>
              <w:rPr>
                <w:rFonts w:ascii="Arial" w:cs="Arial" w:eastAsia="Arial" w:hAnsi="Arial"/>
                <w:sz w:val="18"/>
                <w:szCs w:val="18"/>
                <w:i w:val="1"/>
                <w:iCs w:val="1"/>
                <w:color w:val="auto"/>
              </w:rPr>
              <w:t>Other Current Liabilities:</w:t>
            </w:r>
          </w:p>
        </w:tc>
        <w:tc>
          <w:tcPr>
            <w:tcW w:w="1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0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Customer related costs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r>
      <w:tr>
        <w:trPr>
          <w:trHeight w:val="24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r>
    </w:tbl>
    <w:p>
      <w:pPr>
        <w:spacing w:after="0" w:line="200" w:lineRule="exact"/>
        <w:rPr>
          <w:sz w:val="20"/>
          <w:szCs w:val="20"/>
          <w:color w:val="auto"/>
        </w:rPr>
      </w:pPr>
    </w:p>
    <w:p>
      <w:pPr>
        <w:spacing w:after="0" w:line="234" w:lineRule="exact"/>
        <w:rPr>
          <w:sz w:val="20"/>
          <w:szCs w:val="20"/>
          <w:color w:val="auto"/>
        </w:rPr>
      </w:pPr>
    </w:p>
    <w:p>
      <w:pPr>
        <w:ind w:left="600" w:hanging="594"/>
        <w:spacing w:after="0"/>
        <w:tabs>
          <w:tab w:leader="none" w:pos="6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225" w:lineRule="exact"/>
        <w:rPr>
          <w:sz w:val="20"/>
          <w:szCs w:val="20"/>
          <w:color w:val="auto"/>
        </w:rPr>
      </w:pPr>
    </w:p>
    <w:p>
      <w:pPr>
        <w:jc w:val="both"/>
        <w:ind w:left="300" w:firstLine="408"/>
        <w:spacing w:after="0" w:line="279" w:lineRule="auto"/>
        <w:rPr>
          <w:sz w:val="20"/>
          <w:szCs w:val="20"/>
          <w:color w:val="auto"/>
        </w:rPr>
      </w:pPr>
      <w:r>
        <w:rPr>
          <w:rFonts w:ascii="Arial" w:cs="Arial" w:eastAsia="Arial" w:hAnsi="Arial"/>
          <w:sz w:val="17"/>
          <w:szCs w:val="17"/>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changes in the restructuring liabilities for the six months ended June 30, 2021:</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Severance</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Other</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Total</w:t>
            </w: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40" w:type="dxa"/>
            <w:vAlign w:val="bottom"/>
            <w:gridSpan w:val="2"/>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Restructuring and other exit costs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4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bl>
    <w:p>
      <w:pPr>
        <w:spacing w:after="0" w:line="201"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The restructuring liability has been included in other current liabilities in the consolidated balance sheet and is payable within the next twelve months. Restructuring costs were $0.7 million for each of the three months ended June 30, 2021 and 2020, respectively, and were $1.2 million and $1.6 million for the six months ended June 30, 2021 and 2020, respectively. Substantially all of these restructuring costs have been included as a component of general and administrative expenses.</w:t>
      </w:r>
    </w:p>
    <w:p>
      <w:pPr>
        <w:spacing w:after="0" w:line="200" w:lineRule="exact"/>
        <w:rPr>
          <w:sz w:val="20"/>
          <w:szCs w:val="20"/>
          <w:color w:val="auto"/>
        </w:rPr>
      </w:pPr>
    </w:p>
    <w:p>
      <w:pPr>
        <w:spacing w:after="0" w:line="226" w:lineRule="exact"/>
        <w:rPr>
          <w:sz w:val="20"/>
          <w:szCs w:val="20"/>
          <w:color w:val="auto"/>
        </w:rPr>
      </w:pPr>
    </w:p>
    <w:p>
      <w:pPr>
        <w:ind w:left="600" w:hanging="594"/>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$0.1 million for each of the three months ended June 30, 2021 and 2020 respectively, and $0.2 million for each of the six months ended June 30, 2021 and 2020,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hanging="594"/>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5" w:lineRule="exact"/>
        <w:rPr>
          <w:sz w:val="20"/>
          <w:szCs w:val="20"/>
          <w:color w:val="auto"/>
        </w:rPr>
      </w:pPr>
    </w:p>
    <w:p>
      <w:pPr>
        <w:ind w:left="300" w:right="20" w:firstLine="319"/>
        <w:spacing w:after="0" w:line="266" w:lineRule="auto"/>
        <w:rPr>
          <w:sz w:val="20"/>
          <w:szCs w:val="20"/>
          <w:color w:val="auto"/>
        </w:rPr>
      </w:pPr>
      <w:r>
        <w:rPr>
          <w:rFonts w:ascii="Arial" w:cs="Arial" w:eastAsia="Arial" w:hAnsi="Arial"/>
          <w:sz w:val="18"/>
          <w:szCs w:val="18"/>
          <w:color w:val="auto"/>
        </w:rPr>
        <w:t>The Company has noncancelable operating leases for offices, manufacturing facilities, warehouse space, automobiles and equipment expiring at various dates through 2030.</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for the three and six months ended June 30, 2021 and 2020 are as follows:</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Short term lease cost</w:t>
            </w:r>
          </w:p>
        </w:tc>
        <w:tc>
          <w:tcPr>
            <w:tcW w:w="1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13"/>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6"/>
        </w:trPr>
        <w:tc>
          <w:tcPr>
            <w:tcW w:w="5240" w:type="dxa"/>
            <w:vAlign w:val="bottom"/>
          </w:tcPr>
          <w:p>
            <w:pPr>
              <w:spacing w:after="0"/>
              <w:rPr>
                <w:sz w:val="20"/>
                <w:szCs w:val="20"/>
                <w:color w:val="auto"/>
              </w:rPr>
            </w:pPr>
            <w:r>
              <w:rPr>
                <w:rFonts w:ascii="Arial" w:cs="Arial" w:eastAsia="Arial" w:hAnsi="Arial"/>
                <w:sz w:val="18"/>
                <w:szCs w:val="18"/>
                <w:color w:val="auto"/>
              </w:rPr>
              <w:t>Total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1,073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1,032</w:t>
            </w:r>
          </w:p>
        </w:tc>
      </w:tr>
      <w:tr>
        <w:trPr>
          <w:trHeight w:val="20"/>
        </w:trPr>
        <w:tc>
          <w:tcPr>
            <w:tcW w:w="5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05"/>
        </w:trPr>
        <w:tc>
          <w:tcPr>
            <w:tcW w:w="6880" w:type="dxa"/>
            <w:vAlign w:val="bottom"/>
            <w:gridSpan w:val="5"/>
          </w:tcPr>
          <w:p>
            <w:pPr>
              <w:spacing w:after="0"/>
              <w:rPr>
                <w:sz w:val="20"/>
                <w:szCs w:val="20"/>
                <w:color w:val="auto"/>
              </w:rPr>
            </w:pPr>
            <w:r>
              <w:rPr>
                <w:rFonts w:ascii="Arial" w:cs="Arial" w:eastAsia="Arial" w:hAnsi="Arial"/>
                <w:sz w:val="18"/>
                <w:szCs w:val="18"/>
                <w:color w:val="auto"/>
                <w:w w:val="91"/>
              </w:rPr>
              <w:t>Supplemental cash flow information related to the Company's operating leases was as follows:</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6"/>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right"/>
              <w:ind w:right="571"/>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387</w:t>
            </w: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ectPr>
          <w:pgSz w:w="11900" w:h="16838" w:orient="portrait"/>
          <w:cols w:equalWidth="0" w:num="1">
            <w:col w:w="11260"/>
          </w:cols>
          <w:pgMar w:left="320" w:top="127" w:right="319" w:bottom="1440" w:gutter="0" w:footer="0" w:header="0"/>
        </w:sectPr>
      </w:pP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-130175</wp:posOffset>
            </wp:positionV>
            <wp:extent cx="677100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1005" cy="135255"/>
                    </a:xfrm>
                    <a:prstGeom prst="rect">
                      <a:avLst/>
                    </a:prstGeom>
                    <a:noFill/>
                  </pic:spPr>
                </pic:pic>
              </a:graphicData>
            </a:graphic>
          </wp:anchor>
        </w:drawing>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-123190</wp:posOffset>
            </wp:positionV>
            <wp:extent cx="677100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1005" cy="135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Operating lease liabilities,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11430</wp:posOffset>
            </wp:positionV>
            <wp:extent cx="6771005" cy="160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1005" cy="1606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operating lease liabilities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-123190</wp:posOffset>
            </wp:positionV>
            <wp:extent cx="677100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1005" cy="135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Weighted average discount rate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operating lease liabilities at June 30, 2021 were as follows:</w:t>
      </w:r>
    </w:p>
    <w:p>
      <w:pPr>
        <w:spacing w:after="0" w:line="219" w:lineRule="exact"/>
        <w:rPr>
          <w:sz w:val="20"/>
          <w:szCs w:val="20"/>
          <w:color w:val="auto"/>
        </w:rPr>
      </w:pPr>
    </w:p>
    <w:tbl>
      <w:tblPr>
        <w:tblLayout w:type="fixed"/>
        <w:tblInd w:w="600" w:type="dxa"/>
        <w:tblCellMar>
          <w:top w:w="0" w:type="dxa"/>
          <w:left w:w="0" w:type="dxa"/>
          <w:bottom w:w="0" w:type="dxa"/>
          <w:right w:w="0" w:type="dxa"/>
        </w:tblCellMar>
      </w:tblPr>
      <w:tr>
        <w:trPr>
          <w:trHeight w:val="225"/>
        </w:trPr>
        <w:tc>
          <w:tcPr>
            <w:tcW w:w="3560" w:type="dxa"/>
            <w:vAlign w:val="bottom"/>
          </w:tcPr>
          <w:p>
            <w:pPr>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year)</w:t>
            </w: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13"/>
        </w:trPr>
        <w:tc>
          <w:tcPr>
            <w:tcW w:w="356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2,044</w:t>
            </w:r>
          </w:p>
        </w:tc>
      </w:tr>
      <w:tr>
        <w:trPr>
          <w:trHeight w:val="21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13"/>
        </w:trPr>
        <w:tc>
          <w:tcPr>
            <w:tcW w:w="356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1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3"/>
        </w:trPr>
        <w:tc>
          <w:tcPr>
            <w:tcW w:w="356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w:t>
            </w:r>
          </w:p>
        </w:tc>
      </w:tr>
      <w:tr>
        <w:trPr>
          <w:trHeight w:val="213"/>
        </w:trPr>
        <w:tc>
          <w:tcPr>
            <w:tcW w:w="3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r>
      <w:tr>
        <w:trPr>
          <w:trHeight w:val="24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r>
      <w:tr>
        <w:trPr>
          <w:trHeight w:val="405"/>
        </w:trPr>
        <w:tc>
          <w:tcPr>
            <w:tcW w:w="356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331"/>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w w:val="88"/>
              </w:rPr>
              <w:t>December 31, 2020</w:t>
            </w:r>
          </w:p>
        </w:tc>
      </w:tr>
      <w:tr>
        <w:trPr>
          <w:trHeight w:val="218"/>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8"/>
                <w:szCs w:val="18"/>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7,761</w:t>
            </w:r>
          </w:p>
        </w:tc>
      </w:tr>
      <w:tr>
        <w:trPr>
          <w:trHeight w:val="402"/>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2,061</w:t>
            </w:r>
          </w:p>
        </w:tc>
        <w:tc>
          <w:tcPr>
            <w:tcW w:w="70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2,111</w:t>
            </w:r>
          </w:p>
        </w:tc>
      </w:tr>
      <w:tr>
        <w:trPr>
          <w:trHeight w:val="225"/>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7,481</w:t>
            </w:r>
          </w:p>
        </w:tc>
      </w:tr>
      <w:tr>
        <w:trPr>
          <w:trHeight w:val="20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9,592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4"/>
        </w:trPr>
        <w:tc>
          <w:tcPr>
            <w:tcW w:w="160" w:type="dxa"/>
            <w:vAlign w:val="bottom"/>
          </w:tcPr>
          <w:p>
            <w:pPr>
              <w:spacing w:after="0"/>
              <w:rPr>
                <w:sz w:val="24"/>
                <w:szCs w:val="24"/>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7.4</w:t>
            </w:r>
          </w:p>
        </w:tc>
      </w:tr>
      <w:tr>
        <w:trPr>
          <w:trHeight w:val="224"/>
        </w:trPr>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2">
            <w:col w:w="7340" w:space="520"/>
            <w:col w:w="3400"/>
          </w:cols>
          <w:pgMar w:left="320" w:top="127"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right="7260" w:hanging="594"/>
        <w:spacing w:after="0" w:line="526" w:lineRule="auto"/>
        <w:tabs>
          <w:tab w:leader="none" w:pos="58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Stock and Stock-Based Compensation </w:t>
      </w:r>
      <w:r>
        <w:rPr>
          <w:rFonts w:ascii="Arial" w:cs="Arial" w:eastAsia="Arial" w:hAnsi="Arial"/>
          <w:sz w:val="17"/>
          <w:szCs w:val="17"/>
          <w:i w:val="1"/>
          <w:iCs w:val="1"/>
          <w:color w:val="auto"/>
        </w:rPr>
        <w:t>Retirement of Treasury Stock</w:t>
      </w:r>
    </w:p>
    <w:p>
      <w:pPr>
        <w:spacing w:after="0" w:line="1" w:lineRule="exact"/>
        <w:rPr>
          <w:sz w:val="20"/>
          <w:szCs w:val="20"/>
          <w:color w:val="auto"/>
        </w:rPr>
      </w:pPr>
    </w:p>
    <w:p>
      <w:pPr>
        <w:ind w:left="300" w:right="100" w:firstLine="319"/>
        <w:spacing w:after="0" w:line="266" w:lineRule="auto"/>
        <w:rPr>
          <w:sz w:val="20"/>
          <w:szCs w:val="20"/>
          <w:color w:val="auto"/>
        </w:rPr>
      </w:pPr>
      <w:r>
        <w:rPr>
          <w:rFonts w:ascii="Arial" w:cs="Arial" w:eastAsia="Arial" w:hAnsi="Arial"/>
          <w:sz w:val="18"/>
          <w:szCs w:val="18"/>
          <w:color w:val="auto"/>
        </w:rPr>
        <w:t>In May, 2021, the Company retired the 7,745,507 shares of common stock held by the Company as treasury shares and returned these shares to the status of authorized and unissued shares of common stock.</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Stock-Based Payment Awards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under the Company’s incentive plan for the six months ended June 30, 2021 was as follows:</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8"/>
                <w:szCs w:val="18"/>
                <w:b w:val="1"/>
                <w:bCs w:val="1"/>
                <w:color w:val="auto"/>
              </w:rPr>
              <w:t>Market Condition RSU's</w:t>
            </w:r>
          </w:p>
        </w:tc>
      </w:tr>
      <w:tr>
        <w:trPr>
          <w:trHeight w:val="189"/>
        </w:trPr>
        <w:tc>
          <w:tcPr>
            <w:tcW w:w="3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51"/>
              <w:spacing w:after="0" w:line="189"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3"/>
        </w:trPr>
        <w:tc>
          <w:tcPr>
            <w:tcW w:w="3180" w:type="dxa"/>
            <w:vAlign w:val="bottom"/>
          </w:tcPr>
          <w:p>
            <w:pPr>
              <w:spacing w:after="0"/>
              <w:rPr>
                <w:sz w:val="18"/>
                <w:szCs w:val="18"/>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86"/>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6"/>
              </w:rPr>
              <w:t>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3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Condition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3180" w:type="dxa"/>
            <w:vAlign w:val="bottom"/>
          </w:tcPr>
          <w:p>
            <w:pPr>
              <w:spacing w:after="0"/>
              <w:rPr>
                <w:sz w:val="18"/>
                <w:szCs w:val="18"/>
                <w:color w:val="auto"/>
              </w:rPr>
            </w:pPr>
          </w:p>
        </w:tc>
        <w:tc>
          <w:tcPr>
            <w:tcW w:w="124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1"/>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w w:val="91"/>
              </w:rPr>
              <w:t>Grant Date</w:t>
            </w:r>
          </w:p>
        </w:tc>
        <w:tc>
          <w:tcPr>
            <w:tcW w:w="10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1"/>
              </w:rPr>
              <w:t>Grant Date</w:t>
            </w:r>
          </w:p>
        </w:tc>
      </w:tr>
      <w:tr>
        <w:trPr>
          <w:trHeight w:val="231"/>
        </w:trPr>
        <w:tc>
          <w:tcPr>
            <w:tcW w:w="3180" w:type="dxa"/>
            <w:vAlign w:val="bottom"/>
          </w:tcPr>
          <w:p>
            <w:pPr>
              <w:spacing w:after="0"/>
              <w:rPr>
                <w:sz w:val="20"/>
                <w:szCs w:val="20"/>
                <w:color w:val="auto"/>
              </w:rPr>
            </w:pPr>
          </w:p>
        </w:tc>
        <w:tc>
          <w:tcPr>
            <w:tcW w:w="12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8"/>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r>
      <w:tr>
        <w:trPr>
          <w:trHeight w:val="20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2,637,339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1,560,461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813,031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3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1"/>
              <w:spacing w:after="0"/>
              <w:rPr>
                <w:sz w:val="20"/>
                <w:szCs w:val="20"/>
                <w:color w:val="auto"/>
              </w:rPr>
            </w:pPr>
            <w:r>
              <w:rPr>
                <w:rFonts w:ascii="Arial" w:cs="Arial" w:eastAsia="Arial" w:hAnsi="Arial"/>
                <w:sz w:val="18"/>
                <w:szCs w:val="18"/>
                <w:color w:val="auto"/>
              </w:rPr>
              <w:t>793,968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280" w:type="dxa"/>
            <w:vAlign w:val="bottom"/>
            <w:gridSpan w:val="2"/>
          </w:tcPr>
          <w:p>
            <w:pPr>
              <w:jc w:val="right"/>
              <w:ind w:right="11"/>
              <w:spacing w:after="0"/>
              <w:rPr>
                <w:sz w:val="20"/>
                <w:szCs w:val="20"/>
                <w:color w:val="auto"/>
              </w:rPr>
            </w:pPr>
            <w:r>
              <w:rPr>
                <w:rFonts w:ascii="Arial" w:cs="Arial" w:eastAsia="Arial" w:hAnsi="Arial"/>
                <w:sz w:val="18"/>
                <w:szCs w:val="18"/>
                <w:color w:val="auto"/>
              </w:rPr>
              <w:t>293,509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18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(539,417)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3180" w:type="dxa"/>
            <w:vAlign w:val="bottom"/>
          </w:tcPr>
          <w:p>
            <w:pPr>
              <w:ind w:left="160"/>
              <w:spacing w:after="0"/>
              <w:rPr>
                <w:sz w:val="20"/>
                <w:szCs w:val="20"/>
                <w:color w:val="auto"/>
              </w:rPr>
            </w:pPr>
            <w:r>
              <w:rPr>
                <w:rFonts w:ascii="Arial" w:cs="Arial" w:eastAsia="Arial" w:hAnsi="Arial"/>
                <w:sz w:val="18"/>
                <w:szCs w:val="18"/>
                <w:color w:val="auto"/>
              </w:rPr>
              <w:t>Performance Factor Adjustment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6"/>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1,531,237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1,758,370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1,100,359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01" w:lineRule="exact"/>
        <w:rPr>
          <w:sz w:val="20"/>
          <w:szCs w:val="20"/>
          <w:color w:val="auto"/>
        </w:rPr>
      </w:pPr>
    </w:p>
    <w:p>
      <w:pPr>
        <w:ind w:left="300" w:right="100" w:firstLine="319"/>
        <w:spacing w:after="0" w:line="266"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ESPP for the three and six months ended June 30, 2021 and 2020 was allocated as follows:</w:t>
      </w:r>
    </w:p>
    <w:p>
      <w:pPr>
        <w:spacing w:after="0" w:line="174"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252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201" w:lineRule="exact"/>
        <w:rPr>
          <w:sz w:val="20"/>
          <w:szCs w:val="20"/>
          <w:color w:val="auto"/>
        </w:rPr>
      </w:pPr>
    </w:p>
    <w:p>
      <w:pPr>
        <w:jc w:val="both"/>
        <w:ind w:left="140" w:right="100" w:firstLine="461"/>
        <w:spacing w:after="0" w:line="296" w:lineRule="auto"/>
        <w:rPr>
          <w:sz w:val="20"/>
          <w:szCs w:val="20"/>
          <w:color w:val="auto"/>
        </w:rPr>
      </w:pPr>
      <w:r>
        <w:rPr>
          <w:rFonts w:ascii="Arial" w:cs="Arial" w:eastAsia="Arial" w:hAnsi="Arial"/>
          <w:sz w:val="17"/>
          <w:szCs w:val="17"/>
          <w:color w:val="auto"/>
        </w:rPr>
        <w:t>As of June 30, 2021, the total compensation costs related to unvested awards not yet recognized is $7.0 million and the weighted average period over which it is expected to be recognized is approximately 2.2 years. The Company did not capitalize any stock-based compensation.</w:t>
      </w:r>
    </w:p>
    <w:p>
      <w:pPr>
        <w:spacing w:after="0" w:line="157" w:lineRule="exact"/>
        <w:rPr>
          <w:sz w:val="20"/>
          <w:szCs w:val="20"/>
          <w:color w:val="auto"/>
        </w:rPr>
      </w:pPr>
    </w:p>
    <w:p>
      <w:pPr>
        <w:jc w:val="both"/>
        <w:ind w:left="140" w:right="100" w:firstLine="461"/>
        <w:spacing w:after="0" w:line="256" w:lineRule="auto"/>
        <w:rPr>
          <w:sz w:val="20"/>
          <w:szCs w:val="20"/>
          <w:color w:val="auto"/>
        </w:rPr>
      </w:pPr>
      <w:r>
        <w:rPr>
          <w:rFonts w:ascii="Arial" w:cs="Arial" w:eastAsia="Arial" w:hAnsi="Arial"/>
          <w:sz w:val="18"/>
          <w:szCs w:val="18"/>
          <w:color w:val="auto"/>
        </w:rPr>
        <w:t>The weighted average estimated fair value of the Market Condition RSUs that were granted during the six months ended June 30, 2021 was $4.61 per unit. The following assumptions were used to estimate the fair value of the Market Condition RSUs granted during the six months ended June 30, 2021 using a Monte-Carlo valuation simulation: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5020" w:type="dxa"/>
            <w:vAlign w:val="bottom"/>
          </w:tcPr>
          <w:p>
            <w:pPr>
              <w:spacing w:after="0"/>
              <w:rPr>
                <w:sz w:val="20"/>
                <w:szCs w:val="20"/>
                <w:color w:val="auto"/>
              </w:rPr>
            </w:pPr>
          </w:p>
        </w:tc>
      </w:tr>
      <w:tr>
        <w:trPr>
          <w:trHeight w:val="207"/>
        </w:trPr>
        <w:tc>
          <w:tcPr>
            <w:tcW w:w="60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020" w:type="dxa"/>
            <w:vAlign w:val="bottom"/>
          </w:tcPr>
          <w:p>
            <w:pPr>
              <w:spacing w:after="0"/>
              <w:rPr>
                <w:sz w:val="17"/>
                <w:szCs w:val="17"/>
                <w:color w:val="auto"/>
              </w:rPr>
            </w:pPr>
          </w:p>
        </w:tc>
      </w:tr>
      <w:tr>
        <w:trPr>
          <w:trHeight w:val="213"/>
        </w:trPr>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5020" w:type="dxa"/>
            <w:vAlign w:val="bottom"/>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020" w:type="dxa"/>
            <w:vAlign w:val="bottom"/>
          </w:tcPr>
          <w:p>
            <w:pPr>
              <w:spacing w:after="0"/>
              <w:rPr>
                <w:sz w:val="18"/>
                <w:szCs w:val="18"/>
                <w:color w:val="auto"/>
              </w:rPr>
            </w:pPr>
          </w:p>
        </w:tc>
      </w:tr>
      <w:tr>
        <w:trPr>
          <w:trHeight w:val="224"/>
        </w:trPr>
        <w:tc>
          <w:tcPr>
            <w:tcW w:w="6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19"/>
                <w:szCs w:val="19"/>
                <w:color w:val="auto"/>
              </w:rPr>
            </w:pPr>
          </w:p>
        </w:tc>
      </w:tr>
      <w:tr>
        <w:trPr>
          <w:trHeight w:val="414"/>
        </w:trPr>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12</w:t>
            </w:r>
          </w:p>
        </w:tc>
        <w:tc>
          <w:tcPr>
            <w:tcW w:w="5020" w:type="dxa"/>
            <w:vAlign w:val="bottom"/>
          </w:tcPr>
          <w:p>
            <w:pPr>
              <w:spacing w:after="0"/>
              <w:rPr>
                <w:sz w:val="24"/>
                <w:szCs w:val="24"/>
                <w:color w:val="auto"/>
              </w:rPr>
            </w:pPr>
          </w:p>
        </w:tc>
      </w:tr>
      <w:tr>
        <w:trPr>
          <w:trHeight w:val="114"/>
        </w:trPr>
        <w:tc>
          <w:tcPr>
            <w:tcW w:w="60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bl>
    <w:p>
      <w:pPr>
        <w:sectPr>
          <w:pgSz w:w="11900" w:h="16838" w:orient="portrait"/>
          <w:cols w:equalWidth="0" w:num="1">
            <w:col w:w="11340"/>
          </w:cols>
          <w:pgMar w:left="320" w:top="12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Earnings (Loss) Per Share</w:t>
      </w:r>
    </w:p>
    <w:p>
      <w:pPr>
        <w:spacing w:after="0" w:line="219"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Basic earnings (loss) per share is calculated by dividing net income (loss) by the number of weighted average shares of common stock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18"/>
                <w:szCs w:val="18"/>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Six Months Ended June</w:t>
            </w:r>
          </w:p>
        </w:tc>
      </w:tr>
      <w:tr>
        <w:trPr>
          <w:trHeight w:val="230"/>
        </w:trPr>
        <w:tc>
          <w:tcPr>
            <w:tcW w:w="4780" w:type="dxa"/>
            <w:vAlign w:val="bottom"/>
          </w:tcPr>
          <w:p>
            <w:pPr>
              <w:spacing w:after="0"/>
              <w:rPr>
                <w:sz w:val="20"/>
                <w:szCs w:val="20"/>
                <w:color w:val="auto"/>
              </w:rPr>
            </w:pPr>
          </w:p>
        </w:tc>
        <w:tc>
          <w:tcPr>
            <w:tcW w:w="134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20"/>
                <w:szCs w:val="20"/>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20"/>
                <w:szCs w:val="20"/>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rPr>
              <w:t>(in thousands)</w:t>
            </w: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38,389</w:t>
            </w:r>
          </w:p>
        </w:tc>
      </w:tr>
      <w:tr>
        <w:trPr>
          <w:trHeight w:val="213"/>
        </w:trPr>
        <w:tc>
          <w:tcPr>
            <w:tcW w:w="478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38,468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38,389</w:t>
            </w:r>
          </w:p>
        </w:tc>
      </w:tr>
    </w:tbl>
    <w:p>
      <w:pPr>
        <w:spacing w:after="0" w:line="201" w:lineRule="exact"/>
        <w:rPr>
          <w:sz w:val="20"/>
          <w:szCs w:val="20"/>
          <w:color w:val="auto"/>
        </w:rPr>
      </w:pPr>
    </w:p>
    <w:p>
      <w:pPr>
        <w:ind w:left="300" w:firstLine="319"/>
        <w:spacing w:after="0" w:line="330" w:lineRule="auto"/>
        <w:rPr>
          <w:sz w:val="20"/>
          <w:szCs w:val="20"/>
          <w:color w:val="auto"/>
        </w:rPr>
      </w:pPr>
      <w:r>
        <w:rPr>
          <w:rFonts w:ascii="Arial" w:cs="Arial" w:eastAsia="Arial" w:hAnsi="Arial"/>
          <w:sz w:val="16"/>
          <w:szCs w:val="16"/>
          <w:color w:val="auto"/>
        </w:rPr>
        <w:t>The Company has excluded from the shares used in calculating the diluted earnings per common share options, restricted stock units and Market Condition RSUs totaling 4,389,966 and 5,727,716 as of June 30, 2021 and 2020 respectively, as the impact of these shares would be anti-dilutive.</w:t>
      </w:r>
    </w:p>
    <w:p>
      <w:pPr>
        <w:spacing w:after="0" w:line="367" w:lineRule="exact"/>
        <w:rPr>
          <w:sz w:val="20"/>
          <w:szCs w:val="20"/>
          <w:color w:val="auto"/>
        </w:rPr>
      </w:pPr>
    </w:p>
    <w:p>
      <w:pPr>
        <w:ind w:left="600" w:hanging="594"/>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As of June 30, 2021 and December 31, 2020, the Company’s borrowings were comprised of:</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5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568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3"/>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Revolving line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r>
      <w:tr>
        <w:trPr>
          <w:trHeight w:val="213"/>
        </w:trPr>
        <w:tc>
          <w:tcPr>
            <w:tcW w:w="568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w:t>
            </w:r>
          </w:p>
        </w:tc>
      </w:tr>
      <w:tr>
        <w:trPr>
          <w:trHeight w:val="213"/>
        </w:trPr>
        <w:tc>
          <w:tcPr>
            <w:tcW w:w="5680" w:type="dxa"/>
            <w:vAlign w:val="bottom"/>
          </w:tcPr>
          <w:p>
            <w:pPr>
              <w:spacing w:after="0"/>
              <w:rPr>
                <w:sz w:val="20"/>
                <w:szCs w:val="20"/>
                <w:color w:val="auto"/>
              </w:rPr>
            </w:pPr>
            <w:r>
              <w:rPr>
                <w:rFonts w:ascii="Arial" w:cs="Arial" w:eastAsia="Arial" w:hAnsi="Arial"/>
                <w:sz w:val="18"/>
                <w:szCs w:val="18"/>
                <w:color w:val="auto"/>
              </w:rPr>
              <w:t>Less: current installments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unamortized deferred financing costs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06"/>
        </w:trPr>
        <w:tc>
          <w:tcPr>
            <w:tcW w:w="568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40,921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46,286</w:t>
            </w:r>
          </w:p>
        </w:tc>
      </w:tr>
      <w:tr>
        <w:trPr>
          <w:trHeight w:val="20"/>
        </w:trPr>
        <w:tc>
          <w:tcPr>
            <w:tcW w:w="5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300" w:firstLine="319"/>
        <w:spacing w:after="0" w:line="248" w:lineRule="auto"/>
        <w:rPr>
          <w:sz w:val="20"/>
          <w:szCs w:val="20"/>
          <w:color w:val="auto"/>
        </w:rPr>
      </w:pPr>
      <w:r>
        <w:rPr>
          <w:rFonts w:ascii="Arial" w:cs="Arial" w:eastAsia="Arial" w:hAnsi="Arial"/>
          <w:sz w:val="18"/>
          <w:szCs w:val="18"/>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As of June 30, 2021, available borrowing capacity under the revolving line of credit was $19.6 million. The Credit Facility replaced the Company’s prior credit facility with Cerberus Business Finance, LLC (the “Prior Credit Facility”), which was repaid with borrowings under the Credit Facility.</w:t>
      </w:r>
    </w:p>
    <w:p>
      <w:pPr>
        <w:spacing w:after="0" w:line="203" w:lineRule="exact"/>
        <w:rPr>
          <w:sz w:val="20"/>
          <w:szCs w:val="20"/>
          <w:color w:val="auto"/>
        </w:rPr>
      </w:pPr>
    </w:p>
    <w:p>
      <w:pPr>
        <w:jc w:val="both"/>
        <w:ind w:left="300" w:firstLine="319"/>
        <w:spacing w:after="0" w:line="283" w:lineRule="auto"/>
        <w:rPr>
          <w:sz w:val="20"/>
          <w:szCs w:val="20"/>
          <w:color w:val="auto"/>
        </w:rPr>
      </w:pPr>
      <w:r>
        <w:rPr>
          <w:rFonts w:ascii="Arial" w:cs="Arial" w:eastAsia="Arial" w:hAnsi="Arial"/>
          <w:sz w:val="16"/>
          <w:szCs w:val="16"/>
          <w:color w:val="auto"/>
        </w:rPr>
        <w:t>Borrowings under the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Citizens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As of June 30, 2021, the weighted average interest rate on the Credit Agreement borrowings was 3.0%.The effective interest rate for the three months ended June 30, 2021 and 2020 was 3.4% and 9.8%, respectively. The effective interest rate for the six months ended June 30, 2021 and 2020 was 3.3% and 9.6%, respectively.</w:t>
      </w:r>
    </w:p>
    <w:p>
      <w:pPr>
        <w:spacing w:after="0" w:line="190" w:lineRule="exact"/>
        <w:rPr>
          <w:sz w:val="20"/>
          <w:szCs w:val="20"/>
          <w:color w:val="auto"/>
        </w:rPr>
      </w:pPr>
    </w:p>
    <w:p>
      <w:pPr>
        <w:jc w:val="both"/>
        <w:ind w:left="300" w:firstLine="319"/>
        <w:spacing w:after="0" w:line="243" w:lineRule="auto"/>
        <w:rPr>
          <w:sz w:val="20"/>
          <w:szCs w:val="20"/>
          <w:color w:val="auto"/>
        </w:rPr>
      </w:pPr>
      <w:r>
        <w:rPr>
          <w:rFonts w:ascii="Arial" w:cs="Arial" w:eastAsia="Arial" w:hAnsi="Arial"/>
          <w:sz w:val="17"/>
          <w:szCs w:val="17"/>
          <w:color w:val="auto"/>
        </w:rPr>
        <w:t xml:space="preserve">Commencing on March 31, 2021, the outstanding term loans amortizes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w:t>
      </w:r>
      <w:r>
        <w:rPr>
          <w:rFonts w:ascii="Arial" w:cs="Arial" w:eastAsia="Arial" w:hAnsi="Arial"/>
          <w:sz w:val="28"/>
          <w:szCs w:val="28"/>
          <w:color w:val="auto"/>
          <w:vertAlign w:val="subscript"/>
        </w:rPr>
        <w:t>for</w:t>
      </w:r>
      <w:r>
        <w:rPr>
          <w:rFonts w:ascii="Arial" w:cs="Arial" w:eastAsia="Arial" w:hAnsi="Arial"/>
          <w:sz w:val="17"/>
          <w:szCs w:val="17"/>
          <w:color w:val="auto"/>
        </w:rPr>
        <w:t xml:space="preserve"> such fiscal year. Amounts outstanding under the revolving credit facility can be repaid at any time but are due in full at maturity.</w:t>
      </w:r>
    </w:p>
    <w:p>
      <w:pPr>
        <w:spacing w:after="0" w:line="204"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92"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The carrying value of the debt approximates fair value because the interest rate under the obligation approximates market rates of interest available to the Company for similar instruments.</w:t>
      </w:r>
    </w:p>
    <w:p>
      <w:pPr>
        <w:spacing w:after="0" w:line="200" w:lineRule="exact"/>
        <w:rPr>
          <w:sz w:val="20"/>
          <w:szCs w:val="20"/>
          <w:color w:val="auto"/>
        </w:rPr>
      </w:pPr>
    </w:p>
    <w:p>
      <w:pPr>
        <w:spacing w:after="0" w:line="214" w:lineRule="exact"/>
        <w:rPr>
          <w:sz w:val="20"/>
          <w:szCs w:val="20"/>
          <w:color w:val="auto"/>
        </w:rPr>
      </w:pPr>
    </w:p>
    <w:p>
      <w:pPr>
        <w:ind w:left="680" w:hanging="674"/>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5"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80" w:lineRule="exact"/>
        <w:rPr>
          <w:sz w:val="20"/>
          <w:szCs w:val="20"/>
          <w:color w:val="auto"/>
        </w:rPr>
      </w:pPr>
    </w:p>
    <w:p>
      <w:pPr>
        <w:jc w:val="both"/>
        <w:ind w:left="300" w:firstLine="319"/>
        <w:spacing w:after="0" w:line="267" w:lineRule="auto"/>
        <w:rPr>
          <w:sz w:val="20"/>
          <w:szCs w:val="20"/>
          <w:color w:val="auto"/>
        </w:rPr>
      </w:pPr>
      <w:r>
        <w:rPr>
          <w:rFonts w:ascii="Arial" w:cs="Arial" w:eastAsia="Arial" w:hAnsi="Arial"/>
          <w:sz w:val="17"/>
          <w:szCs w:val="17"/>
          <w:color w:val="auto"/>
        </w:rPr>
        <w:t>On January 31, 2018, the Company entered into an interest rate swap contract with a notional amount of $36.0 million and a termination date of January 1, 2023. This swap contract, which converted specific variable-rate debt into fixed-rate debt and fixed the LIBOR rate associated with a portion of the term loan under the Prior Credit Facility at 2.72% was cancelled on December 22, 2020, in connection with the new Credit Agreement as described in Note 9. The Company structured this interest rate swaps to be fully effective in accordance with ASC 815 “Derivatives and Hedging”, and therefore changes in the fair value of the swap offset the variability of cash flows associated with the variable-rate, long-term debt obligations and were reported in accumulated other comprehensive income (AOCI). These amounts subsequently were reclassified into interest expense as a yield adjustment of the hedged interest payments in the same period in which the related interest affects earnings.</w:t>
      </w:r>
    </w:p>
    <w:p>
      <w:pPr>
        <w:spacing w:after="0" w:line="182"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six months ended June 30, 2020:</w:t>
      </w:r>
    </w:p>
    <w:p>
      <w:pPr>
        <w:spacing w:after="0" w:line="174"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320" w:type="dxa"/>
            <w:vAlign w:val="bottom"/>
          </w:tcPr>
          <w:p>
            <w:pPr>
              <w:jc w:val="center"/>
              <w:ind w:left="158"/>
              <w:spacing w:after="0"/>
              <w:rPr>
                <w:sz w:val="20"/>
                <w:szCs w:val="20"/>
                <w:color w:val="auto"/>
              </w:rPr>
            </w:pPr>
            <w:r>
              <w:rPr>
                <w:rFonts w:ascii="Arial" w:cs="Arial" w:eastAsia="Arial" w:hAnsi="Arial"/>
                <w:sz w:val="18"/>
                <w:szCs w:val="18"/>
                <w:b w:val="1"/>
                <w:bCs w:val="1"/>
                <w:color w:val="auto"/>
                <w:w w:val="91"/>
              </w:rPr>
              <w:t>Three Months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5680" w:type="dxa"/>
            <w:vAlign w:val="bottom"/>
          </w:tcPr>
          <w:p>
            <w:pPr>
              <w:spacing w:after="0"/>
              <w:rPr>
                <w:sz w:val="18"/>
                <w:szCs w:val="18"/>
                <w:color w:val="auto"/>
              </w:rPr>
            </w:pPr>
          </w:p>
        </w:tc>
        <w:tc>
          <w:tcPr>
            <w:tcW w:w="1320" w:type="dxa"/>
            <w:vAlign w:val="bottom"/>
          </w:tcPr>
          <w:p>
            <w:pPr>
              <w:jc w:val="center"/>
              <w:ind w:left="138"/>
              <w:spacing w:after="0"/>
              <w:rPr>
                <w:sz w:val="20"/>
                <w:szCs w:val="20"/>
                <w:color w:val="auto"/>
              </w:rPr>
            </w:pPr>
            <w:r>
              <w:rPr>
                <w:rFonts w:ascii="Arial" w:cs="Arial" w:eastAsia="Arial" w:hAnsi="Arial"/>
                <w:sz w:val="18"/>
                <w:szCs w:val="18"/>
                <w:b w:val="1"/>
                <w:bCs w:val="1"/>
                <w:color w:val="auto"/>
                <w:w w:val="90"/>
              </w:rPr>
              <w:t>Ended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3"/>
              </w:rPr>
              <w:t>Six Months Ended</w:t>
            </w:r>
          </w:p>
        </w:tc>
      </w:tr>
      <w:tr>
        <w:trPr>
          <w:trHeight w:val="231"/>
        </w:trPr>
        <w:tc>
          <w:tcPr>
            <w:tcW w:w="5680" w:type="dxa"/>
            <w:vAlign w:val="bottom"/>
          </w:tcPr>
          <w:p>
            <w:pPr>
              <w:spacing w:after="0"/>
              <w:rPr>
                <w:sz w:val="20"/>
                <w:szCs w:val="20"/>
                <w:color w:val="auto"/>
              </w:rPr>
            </w:pPr>
            <w:r>
              <w:rPr>
                <w:rFonts w:ascii="Arial" w:cs="Arial" w:eastAsia="Arial" w:hAnsi="Arial"/>
                <w:sz w:val="18"/>
                <w:szCs w:val="18"/>
                <w:color w:val="auto"/>
              </w:rPr>
              <w:t>(in thousands)</w:t>
            </w:r>
          </w:p>
        </w:tc>
        <w:tc>
          <w:tcPr>
            <w:tcW w:w="1320" w:type="dxa"/>
            <w:vAlign w:val="bottom"/>
            <w:tcBorders>
              <w:bottom w:val="single" w:sz="8" w:color="auto"/>
            </w:tcBorders>
          </w:tcPr>
          <w:p>
            <w:pPr>
              <w:jc w:val="center"/>
              <w:ind w:left="138"/>
              <w:spacing w:after="0"/>
              <w:rPr>
                <w:sz w:val="20"/>
                <w:szCs w:val="20"/>
                <w:color w:val="auto"/>
              </w:rPr>
            </w:pPr>
            <w:r>
              <w:rPr>
                <w:rFonts w:ascii="Arial" w:cs="Arial" w:eastAsia="Arial" w:hAnsi="Arial"/>
                <w:sz w:val="18"/>
                <w:szCs w:val="18"/>
                <w:b w:val="1"/>
                <w:bCs w:val="1"/>
                <w:color w:val="auto"/>
                <w:w w:val="87"/>
              </w:rPr>
              <w:t>June 30, 2020</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2"/>
              </w:rPr>
              <w:t>June 30, 2020</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recognized in OCT on derivatives (effective portion)</w:t>
            </w:r>
          </w:p>
        </w:tc>
        <w:tc>
          <w:tcPr>
            <w:tcW w:w="1320" w:type="dxa"/>
            <w:vAlign w:val="bottom"/>
            <w:shd w:val="clear" w:color="auto" w:fill="CCEEFF"/>
          </w:tcPr>
          <w:p>
            <w:pPr>
              <w:jc w:val="right"/>
              <w:ind w:right="115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3"/>
        </w:trPr>
        <w:tc>
          <w:tcPr>
            <w:tcW w:w="568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interest expense</w:t>
            </w:r>
          </w:p>
        </w:tc>
        <w:tc>
          <w:tcPr>
            <w:tcW w:w="1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6"/>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ind w:right="115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80" w:hanging="674"/>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5" w:lineRule="exact"/>
        <w:rPr>
          <w:sz w:val="20"/>
          <w:szCs w:val="20"/>
          <w:color w:val="auto"/>
        </w:rPr>
      </w:pPr>
    </w:p>
    <w:p>
      <w:pPr>
        <w:ind w:left="300" w:firstLine="319"/>
        <w:spacing w:after="0" w:line="266" w:lineRule="auto"/>
        <w:rPr>
          <w:sz w:val="20"/>
          <w:szCs w:val="20"/>
          <w:color w:val="auto"/>
        </w:rPr>
      </w:pPr>
      <w:r>
        <w:rPr>
          <w:rFonts w:ascii="Arial" w:cs="Arial" w:eastAsia="Arial" w:hAnsi="Arial"/>
          <w:sz w:val="18"/>
          <w:szCs w:val="18"/>
          <w:color w:val="auto"/>
        </w:rPr>
        <w:t>The following tables represent a disaggregation of revenue from contracts with customers for the three and six months ended June 30, 2021 and 2020:</w:t>
      </w:r>
    </w:p>
    <w:p>
      <w:pPr>
        <w:spacing w:after="0" w:line="174"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71"/>
              <w:spacing w:after="0"/>
              <w:rPr>
                <w:sz w:val="20"/>
                <w:szCs w:val="20"/>
                <w:color w:val="auto"/>
              </w:rPr>
            </w:pPr>
            <w:r>
              <w:rPr>
                <w:rFonts w:ascii="Arial" w:cs="Arial" w:eastAsia="Arial" w:hAnsi="Arial"/>
                <w:sz w:val="18"/>
                <w:szCs w:val="18"/>
                <w:b w:val="1"/>
                <w:bCs w:val="1"/>
                <w:color w:val="auto"/>
                <w:w w:val="88"/>
              </w:rPr>
              <w:t>Three Months Ended June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b w:val="1"/>
                <w:bCs w:val="1"/>
                <w:color w:val="auto"/>
              </w:rPr>
              <w:t>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53,819</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45,006</w:t>
            </w: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r>
      <w:tr>
        <w:trPr>
          <w:trHeight w:val="24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47,079</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represent a disaggregation of revenue by geographic destination for the three and six months ended June 30, 2021 and 2020:</w:t>
      </w:r>
    </w:p>
    <w:p>
      <w:pPr>
        <w:spacing w:after="0" w:line="23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71"/>
              <w:spacing w:after="0"/>
              <w:rPr>
                <w:sz w:val="20"/>
                <w:szCs w:val="20"/>
                <w:color w:val="auto"/>
              </w:rPr>
            </w:pPr>
            <w:r>
              <w:rPr>
                <w:rFonts w:ascii="Arial" w:cs="Arial" w:eastAsia="Arial" w:hAnsi="Arial"/>
                <w:sz w:val="18"/>
                <w:szCs w:val="18"/>
                <w:b w:val="1"/>
                <w:bCs w:val="1"/>
                <w:color w:val="auto"/>
                <w:w w:val="88"/>
              </w:rPr>
              <w:t>Three Months Ended June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b w:val="1"/>
                <w:bCs w:val="1"/>
                <w:color w:val="auto"/>
              </w:rPr>
              <w:t>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w:t>
            </w: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13,983</w:t>
            </w: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Rest of the world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r>
      <w:tr>
        <w:trPr>
          <w:trHeight w:val="24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47,079</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customer accounted for more than 10% of revenues for the three and six months ended June 30, 2021 and 2020.</w:t>
      </w:r>
    </w:p>
    <w:p>
      <w:pPr>
        <w:sectPr>
          <w:pgSz w:w="11900" w:h="16838" w:orient="portrait"/>
          <w:cols w:equalWidth="0" w:num="1">
            <w:col w:w="11240"/>
          </w:cols>
          <w:pgMar w:left="320" w:top="127" w:right="339"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Changes in deferred revenue from service contracts and advance payments from customers were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March 31, 2021</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Deferral of revenue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Recognition of deferred revenue</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Effect of foreign currency translation</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June 30, 2021</w:t>
      </w:r>
    </w:p>
    <w:p>
      <w:pPr>
        <w:spacing w:after="0" w:line="200" w:lineRule="exact"/>
        <w:rPr>
          <w:sz w:val="20"/>
          <w:szCs w:val="20"/>
          <w:color w:val="auto"/>
        </w:rPr>
      </w:pP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March 31, 2020</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Deferral of revenue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Recognition of deferred revenue</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Effect of foreign currency translation</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June 30, 2020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December 31, 2020</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Deferral of revenue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Recognition of deferred revenue</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Effect of foreign currency translation</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June 30, 2021</w:t>
      </w:r>
    </w:p>
    <w:p>
      <w:pPr>
        <w:spacing w:after="0" w:line="200" w:lineRule="exact"/>
        <w:rPr>
          <w:sz w:val="20"/>
          <w:szCs w:val="20"/>
          <w:color w:val="auto"/>
        </w:rPr>
      </w:pP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December 31, 2019</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Deferral of revenue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Recognition of deferred revenue</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Effect of foreign currency translation</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at June 30, 2020</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Three Months Ended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6"/>
              </w:rPr>
              <w:t>Service Contracts</w:t>
            </w: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Customer Advances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Total</w:t>
            </w:r>
          </w:p>
        </w:tc>
      </w:tr>
      <w:tr>
        <w:trPr>
          <w:trHeight w:val="194"/>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line="194" w:lineRule="exact"/>
              <w:rPr>
                <w:sz w:val="20"/>
                <w:szCs w:val="20"/>
                <w:color w:val="auto"/>
              </w:rPr>
            </w:pPr>
            <w:r>
              <w:rPr>
                <w:rFonts w:ascii="Arial" w:cs="Arial" w:eastAsia="Arial" w:hAnsi="Arial"/>
                <w:sz w:val="18"/>
                <w:szCs w:val="18"/>
                <w:color w:val="auto"/>
              </w:rPr>
              <w:t>1,712</w:t>
            </w:r>
          </w:p>
        </w:tc>
        <w:tc>
          <w:tcPr>
            <w:tcW w:w="80" w:type="dxa"/>
            <w:vAlign w:val="bottom"/>
          </w:tcPr>
          <w:p>
            <w:pPr>
              <w:spacing w:after="0"/>
              <w:rPr>
                <w:sz w:val="16"/>
                <w:szCs w:val="16"/>
                <w:color w:val="auto"/>
              </w:rPr>
            </w:pPr>
          </w:p>
        </w:tc>
        <w:tc>
          <w:tcPr>
            <w:tcW w:w="620" w:type="dxa"/>
            <w:vAlign w:val="bottom"/>
          </w:tcPr>
          <w:p>
            <w:pPr>
              <w:ind w:left="20"/>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1,925</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3,637</w:t>
            </w:r>
          </w:p>
        </w:tc>
      </w:tr>
      <w:tr>
        <w:trPr>
          <w:trHeight w:val="213"/>
        </w:trPr>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13"/>
        </w:trPr>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25"/>
        </w:trPr>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-709295</wp:posOffset>
            </wp:positionV>
            <wp:extent cx="570547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-438785</wp:posOffset>
            </wp:positionV>
            <wp:extent cx="570547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-160020</wp:posOffset>
            </wp:positionV>
            <wp:extent cx="5705475" cy="16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Three Months Ended 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6"/>
              </w:rPr>
              <w:t>Service Contracts</w:t>
            </w: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Customer Advances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Total</w:t>
            </w:r>
          </w:p>
        </w:tc>
      </w:tr>
      <w:tr>
        <w:trPr>
          <w:trHeight w:val="194"/>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line="194" w:lineRule="exact"/>
              <w:rPr>
                <w:sz w:val="20"/>
                <w:szCs w:val="20"/>
                <w:color w:val="auto"/>
              </w:rPr>
            </w:pPr>
            <w:r>
              <w:rPr>
                <w:rFonts w:ascii="Arial" w:cs="Arial" w:eastAsia="Arial" w:hAnsi="Arial"/>
                <w:sz w:val="18"/>
                <w:szCs w:val="18"/>
                <w:color w:val="auto"/>
              </w:rPr>
              <w:t>1,410</w:t>
            </w:r>
          </w:p>
        </w:tc>
        <w:tc>
          <w:tcPr>
            <w:tcW w:w="80" w:type="dxa"/>
            <w:vAlign w:val="bottom"/>
          </w:tcPr>
          <w:p>
            <w:pPr>
              <w:spacing w:after="0"/>
              <w:rPr>
                <w:sz w:val="16"/>
                <w:szCs w:val="16"/>
                <w:color w:val="auto"/>
              </w:rPr>
            </w:pPr>
          </w:p>
        </w:tc>
        <w:tc>
          <w:tcPr>
            <w:tcW w:w="620" w:type="dxa"/>
            <w:vAlign w:val="bottom"/>
          </w:tcPr>
          <w:p>
            <w:pPr>
              <w:ind w:left="20"/>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2,263</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3,673</w:t>
            </w:r>
          </w:p>
        </w:tc>
      </w:tr>
      <w:tr>
        <w:trPr>
          <w:trHeight w:val="213"/>
        </w:trPr>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3"/>
        </w:trPr>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25"/>
        </w:trPr>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-709295</wp:posOffset>
            </wp:positionV>
            <wp:extent cx="570547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-438785</wp:posOffset>
            </wp:positionV>
            <wp:extent cx="570547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-160020</wp:posOffset>
            </wp:positionV>
            <wp:extent cx="5705475" cy="160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38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Six Months Ended June 30, 2021</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6"/>
              </w:rPr>
              <w:t>Service Contracts</w:t>
            </w: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Customer Advances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Total</w:t>
            </w:r>
          </w:p>
        </w:tc>
      </w:tr>
      <w:tr>
        <w:trPr>
          <w:trHeight w:val="194"/>
        </w:trPr>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94" w:lineRule="exact"/>
              <w:rPr>
                <w:sz w:val="20"/>
                <w:szCs w:val="20"/>
                <w:color w:val="auto"/>
              </w:rPr>
            </w:pPr>
            <w:r>
              <w:rPr>
                <w:rFonts w:ascii="Arial" w:cs="Arial" w:eastAsia="Arial" w:hAnsi="Arial"/>
                <w:sz w:val="18"/>
                <w:szCs w:val="18"/>
                <w:color w:val="auto"/>
              </w:rPr>
              <w:t>1,629</w:t>
            </w:r>
          </w:p>
        </w:tc>
        <w:tc>
          <w:tcPr>
            <w:tcW w:w="80" w:type="dxa"/>
            <w:vAlign w:val="bottom"/>
          </w:tcPr>
          <w:p>
            <w:pPr>
              <w:spacing w:after="0"/>
              <w:rPr>
                <w:sz w:val="16"/>
                <w:szCs w:val="16"/>
                <w:color w:val="auto"/>
              </w:rPr>
            </w:pPr>
          </w:p>
        </w:tc>
        <w:tc>
          <w:tcPr>
            <w:tcW w:w="620" w:type="dxa"/>
            <w:vAlign w:val="bottom"/>
          </w:tcPr>
          <w:p>
            <w:pPr>
              <w:ind w:left="20"/>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2,142</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3,771</w:t>
            </w:r>
          </w:p>
        </w:tc>
      </w:tr>
      <w:tr>
        <w:trPr>
          <w:trHeight w:val="213"/>
        </w:trPr>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13"/>
        </w:trPr>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25"/>
        </w:trPr>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-709295</wp:posOffset>
            </wp:positionV>
            <wp:extent cx="570547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-438785</wp:posOffset>
            </wp:positionV>
            <wp:extent cx="570547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-160020</wp:posOffset>
            </wp:positionV>
            <wp:extent cx="5705475" cy="160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Six Months Ended June 30, 2020</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6"/>
              </w:rPr>
              <w:t>Service Contracts</w:t>
            </w: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Customer Advances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Total</w:t>
            </w:r>
          </w:p>
        </w:tc>
      </w:tr>
      <w:tr>
        <w:trPr>
          <w:trHeight w:val="194"/>
        </w:trPr>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94" w:lineRule="exact"/>
              <w:rPr>
                <w:sz w:val="20"/>
                <w:szCs w:val="20"/>
                <w:color w:val="auto"/>
              </w:rPr>
            </w:pPr>
            <w:r>
              <w:rPr>
                <w:rFonts w:ascii="Arial" w:cs="Arial" w:eastAsia="Arial" w:hAnsi="Arial"/>
                <w:sz w:val="18"/>
                <w:szCs w:val="18"/>
                <w:color w:val="auto"/>
              </w:rPr>
              <w:t>1,587</w:t>
            </w:r>
          </w:p>
        </w:tc>
        <w:tc>
          <w:tcPr>
            <w:tcW w:w="80" w:type="dxa"/>
            <w:vAlign w:val="bottom"/>
          </w:tcPr>
          <w:p>
            <w:pPr>
              <w:spacing w:after="0"/>
              <w:rPr>
                <w:sz w:val="16"/>
                <w:szCs w:val="16"/>
                <w:color w:val="auto"/>
              </w:rPr>
            </w:pPr>
          </w:p>
        </w:tc>
        <w:tc>
          <w:tcPr>
            <w:tcW w:w="620" w:type="dxa"/>
            <w:vAlign w:val="bottom"/>
          </w:tcPr>
          <w:p>
            <w:pPr>
              <w:ind w:left="20"/>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2,362</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3,949</w:t>
            </w:r>
          </w:p>
        </w:tc>
      </w:tr>
      <w:tr>
        <w:trPr>
          <w:trHeight w:val="213"/>
        </w:trPr>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13"/>
        </w:trPr>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25"/>
        </w:trPr>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-709295</wp:posOffset>
            </wp:positionV>
            <wp:extent cx="570547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-438785</wp:posOffset>
            </wp:positionV>
            <wp:extent cx="570547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-160020</wp:posOffset>
            </wp:positionV>
            <wp:extent cx="5705475" cy="160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596" w:lineRule="exact"/>
        <w:rPr>
          <w:sz w:val="20"/>
          <w:szCs w:val="20"/>
          <w:color w:val="auto"/>
        </w:rPr>
      </w:pPr>
    </w:p>
    <w:p>
      <w:pPr>
        <w:sectPr>
          <w:pgSz w:w="11900" w:h="16838" w:orient="portrait"/>
          <w:cols w:equalWidth="0" w:num="2">
            <w:col w:w="3860" w:space="720"/>
            <w:col w:w="6660"/>
          </w:cols>
          <w:pgMar w:left="320" w:top="127" w:right="339" w:bottom="1440" w:gutter="0" w:footer="0" w:header="0"/>
          <w:type w:val="continuous"/>
        </w:sectPr>
      </w:pPr>
    </w:p>
    <w:p>
      <w:pPr>
        <w:spacing w:after="0" w:line="30" w:lineRule="exact"/>
        <w:rPr>
          <w:sz w:val="20"/>
          <w:szCs w:val="20"/>
          <w:color w:val="auto"/>
        </w:rPr>
      </w:pPr>
    </w:p>
    <w:p>
      <w:pPr>
        <w:ind w:left="300" w:firstLine="319"/>
        <w:spacing w:after="0" w:line="266"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 rollforward of the allowance for doubtful accounts is as follows:</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beginning of period</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Bad debt (credit) expense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Charge-offs and other recoveries</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Effect of foreign currency translation</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Six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r>
      <w:tr>
        <w:trPr>
          <w:trHeight w:val="194"/>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325</w:t>
            </w:r>
          </w:p>
        </w:tc>
      </w:tr>
      <w:tr>
        <w:trPr>
          <w:trHeight w:val="213"/>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7"/>
        </w:trPr>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-709295</wp:posOffset>
            </wp:positionV>
            <wp:extent cx="5705475" cy="135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-438785</wp:posOffset>
            </wp:positionV>
            <wp:extent cx="5705475" cy="135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-160020</wp:posOffset>
            </wp:positionV>
            <wp:extent cx="5705475" cy="160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960"/>
          </w:cols>
          <w:pgMar w:left="320" w:top="12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hanging="674"/>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5" w:lineRule="exact"/>
        <w:rPr>
          <w:sz w:val="20"/>
          <w:szCs w:val="20"/>
          <w:color w:val="auto"/>
        </w:rPr>
      </w:pPr>
    </w:p>
    <w:p>
      <w:pPr>
        <w:jc w:val="both"/>
        <w:ind w:left="300" w:firstLine="319"/>
        <w:spacing w:after="0" w:line="303" w:lineRule="auto"/>
        <w:rPr>
          <w:sz w:val="20"/>
          <w:szCs w:val="20"/>
          <w:color w:val="auto"/>
        </w:rPr>
      </w:pPr>
      <w:r>
        <w:rPr>
          <w:rFonts w:ascii="Arial" w:cs="Arial" w:eastAsia="Arial" w:hAnsi="Arial"/>
          <w:sz w:val="16"/>
          <w:szCs w:val="16"/>
          <w:color w:val="auto"/>
        </w:rPr>
        <w:t>Income tax (benefit) expense was $(0.2) million and $0.7 million for the three months ended June 30, 2021 and 2020, respectively, and was $(0.2) million and $0.8 million for the six months ended June 30, 2021 and 2020. The effective tax rates for the three months ended June 30, 2021 and 2020, were 35.1% and (82.1)%, respectively. The effective tax rates for the six months ended June 30, 2021 and 2020, were 18.0% and (14.4)%, respectively.</w:t>
      </w:r>
    </w:p>
    <w:p>
      <w:pPr>
        <w:spacing w:after="0" w:line="155" w:lineRule="exact"/>
        <w:rPr>
          <w:sz w:val="20"/>
          <w:szCs w:val="20"/>
          <w:color w:val="auto"/>
        </w:rPr>
      </w:pPr>
    </w:p>
    <w:p>
      <w:pPr>
        <w:jc w:val="both"/>
        <w:ind w:left="300" w:firstLine="319"/>
        <w:spacing w:after="0" w:line="279" w:lineRule="auto"/>
        <w:rPr>
          <w:sz w:val="20"/>
          <w:szCs w:val="20"/>
          <w:color w:val="auto"/>
        </w:rPr>
      </w:pPr>
      <w:r>
        <w:rPr>
          <w:rFonts w:ascii="Arial" w:cs="Arial" w:eastAsia="Arial" w:hAnsi="Arial"/>
          <w:sz w:val="17"/>
          <w:szCs w:val="17"/>
          <w:color w:val="auto"/>
        </w:rPr>
        <w:t>The difference between the Company’s effective tax rates in 2021 and 2020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80" w:hanging="674"/>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jc w:val="both"/>
        <w:ind w:left="300" w:firstLine="319"/>
        <w:spacing w:after="0" w:line="250"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(the “Court”), against the Company and other defendants, including Biostage, Inc. (f/k/a Harvard Apparatus Regenerative Technology, Inc.) (“Biostage”), a former subsidiary of the Company that was spun off in 2013,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97" w:lineRule="exact"/>
        <w:rPr>
          <w:sz w:val="20"/>
          <w:szCs w:val="20"/>
          <w:color w:val="auto"/>
        </w:rPr>
      </w:pPr>
    </w:p>
    <w:p>
      <w:pPr>
        <w:jc w:val="both"/>
        <w:ind w:left="300" w:firstLine="319"/>
        <w:spacing w:after="0" w:line="285" w:lineRule="auto"/>
        <w:rPr>
          <w:sz w:val="20"/>
          <w:szCs w:val="20"/>
          <w:color w:val="auto"/>
        </w:rPr>
      </w:pPr>
      <w:r>
        <w:rPr>
          <w:rFonts w:ascii="Arial" w:cs="Arial" w:eastAsia="Arial" w:hAnsi="Arial"/>
          <w:sz w:val="16"/>
          <w:szCs w:val="16"/>
          <w:color w:val="auto"/>
        </w:rPr>
        <w:t>On October 1, 2019, the Court entered an order granting plaintiffs’ motion to compel the defendant to produce discovery. Subsequently, the plaintiffs filed a motion for sanctions against the Company on January 6, 2020 claiming failure to produce. The Company’s counsel at the time, which had been selected for the case by the Company’s liability insurance carrier, never notified the Company of plaintiffs’ motion and never responded to plaintiff’ motion. As a result of the failure of our former counsel to respond, on January 29, 2020, the Court entered an order allowing plaintiffs’ sanctions against the Company and the other defendants, which establishes a sanction of admitted liability. In June 2021, the Company was informed of these 2019 and 2020 court actions by new defense counsel appointed by the Company’s liability insurance carrier. On June 9, 2021, the Company, together with the other defendants, filed a motion to vacate the Court’s order allowing plaintiffs’ motion for sanctions. On August 3, 2021, the Court held a hearing on the defendants' motion to vacate but no ruling has been made. The Company continues to actively fight the damages in this case.</w:t>
      </w:r>
    </w:p>
    <w:p>
      <w:pPr>
        <w:spacing w:after="0" w:line="169" w:lineRule="exact"/>
        <w:rPr>
          <w:sz w:val="20"/>
          <w:szCs w:val="20"/>
          <w:color w:val="auto"/>
        </w:rPr>
      </w:pPr>
    </w:p>
    <w:p>
      <w:pPr>
        <w:jc w:val="both"/>
        <w:ind w:left="300" w:firstLine="319"/>
        <w:spacing w:after="0" w:line="264" w:lineRule="auto"/>
        <w:rPr>
          <w:sz w:val="20"/>
          <w:szCs w:val="20"/>
          <w:color w:val="auto"/>
        </w:rPr>
      </w:pPr>
      <w:r>
        <w:rPr>
          <w:rFonts w:ascii="Arial" w:cs="Arial" w:eastAsia="Arial" w:hAnsi="Arial"/>
          <w:sz w:val="17"/>
          <w:szCs w:val="17"/>
          <w:color w:val="auto"/>
        </w:rPr>
        <w:t>While the Company believes that claims made in this lawsuit are without merit and that there are strong grounds to vacate the sanctions, unless the sanctions award is vacated the Company could face a trial on damages. If the sanctions award is vacated, the Company will have the opportunity to contest the underlying claims at trial and, while there can be no assurance of prevailing, the Company believes those claims lack merit. If the Company faces a trial on damages, whether as a result of the sanctions or following a loss on the merits, the Company does not know the exact amount of compensatory and, potentially, punitive damages that could be awarded. In all events, the Company believes that available product liability insurance coverage will be available for all or a significant portion of such damages, although there can be no assurance that the damages awarded will be within the limits of the insurance. The Company is also evaluating possible malpractice claims as an additional source of recovery. The Company cannot provide assurance that any losses will not exceed such recoveries. Further, Biostage has agreed to indemnify us for claims and losses relating to certain liabilities that it has assumed from us, including liabilities in connection with the sale of Biostage’s products and other liabilities related to the operation of Biostage’s business. However, the Company cannot be assured that Biostage will have the ability to indemnify the Company against the liabilities the Company may incur in this lawsuit, in particular due to Biostage having limited revenues, products in early-stage development, a need for additional funds in the future and its overall financial condition.</w:t>
      </w:r>
    </w:p>
    <w:p>
      <w:pPr>
        <w:spacing w:after="0" w:line="189" w:lineRule="exact"/>
        <w:rPr>
          <w:sz w:val="20"/>
          <w:szCs w:val="20"/>
          <w:color w:val="auto"/>
        </w:rPr>
      </w:pPr>
    </w:p>
    <w:p>
      <w:pPr>
        <w:jc w:val="both"/>
        <w:ind w:left="300" w:firstLine="319"/>
        <w:spacing w:after="0" w:line="250"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Management</w:t>
      </w:r>
      <w:r>
        <w:rPr>
          <w:rFonts w:ascii="Arial" w:cs="Arial" w:eastAsia="Arial" w:hAnsi="Arial"/>
          <w:sz w:val="14"/>
          <w:szCs w:val="14"/>
          <w:color w:val="auto"/>
        </w:rPr>
        <w:t>’</w:t>
      </w:r>
      <w:r>
        <w:rPr>
          <w:rFonts w:ascii="Arial" w:cs="Arial" w:eastAsia="Arial" w:hAnsi="Arial"/>
          <w:sz w:val="14"/>
          <w:szCs w:val="14"/>
          <w:b w:val="1"/>
          <w:bCs w:val="1"/>
          <w:color w:val="auto"/>
        </w:rPr>
        <w:t>s Discussion and Analysis of Financial Condition and Results of Operations.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jc w:val="both"/>
        <w:ind w:left="300" w:firstLine="319"/>
        <w:spacing w:after="0" w:line="279"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xml:space="preserve">). The forward-looking statements are principally, but not exclusively, contained in </w:t>
      </w:r>
      <w:r>
        <w:rPr>
          <w:rFonts w:ascii="Arial" w:cs="Arial" w:eastAsia="Arial" w:hAnsi="Arial"/>
          <w:sz w:val="16"/>
          <w:szCs w:val="16"/>
          <w:color w:val="auto"/>
        </w:rPr>
        <w:t>“</w:t>
      </w:r>
      <w:r>
        <w:rPr>
          <w:rFonts w:ascii="Arial" w:cs="Arial" w:eastAsia="Arial" w:hAnsi="Arial"/>
          <w:sz w:val="16"/>
          <w:szCs w:val="16"/>
          <w:i w:val="1"/>
          <w:iCs w:val="1"/>
          <w:color w:val="auto"/>
        </w:rPr>
        <w:t>Item 2: 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6"/>
          <w:szCs w:val="16"/>
          <w:color w:val="auto"/>
        </w:rPr>
        <w:t>’</w:t>
      </w:r>
      <w:r>
        <w:rPr>
          <w:rFonts w:ascii="Arial" w:cs="Arial" w:eastAsia="Arial" w:hAnsi="Arial"/>
          <w:sz w:val="16"/>
          <w:szCs w:val="16"/>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aim,</w:t>
      </w:r>
      <w:r>
        <w:rPr>
          <w:rFonts w:ascii="Arial" w:cs="Arial" w:eastAsia="Arial" w:hAnsi="Arial"/>
          <w:sz w:val="16"/>
          <w:szCs w:val="16"/>
          <w:color w:val="auto"/>
        </w:rPr>
        <w:t>”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predicts,</w:t>
      </w:r>
      <w:r>
        <w:rPr>
          <w:rFonts w:ascii="Arial" w:cs="Arial" w:eastAsia="Arial" w:hAnsi="Arial"/>
          <w:sz w:val="16"/>
          <w:szCs w:val="16"/>
          <w:color w:val="auto"/>
        </w:rPr>
        <w:t>” “</w:t>
      </w:r>
      <w:r>
        <w:rPr>
          <w:rFonts w:ascii="Arial" w:cs="Arial" w:eastAsia="Arial" w:hAnsi="Arial"/>
          <w:sz w:val="16"/>
          <w:szCs w:val="16"/>
          <w:i w:val="1"/>
          <w:iCs w:val="1"/>
          <w:color w:val="auto"/>
        </w:rPr>
        <w:t>intends,</w:t>
      </w:r>
      <w:r>
        <w:rPr>
          <w:rFonts w:ascii="Arial" w:cs="Arial" w:eastAsia="Arial" w:hAnsi="Arial"/>
          <w:sz w:val="16"/>
          <w:szCs w:val="16"/>
          <w:color w:val="auto"/>
        </w:rPr>
        <w:t>” “</w:t>
      </w:r>
      <w:r>
        <w:rPr>
          <w:rFonts w:ascii="Arial" w:cs="Arial" w:eastAsia="Arial" w:hAnsi="Arial"/>
          <w:sz w:val="16"/>
          <w:szCs w:val="16"/>
          <w:i w:val="1"/>
          <w:iCs w:val="1"/>
          <w:color w:val="auto"/>
        </w:rPr>
        <w:t>think,</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objectives,</w:t>
      </w:r>
      <w:r>
        <w:rPr>
          <w:rFonts w:ascii="Arial" w:cs="Arial" w:eastAsia="Arial" w:hAnsi="Arial"/>
          <w:sz w:val="16"/>
          <w:szCs w:val="16"/>
          <w:color w:val="auto"/>
        </w:rPr>
        <w:t>” “</w:t>
      </w:r>
      <w:r>
        <w:rPr>
          <w:rFonts w:ascii="Arial" w:cs="Arial" w:eastAsia="Arial" w:hAnsi="Arial"/>
          <w:sz w:val="16"/>
          <w:szCs w:val="16"/>
          <w:i w:val="1"/>
          <w:iCs w:val="1"/>
          <w:color w:val="auto"/>
        </w:rPr>
        <w:t>optimistic,</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goals,</w:t>
      </w:r>
      <w:r>
        <w:rPr>
          <w:rFonts w:ascii="Arial" w:cs="Arial" w:eastAsia="Arial" w:hAnsi="Arial"/>
          <w:sz w:val="16"/>
          <w:szCs w:val="16"/>
          <w:color w:val="auto"/>
        </w:rPr>
        <w:t>” “</w:t>
      </w:r>
      <w:r>
        <w:rPr>
          <w:rFonts w:ascii="Arial" w:cs="Arial" w:eastAsia="Arial" w:hAnsi="Arial"/>
          <w:sz w:val="16"/>
          <w:szCs w:val="16"/>
          <w:i w:val="1"/>
          <w:iCs w:val="1"/>
          <w:color w:val="auto"/>
        </w:rPr>
        <w:t>sees,</w:t>
      </w:r>
      <w:r>
        <w:rPr>
          <w:rFonts w:ascii="Arial" w:cs="Arial" w:eastAsia="Arial" w:hAnsi="Arial"/>
          <w:sz w:val="16"/>
          <w:szCs w:val="16"/>
          <w:color w:val="auto"/>
        </w:rPr>
        <w:t>” “</w:t>
      </w:r>
      <w:r>
        <w:rPr>
          <w:rFonts w:ascii="Arial" w:cs="Arial" w:eastAsia="Arial" w:hAnsi="Arial"/>
          <w:sz w:val="16"/>
          <w:szCs w:val="16"/>
          <w:i w:val="1"/>
          <w:iCs w:val="1"/>
          <w:color w:val="auto"/>
        </w:rPr>
        <w:t>new,</w:t>
      </w:r>
      <w:r>
        <w:rPr>
          <w:rFonts w:ascii="Arial" w:cs="Arial" w:eastAsia="Arial" w:hAnsi="Arial"/>
          <w:sz w:val="16"/>
          <w:szCs w:val="16"/>
          <w:color w:val="auto"/>
        </w:rPr>
        <w:t>” “</w:t>
      </w:r>
      <w:r>
        <w:rPr>
          <w:rFonts w:ascii="Arial" w:cs="Arial" w:eastAsia="Arial" w:hAnsi="Arial"/>
          <w:sz w:val="16"/>
          <w:szCs w:val="16"/>
          <w:i w:val="1"/>
          <w:iCs w:val="1"/>
          <w:color w:val="auto"/>
        </w:rPr>
        <w:t>guidance,</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drive,</w:t>
      </w:r>
      <w:r>
        <w:rPr>
          <w:rFonts w:ascii="Arial" w:cs="Arial" w:eastAsia="Arial" w:hAnsi="Arial"/>
          <w:sz w:val="16"/>
          <w:szCs w:val="16"/>
          <w:color w:val="auto"/>
        </w:rPr>
        <w:t>” “</w:t>
      </w:r>
      <w:r>
        <w:rPr>
          <w:rFonts w:ascii="Arial" w:cs="Arial" w:eastAsia="Arial" w:hAnsi="Arial"/>
          <w:sz w:val="16"/>
          <w:szCs w:val="16"/>
          <w:i w:val="1"/>
          <w:iCs w:val="1"/>
          <w:color w:val="auto"/>
        </w:rPr>
        <w:t>growth,</w:t>
      </w:r>
      <w:r>
        <w:rPr>
          <w:rFonts w:ascii="Arial" w:cs="Arial" w:eastAsia="Arial" w:hAnsi="Arial"/>
          <w:sz w:val="16"/>
          <w:szCs w:val="16"/>
          <w:color w:val="auto"/>
        </w:rPr>
        <w:t>” “</w:t>
      </w:r>
      <w:r>
        <w:rPr>
          <w:rFonts w:ascii="Arial" w:cs="Arial" w:eastAsia="Arial" w:hAnsi="Arial"/>
          <w:sz w:val="16"/>
          <w:szCs w:val="16"/>
          <w:i w:val="1"/>
          <w:iCs w:val="1"/>
          <w:color w:val="auto"/>
        </w:rPr>
        <w:t>long-term,</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develop,</w:t>
      </w:r>
      <w:r>
        <w:rPr>
          <w:rFonts w:ascii="Arial" w:cs="Arial" w:eastAsia="Arial" w:hAnsi="Arial"/>
          <w:sz w:val="16"/>
          <w:szCs w:val="16"/>
          <w:color w:val="auto"/>
        </w:rPr>
        <w:t>” “</w:t>
      </w:r>
      <w:r>
        <w:rPr>
          <w:rFonts w:ascii="Arial" w:cs="Arial" w:eastAsia="Arial" w:hAnsi="Arial"/>
          <w:sz w:val="16"/>
          <w:szCs w:val="16"/>
          <w:i w:val="1"/>
          <w:iCs w:val="1"/>
          <w:color w:val="auto"/>
        </w:rPr>
        <w:t>possible,</w:t>
      </w:r>
      <w:r>
        <w:rPr>
          <w:rFonts w:ascii="Arial" w:cs="Arial" w:eastAsia="Arial" w:hAnsi="Arial"/>
          <w:sz w:val="16"/>
          <w:szCs w:val="16"/>
          <w:color w:val="auto"/>
        </w:rPr>
        <w:t>” “</w:t>
      </w:r>
      <w:r>
        <w:rPr>
          <w:rFonts w:ascii="Arial" w:cs="Arial" w:eastAsia="Arial" w:hAnsi="Arial"/>
          <w:sz w:val="16"/>
          <w:szCs w:val="16"/>
          <w:i w:val="1"/>
          <w:iCs w:val="1"/>
          <w:color w:val="auto"/>
        </w:rPr>
        <w:t>emerging,</w:t>
      </w:r>
      <w:r>
        <w:rPr>
          <w:rFonts w:ascii="Arial" w:cs="Arial" w:eastAsia="Arial" w:hAnsi="Arial"/>
          <w:sz w:val="16"/>
          <w:szCs w:val="16"/>
          <w:color w:val="auto"/>
        </w:rPr>
        <w:t>” “</w:t>
      </w:r>
      <w:r>
        <w:rPr>
          <w:rFonts w:ascii="Arial" w:cs="Arial" w:eastAsia="Arial" w:hAnsi="Arial"/>
          <w:sz w:val="16"/>
          <w:szCs w:val="16"/>
          <w:i w:val="1"/>
          <w:iCs w:val="1"/>
          <w:color w:val="auto"/>
        </w:rPr>
        <w:t>opportunity,</w:t>
      </w:r>
      <w:r>
        <w:rPr>
          <w:rFonts w:ascii="Arial" w:cs="Arial" w:eastAsia="Arial" w:hAnsi="Arial"/>
          <w:sz w:val="16"/>
          <w:szCs w:val="16"/>
          <w:color w:val="auto"/>
        </w:rPr>
        <w:t>” “</w:t>
      </w:r>
      <w:r>
        <w:rPr>
          <w:rFonts w:ascii="Arial" w:cs="Arial" w:eastAsia="Arial" w:hAnsi="Arial"/>
          <w:sz w:val="16"/>
          <w:szCs w:val="16"/>
          <w:i w:val="1"/>
          <w:iCs w:val="1"/>
          <w:color w:val="auto"/>
        </w:rPr>
        <w:t>pursue</w:t>
      </w:r>
      <w:r>
        <w:rPr>
          <w:rFonts w:ascii="Arial" w:cs="Arial" w:eastAsia="Arial" w:hAnsi="Arial"/>
          <w:sz w:val="16"/>
          <w:szCs w:val="16"/>
          <w:color w:val="auto"/>
        </w:rPr>
        <w:t xml:space="preserve">” </w:t>
      </w:r>
      <w:r>
        <w:rPr>
          <w:rFonts w:ascii="Arial" w:cs="Arial" w:eastAsia="Arial" w:hAnsi="Arial"/>
          <w:sz w:val="16"/>
          <w:szCs w:val="16"/>
          <w:i w:val="1"/>
          <w:iCs w:val="1"/>
          <w:color w:val="auto"/>
        </w:rPr>
        <w:t>and similar expressions intended to identify forward-looking statements. These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the duration and severity of the COVID-19 pandemic and its impact on our business; reductions in customers</w:t>
      </w:r>
      <w:r>
        <w:rPr>
          <w:rFonts w:ascii="Arial" w:cs="Arial" w:eastAsia="Arial" w:hAnsi="Arial"/>
          <w:sz w:val="16"/>
          <w:szCs w:val="16"/>
          <w:color w:val="auto"/>
        </w:rPr>
        <w:t>’</w:t>
      </w:r>
      <w:r>
        <w:rPr>
          <w:rFonts w:ascii="Arial" w:cs="Arial" w:eastAsia="Arial" w:hAnsi="Arial"/>
          <w:sz w:val="16"/>
          <w:szCs w:val="16"/>
          <w:i w:val="1"/>
          <w:iCs w:val="1"/>
          <w:color w:val="auto"/>
        </w:rPr>
        <w:t xml:space="preserve">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our current and any future restructuring initiatives; failure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w:t>
      </w:r>
      <w:r>
        <w:rPr>
          <w:rFonts w:ascii="Arial" w:cs="Arial" w:eastAsia="Arial" w:hAnsi="Arial"/>
          <w:sz w:val="16"/>
          <w:szCs w:val="16"/>
          <w:color w:val="auto"/>
        </w:rPr>
        <w:t>’</w:t>
      </w:r>
      <w:r>
        <w:rPr>
          <w:rFonts w:ascii="Arial" w:cs="Arial" w:eastAsia="Arial" w:hAnsi="Arial"/>
          <w:sz w:val="16"/>
          <w:szCs w:val="16"/>
          <w:i w:val="1"/>
          <w:iCs w:val="1"/>
          <w:color w:val="auto"/>
        </w:rPr>
        <w:t>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w:t>
      </w:r>
      <w:r>
        <w:rPr>
          <w:rFonts w:ascii="Arial" w:cs="Arial" w:eastAsia="Arial" w:hAnsi="Arial"/>
          <w:sz w:val="16"/>
          <w:szCs w:val="16"/>
          <w:color w:val="auto"/>
        </w:rPr>
        <w:t>’</w:t>
      </w:r>
      <w:r>
        <w:rPr>
          <w:rFonts w:ascii="Arial" w:cs="Arial" w:eastAsia="Arial" w:hAnsi="Arial"/>
          <w:sz w:val="16"/>
          <w:szCs w:val="16"/>
          <w:i w:val="1"/>
          <w:iCs w:val="1"/>
          <w:color w:val="auto"/>
        </w:rPr>
        <w:t xml:space="preserve"> intellectual property; exposure to product and other liability claims; global stock market volatility, currency exchange rate fluctuations and regulatory changes caused by the United Kingdom</w:t>
      </w:r>
      <w:r>
        <w:rPr>
          <w:rFonts w:ascii="Arial" w:cs="Arial" w:eastAsia="Arial" w:hAnsi="Arial"/>
          <w:sz w:val="16"/>
          <w:szCs w:val="16"/>
          <w:color w:val="auto"/>
        </w:rPr>
        <w:t>’</w:t>
      </w:r>
      <w:r>
        <w:rPr>
          <w:rFonts w:ascii="Arial" w:cs="Arial" w:eastAsia="Arial" w:hAnsi="Arial"/>
          <w:sz w:val="16"/>
          <w:szCs w:val="16"/>
          <w:i w:val="1"/>
          <w:iCs w:val="1"/>
          <w:color w:val="auto"/>
        </w:rPr>
        <w:t xml:space="preserve">s exit from the European Union; plus other factors described under the heading </w:t>
      </w:r>
      <w:r>
        <w:rPr>
          <w:rFonts w:ascii="Arial" w:cs="Arial" w:eastAsia="Arial" w:hAnsi="Arial"/>
          <w:sz w:val="16"/>
          <w:szCs w:val="16"/>
          <w:color w:val="auto"/>
        </w:rPr>
        <w:t>“</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our Annual Report on Form 10-K for year ended December 31, 2020,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399" w:lineRule="exact"/>
        <w:rPr>
          <w:sz w:val="20"/>
          <w:szCs w:val="20"/>
          <w:color w:val="auto"/>
        </w:rPr>
      </w:pPr>
    </w:p>
    <w:p>
      <w:pPr>
        <w:ind w:left="300" w:right="760" w:firstLine="319"/>
        <w:spacing w:after="0" w:line="266" w:lineRule="auto"/>
        <w:rPr>
          <w:sz w:val="20"/>
          <w:szCs w:val="20"/>
          <w:color w:val="auto"/>
        </w:rPr>
      </w:pPr>
      <w:r>
        <w:rPr>
          <w:rFonts w:ascii="Arial" w:cs="Arial" w:eastAsia="Arial" w:hAnsi="Arial"/>
          <w:sz w:val="18"/>
          <w:szCs w:val="18"/>
          <w:color w:val="auto"/>
        </w:rPr>
        <w:t>Unless the context requires otherwise, references in this Quarterly Report to “we,” “us” and “our” refer to Harvard Bioscience, Inc., and its subsidiaries.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left="140" w:firstLine="461"/>
        <w:spacing w:after="0" w:line="253" w:lineRule="auto"/>
        <w:rPr>
          <w:sz w:val="20"/>
          <w:szCs w:val="20"/>
          <w:color w:val="auto"/>
        </w:rPr>
      </w:pPr>
      <w:r>
        <w:rPr>
          <w:rFonts w:ascii="Arial" w:cs="Arial" w:eastAsia="Arial" w:hAnsi="Arial"/>
          <w:sz w:val="18"/>
          <w:szCs w:val="18"/>
          <w:color w:val="auto"/>
        </w:rPr>
        <w:t>Harvard Bioscience, Inc.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COVID-19</w:t>
      </w:r>
    </w:p>
    <w:p>
      <w:pPr>
        <w:spacing w:after="0" w:line="219" w:lineRule="exact"/>
        <w:rPr>
          <w:sz w:val="20"/>
          <w:szCs w:val="20"/>
          <w:color w:val="auto"/>
        </w:rPr>
      </w:pPr>
    </w:p>
    <w:p>
      <w:pPr>
        <w:jc w:val="both"/>
        <w:ind w:left="140" w:firstLine="461"/>
        <w:spacing w:after="0" w:line="265"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remain unknown and rapidly evolving. Since the global outbreak of COVID-19, many customers, particularly academic research institutions, reduced laboratory work which has negatively impacted, and will continue to negatively impact, our sales. While many of our customers, including academic labs, have reopened, a significant number of them remained closed or at significantly lower capacity levels through the second quarter of 2021. Additionally, to ensure business continuity while maintaining a safe environment for employees aligned with guidance from government and health organizations, we transitioned a significant portion of our workforce to work-from-home while implementing social distancing requirements and other measures to allow manufacturing and other personnel essential to production to continue work within our facilities. Business travel was significantly reduced during this period. While a portion of the workforce has returned to in-office work and travel is less restricted, we continue to have restrictions which represent disruptions which can impact productivity including sales and marketing activities.</w:t>
      </w:r>
    </w:p>
    <w:p>
      <w:pPr>
        <w:spacing w:after="0" w:line="184" w:lineRule="exact"/>
        <w:rPr>
          <w:sz w:val="20"/>
          <w:szCs w:val="20"/>
          <w:color w:val="auto"/>
        </w:rPr>
      </w:pPr>
    </w:p>
    <w:p>
      <w:pPr>
        <w:jc w:val="both"/>
        <w:ind w:left="140" w:firstLine="461"/>
        <w:spacing w:after="0" w:line="256" w:lineRule="auto"/>
        <w:rPr>
          <w:sz w:val="20"/>
          <w:szCs w:val="20"/>
          <w:color w:val="auto"/>
        </w:rPr>
      </w:pPr>
      <w:r>
        <w:rPr>
          <w:rFonts w:ascii="Arial" w:cs="Arial" w:eastAsia="Arial" w:hAnsi="Arial"/>
          <w:sz w:val="18"/>
          <w:szCs w:val="18"/>
          <w:color w:val="auto"/>
        </w:rPr>
        <w:t>The global supply chain has experienced significant disruptions during the first half of 2021 due to electronic component and labor shortages and other macroeconomic factors, leading to increased cost of freight and purchased materials, while also delaying customer shipments. We believe these supply chain trends will continue through the rest of 2021.</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These conditions in addition to the overall impact on the global economy has negatively impacted our results of operations and cash flows.</w:t>
      </w:r>
    </w:p>
    <w:p>
      <w:pPr>
        <w:spacing w:after="0" w:line="230" w:lineRule="exact"/>
        <w:rPr>
          <w:sz w:val="20"/>
          <w:szCs w:val="20"/>
          <w:color w:val="auto"/>
        </w:rPr>
      </w:pPr>
    </w:p>
    <w:p>
      <w:pPr>
        <w:jc w:val="both"/>
        <w:ind w:left="140" w:firstLine="461"/>
        <w:spacing w:after="0" w:line="253" w:lineRule="auto"/>
        <w:rPr>
          <w:sz w:val="20"/>
          <w:szCs w:val="20"/>
          <w:color w:val="auto"/>
        </w:rPr>
      </w:pPr>
      <w:r>
        <w:rPr>
          <w:rFonts w:ascii="Arial" w:cs="Arial" w:eastAsia="Arial" w:hAnsi="Arial"/>
          <w:sz w:val="18"/>
          <w:szCs w:val="18"/>
          <w:color w:val="auto"/>
        </w:rPr>
        <w:t>Revenue for the three and six months ended June 30, 2021 and for the year ending December 31, 2020 was negatively impacted due to the conditions noted.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19" w:lineRule="exact"/>
        <w:rPr>
          <w:sz w:val="20"/>
          <w:szCs w:val="20"/>
          <w:color w:val="auto"/>
        </w:rPr>
      </w:pPr>
    </w:p>
    <w:p>
      <w:pPr>
        <w:jc w:val="both"/>
        <w:ind w:left="140" w:firstLine="461"/>
        <w:spacing w:after="0" w:line="270" w:lineRule="auto"/>
        <w:rPr>
          <w:sz w:val="20"/>
          <w:szCs w:val="20"/>
          <w:color w:val="auto"/>
        </w:rPr>
      </w:pPr>
      <w:r>
        <w:rPr>
          <w:rFonts w:ascii="Arial" w:cs="Arial" w:eastAsia="Arial" w:hAnsi="Arial"/>
          <w:sz w:val="17"/>
          <w:szCs w:val="17"/>
          <w:color w:val="auto"/>
        </w:rPr>
        <w:t>In December 2019, we implemented a restructuring plan (the “2019 Restructuring Plan”) to deliver significant cost savings beginning in 2020 and support delivery of a strategic action plan announced in September 2019. The 2019 Restructuring Plan includes consolidation of our Connecticut manufacturing plant with our existing Massachusetts site, downsizing of operations in the United Kingdom and a reduction in force across the business equal to approximately 10% of our headcount. The 2019 Restructuring Plan is expected to deliver approximately $4.5 million of annualized run-rate savings. The original initiatives under the 2019 Restructuring Plan were completed in the second half of 2020.</w:t>
      </w:r>
    </w:p>
    <w:p>
      <w:pPr>
        <w:spacing w:after="0" w:line="178" w:lineRule="exact"/>
        <w:rPr>
          <w:sz w:val="20"/>
          <w:szCs w:val="20"/>
          <w:color w:val="auto"/>
        </w:rPr>
      </w:pPr>
    </w:p>
    <w:p>
      <w:pPr>
        <w:jc w:val="both"/>
        <w:ind w:left="140" w:firstLine="461"/>
        <w:spacing w:after="0" w:line="270" w:lineRule="auto"/>
        <w:rPr>
          <w:sz w:val="20"/>
          <w:szCs w:val="20"/>
          <w:color w:val="auto"/>
        </w:rPr>
      </w:pPr>
      <w:r>
        <w:rPr>
          <w:rFonts w:ascii="Arial" w:cs="Arial" w:eastAsia="Arial" w:hAnsi="Arial"/>
          <w:sz w:val="17"/>
          <w:szCs w:val="17"/>
          <w:color w:val="auto"/>
        </w:rPr>
        <w:t>We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 These incremental actions are expected to generate additional annualized cost savings of approximately $2.0 million, and were substantially complete as of June 30, 2021.</w:t>
      </w:r>
    </w:p>
    <w:p>
      <w:pPr>
        <w:spacing w:after="0" w:line="178" w:lineRule="exact"/>
        <w:rPr>
          <w:sz w:val="20"/>
          <w:szCs w:val="20"/>
          <w:color w:val="auto"/>
        </w:rPr>
      </w:pPr>
    </w:p>
    <w:p>
      <w:pPr>
        <w:ind w:left="140" w:right="140" w:firstLine="515"/>
        <w:spacing w:after="0" w:line="330" w:lineRule="auto"/>
        <w:rPr>
          <w:sz w:val="20"/>
          <w:szCs w:val="20"/>
          <w:color w:val="auto"/>
        </w:rPr>
      </w:pPr>
      <w:r>
        <w:rPr>
          <w:rFonts w:ascii="Arial" w:cs="Arial" w:eastAsia="Arial" w:hAnsi="Arial"/>
          <w:sz w:val="16"/>
          <w:szCs w:val="16"/>
          <w:color w:val="auto"/>
        </w:rPr>
        <w:t>Through June 30, 2021, we incurred cash outlays of $8.2 million as a result of the actions taken under the 2019 Restructuring Plan and incremental cost reductions and other business improvements. We believe these strategic actions will position the business for improved financial performance.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Selected Results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ind w:left="720"/>
              <w:spacing w:after="0"/>
              <w:rPr>
                <w:sz w:val="20"/>
                <w:szCs w:val="20"/>
                <w:color w:val="auto"/>
              </w:rPr>
            </w:pPr>
            <w:r>
              <w:rPr>
                <w:rFonts w:ascii="Arial" w:cs="Arial" w:eastAsia="Arial" w:hAnsi="Arial"/>
                <w:sz w:val="18"/>
                <w:szCs w:val="18"/>
                <w:b w:val="1"/>
                <w:bCs w:val="1"/>
                <w:color w:val="auto"/>
                <w:w w:val="90"/>
              </w:rPr>
              <w:t>Three Months Ended June 30,</w:t>
            </w:r>
          </w:p>
        </w:tc>
        <w:tc>
          <w:tcPr>
            <w:tcW w:w="1040" w:type="dxa"/>
            <w:vAlign w:val="bottom"/>
            <w:tcBorders>
              <w:bottom w:val="single" w:sz="8" w:color="auto"/>
            </w:tcBorders>
          </w:tcPr>
          <w:p>
            <w:pPr>
              <w:spacing w:after="0"/>
              <w:rPr>
                <w:sz w:val="20"/>
                <w:szCs w:val="20"/>
                <w:color w:val="auto"/>
              </w:rPr>
            </w:pPr>
          </w:p>
        </w:tc>
      </w:tr>
      <w:tr>
        <w:trPr>
          <w:trHeight w:val="189"/>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11"/>
              <w:spacing w:after="0" w:line="189"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31"/>
              <w:spacing w:after="0" w:line="189" w:lineRule="exact"/>
              <w:rPr>
                <w:sz w:val="20"/>
                <w:szCs w:val="20"/>
                <w:color w:val="auto"/>
              </w:rPr>
            </w:pPr>
            <w:r>
              <w:rPr>
                <w:rFonts w:ascii="Arial" w:cs="Arial" w:eastAsia="Arial" w:hAnsi="Arial"/>
                <w:sz w:val="18"/>
                <w:szCs w:val="18"/>
                <w:b w:val="1"/>
                <w:bCs w:val="1"/>
                <w:color w:val="auto"/>
              </w:rPr>
              <w:t>% of</w:t>
            </w:r>
          </w:p>
        </w:tc>
      </w:tr>
      <w:tr>
        <w:trPr>
          <w:trHeight w:val="231"/>
        </w:trPr>
        <w:tc>
          <w:tcPr>
            <w:tcW w:w="4740" w:type="dxa"/>
            <w:vAlign w:val="bottom"/>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revenue</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219" w:lineRule="exact"/>
        <w:rPr>
          <w:sz w:val="20"/>
          <w:szCs w:val="20"/>
          <w:color w:val="auto"/>
        </w:rPr>
      </w:pPr>
    </w:p>
    <w:p>
      <w:pPr>
        <w:jc w:val="both"/>
        <w:ind w:left="300" w:firstLine="319"/>
        <w:spacing w:after="0" w:line="270" w:lineRule="auto"/>
        <w:rPr>
          <w:sz w:val="20"/>
          <w:szCs w:val="20"/>
          <w:color w:val="auto"/>
        </w:rPr>
      </w:pPr>
      <w:r>
        <w:rPr>
          <w:rFonts w:ascii="Arial" w:cs="Arial" w:eastAsia="Arial" w:hAnsi="Arial"/>
          <w:sz w:val="17"/>
          <w:szCs w:val="17"/>
          <w:color w:val="auto"/>
        </w:rPr>
        <w:t>Revenues for the three months ended June 30, 2021 were $29.2 million, an increase of approximately $5.9 million, or 25.3%, compared to revenues of $23.3 million for the three months ended June 30, 2020. Revenue improved significantly due to academic labs reopening in 2021. A large number of academic labs remained closed during the second quarter of 2020. We believe that academic lab activity has not yet returned to pre-COVID levels, but activity is significantly higher than the prior year period. Revenue also increased due to improved sales of products from our preclinical product family associated with improved sales processes and product enhancements released in 2020.</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Gross profit</w:t>
      </w:r>
    </w:p>
    <w:p>
      <w:pPr>
        <w:spacing w:after="0" w:line="219" w:lineRule="exact"/>
        <w:rPr>
          <w:sz w:val="20"/>
          <w:szCs w:val="20"/>
          <w:color w:val="auto"/>
        </w:rPr>
      </w:pPr>
    </w:p>
    <w:p>
      <w:pPr>
        <w:jc w:val="both"/>
        <w:ind w:left="300" w:firstLine="319"/>
        <w:spacing w:after="0" w:line="250" w:lineRule="auto"/>
        <w:rPr>
          <w:sz w:val="20"/>
          <w:szCs w:val="20"/>
          <w:color w:val="auto"/>
        </w:rPr>
      </w:pPr>
      <w:r>
        <w:rPr>
          <w:rFonts w:ascii="Arial" w:cs="Arial" w:eastAsia="Arial" w:hAnsi="Arial"/>
          <w:sz w:val="18"/>
          <w:szCs w:val="18"/>
          <w:color w:val="auto"/>
        </w:rPr>
        <w:t>Gross profit increased $2.5 million, or 18.0%, to $16.4 million for the three months ended June 30 2021, compared with $13.9 million for the three months ended June 30, 2020, due primarily to the increase in revenue noted. Gross margin decreased to 56.0% for the three months ended June 30, 2021 compared with 59.4% for the three months ended June 30, 2020. The decrease in gross margin was due to higher supply chain and logistics costs. The global supply chain has experienced significant disruptions during the first half of 2021 due to electronic component and labor shortages and other macroeconomic factors, leading to increased cost of freight and purchased materials. We believe these supply chain trends will continue through the rest of 2021.</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9" w:lineRule="exact"/>
        <w:rPr>
          <w:sz w:val="20"/>
          <w:szCs w:val="20"/>
          <w:color w:val="auto"/>
        </w:rPr>
      </w:pPr>
    </w:p>
    <w:p>
      <w:pPr>
        <w:jc w:val="both"/>
        <w:ind w:left="300" w:firstLine="319"/>
        <w:spacing w:after="0" w:line="273" w:lineRule="auto"/>
        <w:rPr>
          <w:sz w:val="20"/>
          <w:szCs w:val="20"/>
          <w:color w:val="auto"/>
        </w:rPr>
      </w:pPr>
      <w:r>
        <w:rPr>
          <w:rFonts w:ascii="Arial" w:cs="Arial" w:eastAsia="Arial" w:hAnsi="Arial"/>
          <w:sz w:val="17"/>
          <w:szCs w:val="17"/>
          <w:color w:val="auto"/>
        </w:rPr>
        <w:t>Sales and marketing expenses increased $1.4 million, or 33.9%, to $5.7 million for the three months ended June 30 2021 compared to $4.3 million during the same period in 2020. The increase was primarily due to investments in new marketing and sales support personnel and higher costs as many of our employees returned from part-time to full-time status. During the second quarter of 2020 part-time work, pay reductions and other temporary cost reduction measures were in place in response to the rapid reduction of revenue following the onset of COVID-19.</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9"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General and administrative expenses were $6.4 million for the three months ended June 30, 2021, an increase of $0.7 million, or 12.9%, compared with $5.7 million for the three months ended June 30, 2020. The increase was due to higher overall compensation as many of our employees returned from part-time to full-time status and higher stock-based compensation. During the second quarter of 2020 part-time work, pay reductions and other temporary cost reduction measures were in place in response to the rapid reduction of revenue following the onset of COVID-19.</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9" w:lineRule="exact"/>
        <w:rPr>
          <w:sz w:val="20"/>
          <w:szCs w:val="20"/>
          <w:color w:val="auto"/>
        </w:rPr>
      </w:pPr>
    </w:p>
    <w:p>
      <w:pPr>
        <w:jc w:val="both"/>
        <w:ind w:left="300" w:firstLine="319"/>
        <w:spacing w:after="0" w:line="251" w:lineRule="auto"/>
        <w:rPr>
          <w:sz w:val="20"/>
          <w:szCs w:val="20"/>
          <w:color w:val="auto"/>
        </w:rPr>
      </w:pPr>
      <w:r>
        <w:rPr>
          <w:rFonts w:ascii="Arial" w:cs="Arial" w:eastAsia="Arial" w:hAnsi="Arial"/>
          <w:sz w:val="18"/>
          <w:szCs w:val="18"/>
          <w:color w:val="auto"/>
        </w:rPr>
        <w:t>Research and development expenses were $2.7 million for the three months ended June 30, 2021, an increase of $0.8 million, or 42.4%, compared with $1.9 million for the three months ended June 30, 2020. The increase was due to higher compensation as many of our employees returned from part-time to full-time status and higher stock-based compensation and other costs to affect our strategic plans. During the second quarter of 2020 part-time work, pay reductions and other temporary cost reduction measures were in place in response to the rapid reduction of revenue following the onset of COVID-19.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19"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Amortization of intangible asset expenses was $1.5 million for the three months ended June 30, 2021 and did not change materially as compared to the three months ended June 30, 2020.</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Interest expense was $0.4 million for the three months ended June 30, 2021, a decrease of $0.8 million, or 69.4%, compared with $1.2 million for the three months ended June 30, 2020. The decrease was due to lower interest rates under our new Credit Agreement entered into on December 22, 2020, as well as reduced average borrowing as compared to the prior period.</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jc w:val="both"/>
        <w:ind w:left="300" w:firstLine="319"/>
        <w:spacing w:after="0" w:line="251" w:lineRule="auto"/>
        <w:rPr>
          <w:sz w:val="20"/>
          <w:szCs w:val="20"/>
          <w:color w:val="auto"/>
        </w:rPr>
      </w:pPr>
      <w:r>
        <w:rPr>
          <w:rFonts w:ascii="Arial" w:cs="Arial" w:eastAsia="Arial" w:hAnsi="Arial"/>
          <w:sz w:val="18"/>
          <w:szCs w:val="18"/>
          <w:color w:val="auto"/>
        </w:rPr>
        <w:t>Income tax (benefit) expense for the three months ended June 30, 2021 and 2020 was $(0.2) million and $0.7 million, respectively. The effective tax rates for the three months ended June 30, 2021 and 2020 were 35.1% and (82.1)%,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9"/>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11"/>
              <w:spacing w:after="0" w:line="189"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31"/>
              <w:spacing w:after="0" w:line="189" w:lineRule="exact"/>
              <w:rPr>
                <w:sz w:val="20"/>
                <w:szCs w:val="20"/>
                <w:color w:val="auto"/>
              </w:rPr>
            </w:pPr>
            <w:r>
              <w:rPr>
                <w:rFonts w:ascii="Arial" w:cs="Arial" w:eastAsia="Arial" w:hAnsi="Arial"/>
                <w:sz w:val="18"/>
                <w:szCs w:val="18"/>
                <w:b w:val="1"/>
                <w:bCs w:val="1"/>
                <w:color w:val="auto"/>
              </w:rPr>
              <w:t>% of</w:t>
            </w:r>
          </w:p>
        </w:tc>
      </w:tr>
      <w:tr>
        <w:trPr>
          <w:trHeight w:val="231"/>
        </w:trPr>
        <w:tc>
          <w:tcPr>
            <w:tcW w:w="4740" w:type="dxa"/>
            <w:vAlign w:val="bottom"/>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revenue</w:t>
            </w: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47,079</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57.0%</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219" w:lineRule="exact"/>
        <w:rPr>
          <w:sz w:val="20"/>
          <w:szCs w:val="20"/>
          <w:color w:val="auto"/>
        </w:rPr>
      </w:pPr>
    </w:p>
    <w:p>
      <w:pPr>
        <w:jc w:val="both"/>
        <w:ind w:left="300" w:firstLine="319"/>
        <w:spacing w:after="0" w:line="251" w:lineRule="auto"/>
        <w:rPr>
          <w:sz w:val="20"/>
          <w:szCs w:val="20"/>
          <w:color w:val="auto"/>
        </w:rPr>
      </w:pPr>
      <w:r>
        <w:rPr>
          <w:rFonts w:ascii="Arial" w:cs="Arial" w:eastAsia="Arial" w:hAnsi="Arial"/>
          <w:sz w:val="18"/>
          <w:szCs w:val="18"/>
          <w:color w:val="auto"/>
        </w:rPr>
        <w:t>Revenues for the six months ended June 30, 2021 were $56.2 million, an increase of approximately $9.1 million, or 19.3%, compared to revenues of $47.1 million for the six months ended June 30, 2020. Revenue improved significantly due to academic labs reopening in 2021. A large number of academic labs remained closed during 2020. We believe that academic lab activity has not yet returned to pre-COVID levels, but activity is significantly higher than prior year. Revenue also increased due to improved sales of products from our preclinical product family associated with improved sales processes and product enhancements released in 2020.</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Gross profit</w:t>
      </w:r>
    </w:p>
    <w:p>
      <w:pPr>
        <w:spacing w:after="0" w:line="219"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Gross profit increased $4.9 million, or 18.4%, to $31.8 million for the six months ended June 30 2021, compared with $26.9 million for the six months ended June 30, 2020, due primarily to the increase in revenue noted. Gross margin decreased to 56.6% for the six months ended June 30, 2021 compared with 57.0% for the six months ended June 30, 2020. The decrease in gross margin on a year-to-date date was due to supply chain cost increases in the second quarter of 2021 which were offset by gross margin increases due to higher volumes and improved product mix.</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9"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Sales and marketing expenses increased $1.2 million, or 12.8%, to $11.1 million for the six months ended June 30 2021 compared to $9.9 million during the same period in 2020. The increase was primarily due to investments in new marketing and sales support personnel, higher costs as many of our employees returned from part-time to full-time status and higher variable sales costs offset by cost reduction initiatives and lower travel and trade show related costs due to COVID-19-related restrictions.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9"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General and administrative expenses were $12.7 million for the six months ended June 30, 2021, an increase of $0.3 million, or 2.4%, compared with $12.4 million for the six months ended June 30, 2020. The increase was due to higher compensation costs as many of our employees returned from part-time to full-time status and higher stock-based compensation which were partially offset by cost reduction initiatives and lower restructuring and other costs to affect our strategic plans.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9"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Research and development expenses were $5.2 million for the six months ended June 30, 2021, an increase of $0.8 million, or 18.3%, compared with $4.4 million for the six months ended June 30, 2020. The increase was due to higher compensation costs as many of our employees returned from part-time to full-time status and higher restructuring and other costs to affect our strategic plans.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19"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Amortization of intangible asset expenses was $2.9 million for the six months ended June 30, 2021 and did not change materially as compared to the six months ended June 30, 2021.</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Interest expense was $0.8 million for the six months ended June 30, 2021, a decrease of $1.7 million, or 68.9%, compared with $2.5 million for the six months ended June 30, 2020. The decrease was due to lower interest rates under our new Credit Agreement entered into on December 22, 2020, as well as reduced average borrowing as compared to the prior period.</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jc w:val="both"/>
        <w:ind w:left="300" w:firstLine="319"/>
        <w:spacing w:after="0" w:line="251" w:lineRule="auto"/>
        <w:rPr>
          <w:sz w:val="20"/>
          <w:szCs w:val="20"/>
          <w:color w:val="auto"/>
        </w:rPr>
      </w:pPr>
      <w:r>
        <w:rPr>
          <w:rFonts w:ascii="Arial" w:cs="Arial" w:eastAsia="Arial" w:hAnsi="Arial"/>
          <w:sz w:val="18"/>
          <w:szCs w:val="18"/>
          <w:color w:val="auto"/>
        </w:rPr>
        <w:t>Income tax (benefit) expense for the six months ended June 30, 2021 and 2020 was $(0.2) million and $0.8 million, respectively. The effective tax rates for the six months ended June 31, 2021 and 2020 were 18.0% and (14.4)%,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severance and other payments associated with ongoing restructuring and cost reduction initiatives.</w:t>
      </w:r>
    </w:p>
    <w:p>
      <w:pPr>
        <w:spacing w:after="0" w:line="190" w:lineRule="exact"/>
        <w:rPr>
          <w:sz w:val="20"/>
          <w:szCs w:val="20"/>
          <w:color w:val="auto"/>
        </w:rPr>
      </w:pPr>
    </w:p>
    <w:p>
      <w:pPr>
        <w:jc w:val="both"/>
        <w:ind w:left="300" w:firstLine="319"/>
        <w:spacing w:after="0" w:line="279" w:lineRule="auto"/>
        <w:rPr>
          <w:sz w:val="20"/>
          <w:szCs w:val="20"/>
          <w:color w:val="auto"/>
        </w:rPr>
      </w:pPr>
      <w:r>
        <w:rPr>
          <w:rFonts w:ascii="Arial" w:cs="Arial" w:eastAsia="Arial" w:hAnsi="Arial"/>
          <w:sz w:val="17"/>
          <w:szCs w:val="17"/>
          <w:color w:val="auto"/>
        </w:rPr>
        <w:t>As of June 30, 2021, we held cash and cash equivalents of $6.2 million, compared with $8.3 million at December 31, 2020. As of June 30, 2021 and December 31, 2020, we had $44.4 million and $49.4 million of borrowings outstanding under our Credit Facility, respectively. Total debt, net of cash and cash equivalents, was $38.2 million at June, 2021, compared to $41.1 million at December 31, 2020.</w:t>
      </w:r>
    </w:p>
    <w:p>
      <w:pPr>
        <w:spacing w:after="0" w:line="170"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On December 22, 2020, we entered into the Credit Facility which provides for a term loan of $40.0 million and a $25.0 million senior revolving credit facility. Obligations under the Credit Agreement are secured by substantially all of our assets and are guaranteed by certain of our direct, domestic wholly-owned subsidiaries. The Credit Agreement matures on December 22, 2025. See Note 9 to the Consolidated Financial Statements for a detailed discussion regarding our Credit Agreement.</w:t>
      </w:r>
    </w:p>
    <w:p>
      <w:pPr>
        <w:spacing w:after="0" w:line="192"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8"/>
          <w:szCs w:val="18"/>
          <w:color w:val="auto"/>
        </w:rPr>
        <w:t>As of June 30, 2021, the interest rate on our borrowings was 3.0%, and our available borrowing capacity under the revolving line of credit was $19.6 million. We are compliant with all covenants under the Credit Agreement as of June 30, 2021.</w:t>
      </w:r>
    </w:p>
    <w:p>
      <w:pPr>
        <w:spacing w:after="0" w:line="180" w:lineRule="exact"/>
        <w:rPr>
          <w:sz w:val="20"/>
          <w:szCs w:val="20"/>
          <w:color w:val="auto"/>
        </w:rPr>
      </w:pPr>
    </w:p>
    <w:p>
      <w:pPr>
        <w:jc w:val="both"/>
        <w:ind w:left="300" w:firstLine="319"/>
        <w:spacing w:after="0" w:line="270" w:lineRule="auto"/>
        <w:rPr>
          <w:sz w:val="20"/>
          <w:szCs w:val="20"/>
          <w:color w:val="auto"/>
        </w:rPr>
      </w:pPr>
      <w:r>
        <w:rPr>
          <w:rFonts w:ascii="Arial" w:cs="Arial" w:eastAsia="Arial" w:hAnsi="Arial"/>
          <w:sz w:val="17"/>
          <w:szCs w:val="17"/>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CASH FLOW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Cash provided by operating activities</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used in investing activities</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used in financing activities</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Effect of exchange rate changes on cash</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Six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r>
      <w:tr>
        <w:trPr>
          <w:trHeight w:val="194"/>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1,805</w:t>
            </w:r>
          </w:p>
        </w:tc>
        <w:tc>
          <w:tcPr>
            <w:tcW w:w="80" w:type="dxa"/>
            <w:vAlign w:val="bottom"/>
          </w:tcPr>
          <w:p>
            <w:pPr>
              <w:spacing w:after="0"/>
              <w:rPr>
                <w:sz w:val="16"/>
                <w:szCs w:val="16"/>
                <w:color w:val="auto"/>
              </w:rPr>
            </w:pPr>
          </w:p>
        </w:tc>
        <w:tc>
          <w:tcPr>
            <w:tcW w:w="340" w:type="dxa"/>
            <w:vAlign w:val="bottom"/>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5,244</w:t>
            </w:r>
          </w:p>
        </w:tc>
      </w:tr>
      <w:tr>
        <w:trPr>
          <w:trHeight w:val="213"/>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13"/>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(10,371)</w:t>
            </w:r>
          </w:p>
        </w:tc>
      </w:tr>
      <w:tr>
        <w:trPr>
          <w:trHeight w:val="225"/>
        </w:trPr>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7"/>
        </w:trPr>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-709295</wp:posOffset>
            </wp:positionV>
            <wp:extent cx="570547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-438785</wp:posOffset>
            </wp:positionV>
            <wp:extent cx="570547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5475" cy="13525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-160020</wp:posOffset>
            </wp:positionV>
            <wp:extent cx="5705475" cy="160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5475" cy="16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960"/>
          </w:cols>
          <w:pgMar w:left="320" w:top="127" w:right="339" w:bottom="1440" w:gutter="0" w:footer="0" w:header="0"/>
          <w:type w:val="continuous"/>
        </w:sectPr>
      </w:pPr>
    </w:p>
    <w:p>
      <w:pPr>
        <w:spacing w:after="0" w:line="1"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Cash provided by operations was $1.8 million and $5.2 million for the six months ended June 30, 2021 and 2020, respectively. Cash flow from operations for the six months ended June 30, 2021, was lower than the prior year period due to variable compensation paid in 2021 and higher levels of working capital due to sales growth. Cash flow from operations for the six months ended June 30, 2020 was positively impacted by reductions in working capital due to lower revenue and management efforts to offset the initial significant negative impacts that the COVID-19 pandemic had on revenue.</w:t>
      </w:r>
    </w:p>
    <w:p>
      <w:pPr>
        <w:spacing w:after="0" w:line="160" w:lineRule="exact"/>
        <w:rPr>
          <w:sz w:val="20"/>
          <w:szCs w:val="20"/>
          <w:color w:val="auto"/>
        </w:rPr>
      </w:pPr>
    </w:p>
    <w:p>
      <w:pPr>
        <w:ind w:left="300" w:right="380" w:firstLine="319"/>
        <w:spacing w:after="0" w:line="266" w:lineRule="auto"/>
        <w:rPr>
          <w:sz w:val="20"/>
          <w:szCs w:val="20"/>
          <w:color w:val="auto"/>
        </w:rPr>
      </w:pPr>
      <w:r>
        <w:rPr>
          <w:rFonts w:ascii="Arial" w:cs="Arial" w:eastAsia="Arial" w:hAnsi="Arial"/>
          <w:sz w:val="18"/>
          <w:szCs w:val="18"/>
          <w:color w:val="auto"/>
        </w:rPr>
        <w:t>Cash used in investing activities was $0.5 million for each of the six months ended June 30, 2021 and 2020, respectively, primarily consisting of capital expenditures.</w:t>
      </w:r>
    </w:p>
    <w:p>
      <w:pPr>
        <w:spacing w:after="0" w:line="180" w:lineRule="exact"/>
        <w:rPr>
          <w:sz w:val="20"/>
          <w:szCs w:val="20"/>
          <w:color w:val="auto"/>
        </w:rPr>
      </w:pPr>
    </w:p>
    <w:p>
      <w:pPr>
        <w:jc w:val="both"/>
        <w:ind w:left="300" w:firstLine="319"/>
        <w:spacing w:after="0" w:line="270" w:lineRule="auto"/>
        <w:rPr>
          <w:sz w:val="20"/>
          <w:szCs w:val="20"/>
          <w:color w:val="auto"/>
        </w:rPr>
      </w:pPr>
      <w:r>
        <w:rPr>
          <w:rFonts w:ascii="Arial" w:cs="Arial" w:eastAsia="Arial" w:hAnsi="Arial"/>
          <w:sz w:val="17"/>
          <w:szCs w:val="17"/>
          <w:color w:val="auto"/>
        </w:rPr>
        <w:t>Cash used in financing activities was $3.3 million and $10.3 million for the six months ended June 30, 2021 and 2020, respectively. During the six months ended June 30, 2021, we repaid $5.0 million of debt, which included a term loan installment payment of $1.0 million and paydown of debt under our revolving facility of $4.0 million, we received proceeds of $2.8 million from the exercise of stock options and we paid $1.0 million for taxes related to net share settlement of equity awards. During the six months ended June 30, 2020, we repaid $10.3 million of debt, which included a term loan installment payment of $1.6 million, and an excess cash flow payment of $4.0 million.</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Impact of Foreign Currencies</w:t>
      </w:r>
    </w:p>
    <w:p>
      <w:pPr>
        <w:spacing w:after="0" w:line="225" w:lineRule="exact"/>
        <w:rPr>
          <w:sz w:val="20"/>
          <w:szCs w:val="20"/>
          <w:color w:val="auto"/>
        </w:rPr>
      </w:pPr>
    </w:p>
    <w:p>
      <w:pPr>
        <w:jc w:val="both"/>
        <w:ind w:left="300" w:firstLine="319"/>
        <w:spacing w:after="0" w:line="330"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33"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During the three months ended June 30, 2021, changes in foreign currency exchange rates resulted in a favorable translation effect on our consolidated revenues of approximately $1.0 million and an unfavorable effect on expenses of approximately $0.9 million. During the six months ended June 30, 2021, changes in foreign currency exchange rates resulted in a favorable translation effect on our consolidated revenues of approximately $1.8 million and an unfavorable effect on expenses of approximately $1.7 million.</w:t>
      </w:r>
    </w:p>
    <w:p>
      <w:pPr>
        <w:spacing w:after="0" w:line="192"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The gain associated with the translation of foreign equity into U.S. dollars included as a component of comprehensive income (loss) during the three months ended June 30 2021 was approximately $0.5 million, compared to a gain of $0.7 million for the three months ended June 31, 2020. The loss associated with the translation of foreign equity into U.S. dollars included as a component of comprehensive income (loss) during the six months ended June 31, 2021 was approximately $(0.8) million, compared to a loss of $(1.0) million for the six months ended June 30, 2020.</w:t>
      </w:r>
    </w:p>
    <w:p>
      <w:pPr>
        <w:spacing w:after="0" w:line="160" w:lineRule="exact"/>
        <w:rPr>
          <w:sz w:val="20"/>
          <w:szCs w:val="20"/>
          <w:color w:val="auto"/>
        </w:rPr>
      </w:pPr>
    </w:p>
    <w:p>
      <w:pPr>
        <w:jc w:val="both"/>
        <w:ind w:left="300" w:firstLine="319"/>
        <w:spacing w:after="0" w:line="256" w:lineRule="auto"/>
        <w:rPr>
          <w:sz w:val="20"/>
          <w:szCs w:val="20"/>
          <w:color w:val="auto"/>
        </w:rPr>
      </w:pPr>
      <w:r>
        <w:rPr>
          <w:rFonts w:ascii="Arial" w:cs="Arial" w:eastAsia="Arial" w:hAnsi="Arial"/>
          <w:sz w:val="18"/>
          <w:szCs w:val="18"/>
          <w:color w:val="auto"/>
        </w:rPr>
        <w:t>In addition, currency exchange rate fluctuations included as a component of net income resulted in currency gains (losses) of approximately $(0.2) million and $(0.1) million during each of the three months ended June 30, 2021 and 2020, and currency gains (losses) of $(0.1) million and $0.1 million during each of the six months ended June 30, 2021 and 2020, respectively.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left="300" w:right="560" w:firstLine="319"/>
        <w:spacing w:after="0" w:line="266"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2020.</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5" w:lineRule="exact"/>
        <w:rPr>
          <w:sz w:val="20"/>
          <w:szCs w:val="20"/>
          <w:color w:val="auto"/>
        </w:rPr>
      </w:pPr>
    </w:p>
    <w:p>
      <w:pPr>
        <w:ind w:left="300" w:firstLine="319"/>
        <w:spacing w:after="0" w:line="266"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Consolidated Financial Statements included in “Part I, Item 1. Financial Statement” of this report.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9" w:lineRule="exact"/>
        <w:rPr>
          <w:sz w:val="20"/>
          <w:szCs w:val="20"/>
          <w:color w:val="auto"/>
        </w:rPr>
      </w:pPr>
    </w:p>
    <w:p>
      <w:pPr>
        <w:jc w:val="both"/>
        <w:ind w:left="300" w:firstLine="319"/>
        <w:spacing w:after="0" w:line="267" w:lineRule="auto"/>
        <w:rPr>
          <w:sz w:val="20"/>
          <w:szCs w:val="20"/>
          <w:color w:val="auto"/>
        </w:rPr>
      </w:pPr>
      <w:r>
        <w:rPr>
          <w:rFonts w:ascii="Arial" w:cs="Arial" w:eastAsia="Arial" w:hAnsi="Arial"/>
          <w:sz w:val="17"/>
          <w:szCs w:val="17"/>
          <w:color w:val="auto"/>
        </w:rPr>
        <w:t>As of June 30, 2021,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9" w:lineRule="exact"/>
        <w:rPr>
          <w:sz w:val="20"/>
          <w:szCs w:val="20"/>
          <w:color w:val="auto"/>
        </w:rPr>
      </w:pPr>
    </w:p>
    <w:p>
      <w:pPr>
        <w:jc w:val="both"/>
        <w:ind w:left="300" w:firstLine="319"/>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fiscal 2021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9" w:lineRule="exact"/>
        <w:rPr>
          <w:sz w:val="20"/>
          <w:szCs w:val="20"/>
          <w:color w:val="auto"/>
        </w:rPr>
      </w:pPr>
    </w:p>
    <w:p>
      <w:pPr>
        <w:jc w:val="both"/>
        <w:ind w:left="300" w:firstLine="319"/>
        <w:spacing w:after="0" w:line="295" w:lineRule="auto"/>
        <w:rPr>
          <w:sz w:val="20"/>
          <w:szCs w:val="20"/>
          <w:color w:val="auto"/>
        </w:rPr>
      </w:pPr>
      <w:r>
        <w:rPr>
          <w:rFonts w:ascii="Arial" w:cs="Arial" w:eastAsia="Arial" w:hAnsi="Arial"/>
          <w:sz w:val="16"/>
          <w:szCs w:val="16"/>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OTHER INFORMATION</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08" w:lineRule="exact"/>
        <w:rPr>
          <w:sz w:val="20"/>
          <w:szCs w:val="20"/>
          <w:color w:val="auto"/>
        </w:rPr>
      </w:pPr>
    </w:p>
    <w:p>
      <w:pPr>
        <w:ind w:left="300" w:right="340" w:firstLine="319"/>
        <w:spacing w:after="0" w:line="266" w:lineRule="auto"/>
        <w:rPr>
          <w:sz w:val="20"/>
          <w:szCs w:val="20"/>
          <w:color w:val="auto"/>
        </w:rPr>
      </w:pPr>
      <w:r>
        <w:rPr>
          <w:rFonts w:ascii="Arial" w:cs="Arial" w:eastAsia="Arial" w:hAnsi="Arial"/>
          <w:sz w:val="18"/>
          <w:szCs w:val="18"/>
          <w:color w:val="auto"/>
        </w:rPr>
        <w:t>The information included in Note 13 to the Condensed Consolidated Financial Statements (Unaudited) included in Part I, Item 1 of this quarterly report is incorporated herein by reference.</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25" w:lineRule="exact"/>
        <w:rPr>
          <w:sz w:val="20"/>
          <w:szCs w:val="20"/>
          <w:color w:val="auto"/>
        </w:rPr>
      </w:pPr>
    </w:p>
    <w:p>
      <w:pPr>
        <w:jc w:val="both"/>
        <w:ind w:left="300" w:firstLine="319"/>
        <w:spacing w:after="0" w:line="251" w:lineRule="auto"/>
        <w:rPr>
          <w:sz w:val="20"/>
          <w:szCs w:val="20"/>
          <w:color w:val="auto"/>
        </w:rPr>
      </w:pPr>
      <w:r>
        <w:rPr>
          <w:rFonts w:ascii="Arial" w:cs="Arial" w:eastAsia="Arial" w:hAnsi="Arial"/>
          <w:sz w:val="18"/>
          <w:szCs w:val="18"/>
          <w:color w:val="auto"/>
        </w:rPr>
        <w:t>You should carefully consider the risk factors set forth below together with the risk factors discussed in Part I, “Item 1A. Risk Factors” in our Annual Report on Form 10-K for the fiscal year ended December 31, 2020, which could materially affect our business, financial position, or future results of operations. The risks described below and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96" w:lineRule="exact"/>
        <w:rPr>
          <w:sz w:val="20"/>
          <w:szCs w:val="20"/>
          <w:color w:val="auto"/>
        </w:rPr>
      </w:pPr>
    </w:p>
    <w:p>
      <w:pPr>
        <w:jc w:val="both"/>
        <w:ind w:left="300" w:right="20" w:firstLine="319"/>
        <w:spacing w:after="0" w:line="330"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w:t>
      </w:r>
      <w:r>
        <w:rPr>
          <w:rFonts w:ascii="Arial" w:cs="Arial" w:eastAsia="Arial" w:hAnsi="Arial"/>
          <w:sz w:val="16"/>
          <w:szCs w:val="16"/>
          <w:color w:val="auto"/>
        </w:rPr>
        <w:t>’</w:t>
      </w:r>
      <w:r>
        <w:rPr>
          <w:rFonts w:ascii="Arial" w:cs="Arial" w:eastAsia="Arial" w:hAnsi="Arial"/>
          <w:sz w:val="16"/>
          <w:szCs w:val="16"/>
          <w:b w:val="1"/>
          <w:bCs w:val="1"/>
          <w:i w:val="1"/>
          <w:iCs w:val="1"/>
          <w:color w:val="auto"/>
        </w:rPr>
        <w:t>s liabilities, including liabilities that Biostage has assumed from us.</w:t>
      </w:r>
    </w:p>
    <w:p>
      <w:pPr>
        <w:spacing w:after="0" w:line="133" w:lineRule="exact"/>
        <w:rPr>
          <w:sz w:val="20"/>
          <w:szCs w:val="20"/>
          <w:color w:val="auto"/>
        </w:rPr>
      </w:pPr>
    </w:p>
    <w:p>
      <w:pPr>
        <w:jc w:val="both"/>
        <w:ind w:left="300" w:firstLine="319"/>
        <w:spacing w:after="0" w:line="288" w:lineRule="auto"/>
        <w:rPr>
          <w:sz w:val="20"/>
          <w:szCs w:val="20"/>
          <w:color w:val="auto"/>
        </w:rPr>
      </w:pPr>
      <w:r>
        <w:rPr>
          <w:rFonts w:ascii="Arial" w:cs="Arial" w:eastAsia="Arial" w:hAnsi="Arial"/>
          <w:sz w:val="16"/>
          <w:szCs w:val="16"/>
          <w:color w:val="auto"/>
        </w:rPr>
        <w:t>Third parties may continue to seek to hold us responsible for Biostage’s liabilities, including any of the liabilities that Biostage agreed to retain or assume in connection with the separation of the Biostage business from our businesses, and related spin-off distribution. On April 14, 2017,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66" w:lineRule="exact"/>
        <w:rPr>
          <w:sz w:val="20"/>
          <w:szCs w:val="20"/>
          <w:color w:val="auto"/>
        </w:rPr>
      </w:pPr>
    </w:p>
    <w:p>
      <w:pPr>
        <w:jc w:val="both"/>
        <w:ind w:left="300" w:firstLine="319"/>
        <w:spacing w:after="0" w:line="266" w:lineRule="auto"/>
        <w:rPr>
          <w:sz w:val="20"/>
          <w:szCs w:val="20"/>
          <w:color w:val="auto"/>
        </w:rPr>
      </w:pPr>
      <w:r>
        <w:rPr>
          <w:rFonts w:ascii="Arial" w:cs="Arial" w:eastAsia="Arial" w:hAnsi="Arial"/>
          <w:sz w:val="17"/>
          <w:szCs w:val="17"/>
          <w:color w:val="auto"/>
        </w:rPr>
        <w:t>On October 1, 2019, the Court entered an order granting plaintiffs’ motion to compel the defendant to produce discovery. Subsequently, the plaintiffs filed a motion for sanctions against us on January 6, 2020 claiming failure to produce. Our counsel at the time, which had been selected for the case by our liability insurance carrier, never notified us of plaintiffs’ motion and never responded to plaintiffs’ motion. As a result of the failure of our former counsel to respond, on January 29, 2020, the Court entered an order allowing plaintiffs’ sanctions against us and the other defendants, which establishes a sanction of admitted liability. In June 2021, we were informed of these 2019 and 2020 court actions by new defense counsel appointed by our liability insurance carrier. On June 9, 2021, we, together with the other defendants, filed a motion to vacate the Court’s order allowing plaintiffs’ motion for sanctions. On August 3, 2021, the Court held a hearing on the defendants' motion to vacate but no ruling on the motion has been made. We continue to actively fight the damages in this case.</w:t>
      </w:r>
    </w:p>
    <w:p>
      <w:pPr>
        <w:spacing w:after="0" w:line="184" w:lineRule="exact"/>
        <w:rPr>
          <w:sz w:val="20"/>
          <w:szCs w:val="20"/>
          <w:color w:val="auto"/>
        </w:rPr>
      </w:pPr>
    </w:p>
    <w:p>
      <w:pPr>
        <w:jc w:val="both"/>
        <w:ind w:left="300" w:firstLine="319"/>
        <w:spacing w:after="0" w:line="282" w:lineRule="auto"/>
        <w:rPr>
          <w:sz w:val="20"/>
          <w:szCs w:val="20"/>
          <w:color w:val="auto"/>
        </w:rPr>
      </w:pPr>
      <w:r>
        <w:rPr>
          <w:rFonts w:ascii="Arial" w:cs="Arial" w:eastAsia="Arial" w:hAnsi="Arial"/>
          <w:sz w:val="16"/>
          <w:szCs w:val="16"/>
          <w:color w:val="auto"/>
        </w:rPr>
        <w:t>While we believe that claims made in this lawsuit are without merit and that there are strong grounds to vacate the sanctions, unless the sanctions award is vacated, we could face a trial on damages. If the sanctions award is vacated, we will have the opportunity to contest the underlying claims at trial and, while there can be no assurance of prevailing, we believe those claims lack merit. If we face a trial on damages, whether as a result of the sanctions or following a loss on the merits, we do not know the exact amount of compensatory and, potentially, punitive damages that could be awarded. In all events, we believe that available product liability insurance coverage will be available for all or a significant portion of such damages, although there can be no assurance that the damages awarded will be within the limits of the insurance. We are also evaluating possible malpractice claims as an additional source of recovery. We cannot provide assurance that any losses will not exceed such recoveries. Further, while Biostage has agreed to indemnify us for claims and losses relating to certain liabilities that it has assumed from us, including liabilities in connection with the sale of Biostage’s products and other liabilities related to the operation of Biostage’s business. we cannot assure you that Biostage will have the ability to indemnify us against the liabilities we may incur in this lawsuit, in particular due to Biostage having limited revenues, products in early-stage development, a need for additional funds in the future and its overall financial condition. If Biostage is unable to satisfy its obligations under its indemnity to us, we may have to satisfy the liabilities in this lawsuit, which could have an adverse impact on our financial condition, results of operations or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r>
        <w:rPr>
          <w:rFonts w:ascii="Arial" w:cs="Arial" w:eastAsia="Arial" w:hAnsi="Arial"/>
          <w:sz w:val="14"/>
          <w:szCs w:val="14"/>
          <w:b w:val="1"/>
          <w:bCs w:val="1"/>
          <w:i w:val="1"/>
          <w:iCs w:val="1"/>
          <w:color w:val="auto"/>
        </w:rPr>
        <w:t>.</w:t>
      </w:r>
    </w:p>
    <w:p>
      <w:pPr>
        <w:spacing w:after="0" w:line="208"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Not applicable.</w:t>
      </w:r>
    </w:p>
    <w:p>
      <w:pPr>
        <w:spacing w:after="0" w:line="17" w:lineRule="exact"/>
        <w:rPr>
          <w:sz w:val="20"/>
          <w:szCs w:val="20"/>
          <w:color w:val="auto"/>
        </w:rPr>
      </w:pPr>
    </w:p>
    <w:p>
      <w:pPr>
        <w:jc w:val="center"/>
        <w:ind w:right="8800"/>
        <w:spacing w:after="0"/>
        <w:tabs>
          <w:tab w:leader="none" w:pos="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760" w:type="dxa"/>
            <w:vAlign w:val="bottom"/>
            <w:gridSpan w:val="9"/>
          </w:tcPr>
          <w:p>
            <w:pPr>
              <w:ind w:left="200"/>
              <w:spacing w:after="0"/>
              <w:rPr>
                <w:sz w:val="20"/>
                <w:szCs w:val="20"/>
                <w:color w:val="auto"/>
              </w:rPr>
            </w:pPr>
            <w:r>
              <w:rPr>
                <w:rFonts w:ascii="Arial" w:cs="Arial" w:eastAsia="Arial" w:hAnsi="Arial"/>
                <w:sz w:val="18"/>
                <w:szCs w:val="18"/>
                <w:color w:val="auto"/>
              </w:rPr>
              <w:t>None.</w:t>
            </w:r>
          </w:p>
        </w:tc>
      </w:tr>
      <w:tr>
        <w:trPr>
          <w:trHeight w:val="230"/>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8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5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40" w:type="dxa"/>
            <w:vAlign w:val="bottom"/>
            <w:tcBorders>
              <w:bottom w:val="single" w:sz="8" w:color="0000EE"/>
            </w:tcBorders>
            <w:gridSpan w:val="4"/>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Harvard Bioscience, Inc. 2021 Incentive Plan (previously filed as an exhibit to the Company’s Current Report on Form 8-K (filed May 19,</w:t>
              </w:r>
            </w:hyperlink>
          </w:p>
        </w:tc>
        <w:tc>
          <w:tcPr>
            <w:tcW w:w="360" w:type="dxa"/>
            <w:vAlign w:val="bottom"/>
            <w:gridSpan w:val="3"/>
          </w:tcPr>
          <w:p>
            <w:pPr>
              <w:spacing w:after="0"/>
              <w:rPr>
                <w:sz w:val="24"/>
                <w:szCs w:val="24"/>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0" w:type="dxa"/>
            <w:vAlign w:val="bottom"/>
            <w:gridSpan w:val="7"/>
          </w:tcPr>
          <w:p>
            <w:pPr>
              <w:spacing w:after="0" w:line="193" w:lineRule="exact"/>
              <w:rPr>
                <w:rFonts w:ascii="Arial" w:cs="Arial" w:eastAsia="Arial" w:hAnsi="Arial"/>
                <w:sz w:val="18"/>
                <w:szCs w:val="18"/>
                <w:color w:val="0000EE"/>
              </w:rPr>
            </w:pPr>
            <w:hyperlink r:id="rId51">
              <w:r>
                <w:rPr>
                  <w:rFonts w:ascii="Arial" w:cs="Arial" w:eastAsia="Arial" w:hAnsi="Arial"/>
                  <w:sz w:val="18"/>
                  <w:szCs w:val="18"/>
                  <w:color w:val="0000EE"/>
                </w:rPr>
                <w:t>2021) and incorporated by reference thereto).</w:t>
              </w:r>
            </w:hyperlink>
          </w:p>
        </w:tc>
      </w:tr>
      <w:tr>
        <w:trPr>
          <w:trHeight w:val="20"/>
        </w:trPr>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320" w:type="dxa"/>
            <w:vAlign w:val="bottom"/>
            <w:tcBorders>
              <w:bottom w:val="single" w:sz="8" w:color="0000EE"/>
            </w:tcBorders>
          </w:tcPr>
          <w:p>
            <w:pPr>
              <w:spacing w:after="0" w:line="193"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80" w:type="dxa"/>
            <w:vAlign w:val="bottom"/>
            <w:tcBorders>
              <w:bottom w:val="single" w:sz="8" w:color="0000EE"/>
            </w:tcBorders>
            <w:gridSpan w:val="6"/>
          </w:tcPr>
          <w:p>
            <w:pPr>
              <w:spacing w:after="0" w:line="193"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 of Chief Financial Officer of Harvard Bioscience, Inc., pursuant to Rules 13a-14(a) and 15d-14(a), as adopted pursuant to Section</w:t>
              </w:r>
            </w:hyperlink>
          </w:p>
        </w:tc>
        <w:tc>
          <w:tcPr>
            <w:tcW w:w="20" w:type="dxa"/>
            <w:vAlign w:val="bottom"/>
          </w:tcPr>
          <w:p>
            <w:pPr>
              <w:spacing w:after="0"/>
              <w:rPr>
                <w:sz w:val="16"/>
                <w:szCs w:val="16"/>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bottom w:val="single" w:sz="8" w:color="0000EE"/>
            </w:tcBorders>
            <w:gridSpan w:val="2"/>
          </w:tcPr>
          <w:p>
            <w:pPr>
              <w:spacing w:after="0" w:line="193"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302 of the Sarbanes-Oxley Act of 2002.</w:t>
              </w:r>
            </w:hyperlink>
          </w:p>
        </w:tc>
        <w:tc>
          <w:tcPr>
            <w:tcW w:w="7360" w:type="dxa"/>
            <w:vAlign w:val="bottom"/>
            <w:gridSpan w:val="5"/>
          </w:tcPr>
          <w:p>
            <w:pPr>
              <w:spacing w:after="0"/>
              <w:rPr>
                <w:sz w:val="16"/>
                <w:szCs w:val="16"/>
                <w:color w:val="auto"/>
              </w:rPr>
            </w:pPr>
          </w:p>
        </w:tc>
      </w:tr>
      <w:tr>
        <w:trPr>
          <w:trHeight w:val="193"/>
        </w:trPr>
        <w:tc>
          <w:tcPr>
            <w:tcW w:w="400" w:type="dxa"/>
            <w:vAlign w:val="bottom"/>
            <w:gridSpan w:val="2"/>
          </w:tcPr>
          <w:p>
            <w:pPr>
              <w:spacing w:after="0" w:line="193"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0" w:type="dxa"/>
            <w:vAlign w:val="bottom"/>
            <w:gridSpan w:val="7"/>
          </w:tcPr>
          <w:p>
            <w:pPr>
              <w:spacing w:after="0" w:line="193"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Certification of Chief Executive Officer of Harvard Bioscience, Inc., pursuant to Rules 13a-14(a) and 15d-14(a), as adopted pursuant to Section</w:t>
              </w:r>
            </w:hyperlink>
          </w:p>
        </w:tc>
      </w:tr>
      <w:tr>
        <w:trPr>
          <w:trHeight w:val="193"/>
        </w:trPr>
        <w:tc>
          <w:tcPr>
            <w:tcW w:w="3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302 of the Sarbanes-Oxley Act of 2002.</w:t>
              </w:r>
            </w:hyperlink>
          </w:p>
        </w:tc>
        <w:tc>
          <w:tcPr>
            <w:tcW w:w="7360" w:type="dxa"/>
            <w:vAlign w:val="bottom"/>
            <w:tcBorders>
              <w:top w:val="single" w:sz="8" w:color="0000EE"/>
            </w:tcBorders>
            <w:gridSpan w:val="5"/>
          </w:tcPr>
          <w:p>
            <w:pPr>
              <w:spacing w:after="0"/>
              <w:rPr>
                <w:sz w:val="16"/>
                <w:szCs w:val="16"/>
                <w:color w:val="auto"/>
              </w:rPr>
            </w:pPr>
          </w:p>
        </w:tc>
      </w:tr>
      <w:tr>
        <w:trPr>
          <w:trHeight w:val="193"/>
        </w:trPr>
        <w:tc>
          <w:tcPr>
            <w:tcW w:w="400" w:type="dxa"/>
            <w:vAlign w:val="bottom"/>
            <w:tcBorders>
              <w:bottom w:val="single" w:sz="8" w:color="0000EE"/>
            </w:tcBorders>
            <w:gridSpan w:val="2"/>
          </w:tcPr>
          <w:p>
            <w:pPr>
              <w:spacing w:after="0" w:line="193"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60" w:type="dxa"/>
            <w:vAlign w:val="bottom"/>
            <w:tcBorders>
              <w:bottom w:val="single" w:sz="8" w:color="0000EE"/>
            </w:tcBorders>
            <w:gridSpan w:val="5"/>
          </w:tcPr>
          <w:p>
            <w:pPr>
              <w:spacing w:after="0" w:line="193"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Chief Financial Officer of Harvard Bioscience, Inc., pursuant to 18 U.S.C. Section 1350, as adopted pursuant to Section 906 of</w:t>
              </w:r>
            </w:hyperlink>
          </w:p>
        </w:tc>
        <w:tc>
          <w:tcPr>
            <w:tcW w:w="40" w:type="dxa"/>
            <w:vAlign w:val="bottom"/>
            <w:gridSpan w:val="2"/>
          </w:tcPr>
          <w:p>
            <w:pPr>
              <w:spacing w:after="0"/>
              <w:rPr>
                <w:sz w:val="16"/>
                <w:szCs w:val="16"/>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tcBorders>
              <w:bottom w:val="single" w:sz="8" w:color="0000EE"/>
            </w:tcBorders>
          </w:tcPr>
          <w:p>
            <w:pPr>
              <w:spacing w:after="0" w:line="193"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the Sarbanes-Oxley Act of 2002.</w:t>
              </w:r>
            </w:hyperlink>
          </w:p>
        </w:tc>
        <w:tc>
          <w:tcPr>
            <w:tcW w:w="7860" w:type="dxa"/>
            <w:vAlign w:val="bottom"/>
            <w:gridSpan w:val="6"/>
          </w:tcPr>
          <w:p>
            <w:pPr>
              <w:spacing w:after="0"/>
              <w:rPr>
                <w:sz w:val="16"/>
                <w:szCs w:val="16"/>
                <w:color w:val="auto"/>
              </w:rPr>
            </w:pPr>
          </w:p>
        </w:tc>
      </w:tr>
      <w:tr>
        <w:trPr>
          <w:trHeight w:val="193"/>
        </w:trPr>
        <w:tc>
          <w:tcPr>
            <w:tcW w:w="400" w:type="dxa"/>
            <w:vAlign w:val="bottom"/>
            <w:tcBorders>
              <w:bottom w:val="single" w:sz="8" w:color="0000EE"/>
            </w:tcBorders>
            <w:gridSpan w:val="2"/>
          </w:tcPr>
          <w:p>
            <w:pPr>
              <w:spacing w:after="0" w:line="193"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2*</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0" w:type="dxa"/>
            <w:vAlign w:val="bottom"/>
            <w:tcBorders>
              <w:bottom w:val="single" w:sz="8" w:color="0000EE"/>
            </w:tcBorders>
            <w:gridSpan w:val="7"/>
          </w:tcPr>
          <w:p>
            <w:pPr>
              <w:spacing w:after="0" w:line="193"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Chief Executive Officer of Harvard Bioscience, Inc., pursuant to 18 U.S.C. Section 1350, as adopted pursuant to Section 906 of</w:t>
              </w:r>
            </w:hyperlink>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tcBorders>
              <w:bottom w:val="single" w:sz="8" w:color="0000EE"/>
            </w:tcBorders>
          </w:tcPr>
          <w:p>
            <w:pPr>
              <w:spacing w:after="0" w:line="193"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the Sarbanes-Oxley Act of 2002.</w:t>
              </w:r>
            </w:hyperlink>
          </w:p>
        </w:tc>
        <w:tc>
          <w:tcPr>
            <w:tcW w:w="7860" w:type="dxa"/>
            <w:vAlign w:val="bottom"/>
            <w:gridSpan w:val="6"/>
          </w:tcPr>
          <w:p>
            <w:pPr>
              <w:spacing w:after="0"/>
              <w:rPr>
                <w:sz w:val="16"/>
                <w:szCs w:val="16"/>
                <w:color w:val="auto"/>
              </w:rPr>
            </w:pPr>
          </w:p>
        </w:tc>
      </w:tr>
      <w:tr>
        <w:trPr>
          <w:trHeight w:val="221"/>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213"/>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3"/>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3"/>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3"/>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13"/>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ind w:left="960" w:right="80" w:hanging="954"/>
        <w:spacing w:after="0" w:line="250"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5" w:name="page26"/>
    <w:bookmarkEnd w:id="25"/>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320" w:firstLine="479"/>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HARVARD BIOSCIENCE, INC.</w:t>
      </w:r>
    </w:p>
    <w:p>
      <w:pPr>
        <w:spacing w:after="0" w:line="219" w:lineRule="exact"/>
        <w:rPr>
          <w:sz w:val="20"/>
          <w:szCs w:val="20"/>
          <w:color w:val="auto"/>
        </w:rPr>
      </w:pPr>
    </w:p>
    <w:tbl>
      <w:tblPr>
        <w:tblLayout w:type="fixed"/>
        <w:tblInd w:w="5400" w:type="dxa"/>
        <w:tblCellMar>
          <w:top w:w="0" w:type="dxa"/>
          <w:left w:w="0" w:type="dxa"/>
          <w:bottom w:w="0" w:type="dxa"/>
          <w:right w:w="0" w:type="dxa"/>
        </w:tblCellMar>
      </w:tblPr>
      <w:tr>
        <w:trPr>
          <w:trHeight w:val="22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JAMES GREEN</w:t>
            </w:r>
          </w:p>
        </w:tc>
      </w:tr>
      <w:tr>
        <w:trPr>
          <w:trHeight w:val="195"/>
        </w:trPr>
        <w:tc>
          <w:tcPr>
            <w:tcW w:w="48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83"/>
              </w:rPr>
              <w:t>James Green</w:t>
            </w:r>
          </w:p>
        </w:tc>
      </w:tr>
      <w:tr>
        <w:trPr>
          <w:trHeight w:val="224"/>
        </w:trPr>
        <w:tc>
          <w:tcPr>
            <w:tcW w:w="4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42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A. ROSSI</w:t>
            </w:r>
          </w:p>
        </w:tc>
      </w:tr>
      <w:tr>
        <w:trPr>
          <w:trHeight w:val="195"/>
        </w:trPr>
        <w:tc>
          <w:tcPr>
            <w:tcW w:w="48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2"/>
              </w:rPr>
              <w:t>Michael A. Rossi</w:t>
            </w:r>
          </w:p>
        </w:tc>
      </w:tr>
      <w:tr>
        <w:trPr>
          <w:trHeight w:val="224"/>
        </w:trPr>
        <w:tc>
          <w:tcPr>
            <w:tcW w:w="4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426"/>
        </w:trPr>
        <w:tc>
          <w:tcPr>
            <w:tcW w:w="48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3420" w:type="dxa"/>
            <w:vAlign w:val="bottom"/>
          </w:tcPr>
          <w:p>
            <w:pPr>
              <w:spacing w:after="0"/>
              <w:rPr>
                <w:sz w:val="24"/>
                <w:szCs w:val="24"/>
                <w:color w:val="auto"/>
              </w:rPr>
            </w:pPr>
          </w:p>
        </w:tc>
      </w:tr>
    </w:tbl>
    <w:p>
      <w:pPr>
        <w:sectPr>
          <w:pgSz w:w="11900" w:h="16838" w:orient="portrait"/>
          <w:cols w:equalWidth="0" w:num="1">
            <w:col w:w="10660"/>
          </w:cols>
          <w:pgMar w:left="300" w:top="574" w:right="9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19" w:lineRule="exact"/>
        <w:rPr>
          <w:sz w:val="20"/>
          <w:szCs w:val="20"/>
          <w:color w:val="auto"/>
        </w:rPr>
      </w:pPr>
    </w:p>
    <w:p>
      <w:pPr>
        <w:ind w:left="180" w:hanging="174"/>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18" w:lineRule="exact"/>
        <w:rPr>
          <w:rFonts w:ascii="Arial" w:cs="Arial" w:eastAsia="Arial" w:hAnsi="Arial"/>
          <w:sz w:val="18"/>
          <w:szCs w:val="18"/>
          <w:color w:val="auto"/>
        </w:rPr>
      </w:pPr>
    </w:p>
    <w:p>
      <w:pPr>
        <w:ind w:firstLine="6"/>
        <w:spacing w:after="0" w:line="330" w:lineRule="auto"/>
        <w:tabs>
          <w:tab w:leader="none" w:pos="2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firstLine="6"/>
        <w:spacing w:after="0" w:line="266" w:lineRule="auto"/>
        <w:tabs>
          <w:tab w:leader="none" w:pos="1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firstLine="6"/>
        <w:spacing w:after="0" w:line="256" w:lineRule="auto"/>
        <w:tabs>
          <w:tab w:leader="none" w:pos="2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firstLine="486"/>
        <w:spacing w:after="0" w:line="256" w:lineRule="auto"/>
        <w:tabs>
          <w:tab w:leader="none" w:pos="6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firstLine="486"/>
        <w:spacing w:after="0" w:line="256" w:lineRule="auto"/>
        <w:tabs>
          <w:tab w:leader="none" w:pos="7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firstLine="486"/>
        <w:spacing w:after="0" w:line="266" w:lineRule="auto"/>
        <w:tabs>
          <w:tab w:leader="none" w:pos="6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firstLine="486"/>
        <w:spacing w:after="0" w:line="256"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firstLine="6"/>
        <w:spacing w:after="0" w:line="296" w:lineRule="auto"/>
        <w:tabs>
          <w:tab w:leader="none" w:pos="1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right="20" w:firstLine="486"/>
        <w:spacing w:after="0" w:line="266" w:lineRule="auto"/>
        <w:tabs>
          <w:tab w:leader="none" w:pos="6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firstLine="486"/>
        <w:spacing w:after="0" w:line="266" w:lineRule="auto"/>
        <w:tabs>
          <w:tab w:leader="none" w:pos="6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MICHAEL A. ROSSI</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A. Rossi</w:t>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19"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18" w:lineRule="exact"/>
        <w:rPr>
          <w:rFonts w:ascii="Arial" w:cs="Arial" w:eastAsia="Arial" w:hAnsi="Arial"/>
          <w:sz w:val="18"/>
          <w:szCs w:val="18"/>
          <w:color w:val="auto"/>
        </w:rPr>
      </w:pPr>
    </w:p>
    <w:p>
      <w:pPr>
        <w:ind w:right="420" w:firstLine="6"/>
        <w:spacing w:after="0" w:line="411" w:lineRule="auto"/>
        <w:tabs>
          <w:tab w:leader="none" w:pos="178"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right="40" w:firstLine="6"/>
        <w:spacing w:after="0" w:line="266" w:lineRule="auto"/>
        <w:tabs>
          <w:tab w:leader="none" w:pos="1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right="200" w:firstLine="6"/>
        <w:spacing w:after="0" w:line="256" w:lineRule="auto"/>
        <w:tabs>
          <w:tab w:leader="none" w:pos="1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right="20" w:firstLine="486"/>
        <w:spacing w:after="0" w:line="256" w:lineRule="auto"/>
        <w:tabs>
          <w:tab w:leader="none" w:pos="6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firstLine="486"/>
        <w:spacing w:after="0" w:line="256"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right="60" w:firstLine="486"/>
        <w:spacing w:after="0" w:line="266" w:lineRule="auto"/>
        <w:tabs>
          <w:tab w:leader="none" w:pos="6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ind w:right="80" w:firstLine="486"/>
        <w:spacing w:after="0" w:line="256"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440" w:firstLine="6"/>
        <w:spacing w:after="0" w:line="330" w:lineRule="auto"/>
        <w:tabs>
          <w:tab w:leader="none" w:pos="1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right="420" w:firstLine="486"/>
        <w:spacing w:after="0" w:line="266" w:lineRule="auto"/>
        <w:tabs>
          <w:tab w:leader="none" w:pos="6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right="20" w:firstLine="486"/>
        <w:spacing w:after="0" w:line="266"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/s/ JAMES GREEN</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Green</w:t>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8" w:name="page29"/>
    <w:bookmarkEnd w:id="28"/>
    <w:p>
      <w:pPr>
        <w:ind w:left="10080"/>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both"/>
        <w:ind w:firstLine="639"/>
        <w:spacing w:after="0" w:line="265"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June 30,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40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MICHAEL A. ROSSI</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A. Rossi</w:t>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both"/>
        <w:ind w:firstLine="479"/>
        <w:spacing w:after="0" w:line="265"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June 30,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40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/s/ JAMES GREEN</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Green</w:t>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1" Type="http://schemas.openxmlformats.org/officeDocument/2006/relationships/hyperlink" Target="http://www.sec.gov/Archives/edgar/data/1123494/000117184321003642/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2021-08-06T15:51:25Z</dcterms:created>
  <dcterms:modified xsi:type="dcterms:W3CDTF">2021-08-06T15:51:25Z</dcterms:modified>
</cp:coreProperties>
</file>