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12</w:t>
      </w:r>
    </w:p>
    <w:p>
      <w:pPr>
        <w:spacing w:after="0" w:line="238" w:lineRule="auto"/>
        <w:rPr>
          <w:sz w:val="20"/>
          <w:szCs w:val="20"/>
          <w:color w:val="auto"/>
        </w:rPr>
      </w:pPr>
      <w:r>
        <w:rPr>
          <w:rFonts w:ascii="Courier New" w:cs="Courier New" w:eastAsia="Courier New" w:hAnsi="Courier New"/>
          <w:sz w:val="18"/>
          <w:szCs w:val="18"/>
          <w:color w:val="auto"/>
        </w:rPr>
        <w:t>Harvard Biosciences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#416906105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#416906105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1,955,947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1,955,947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1,955,947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6.786%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#416906105</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1,955,947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1,955,947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6.786%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Harvard Biosciences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84 October Hill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Holliston, MA</w:t>
      </w:r>
      <w:r>
        <w:rPr>
          <w:sz w:val="20"/>
          <w:szCs w:val="20"/>
          <w:color w:val="auto"/>
        </w:rPr>
        <w:tab/>
      </w:r>
      <w:r>
        <w:rPr>
          <w:rFonts w:ascii="Courier New" w:cs="Courier New" w:eastAsia="Courier New" w:hAnsi="Courier New"/>
          <w:sz w:val="16"/>
          <w:szCs w:val="16"/>
          <w:color w:val="auto"/>
        </w:rPr>
        <w:t>01746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416906105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1,955,947</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6.786%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1,955,947</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1,955,947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Harvard Biosciences Incorporated. No one person's interest in the Common Stock</w:t>
      </w:r>
    </w:p>
    <w:p>
      <w:pPr>
        <w:spacing w:after="0" w:line="5"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Harvard Biosciences Incorporated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1,955,947 shares or 6.786% of the outstanding Common Stock of the Harvard Biosciences Incorporated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1,955,947 shares and sole power to vote or to direct the voting of 1,955,947 shares of Common Stock owned by the institutional accounts managed by PGATC as reported above.</w:t>
      </w:r>
    </w:p>
    <w:p>
      <w:pPr>
        <w:spacing w:after="0" w:line="210"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2013, agree and consent to the joint filing on their behalf of this Schedule 13G in connection with their beneficial ownership of the Common Stock of Harvard Biosciences Incorporated at December 31, 2012.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Ashling Kanavos</w:t>
      </w:r>
    </w:p>
    <w:p>
      <w:pPr>
        <w:ind w:left="860"/>
        <w:spacing w:after="0" w:line="238" w:lineRule="auto"/>
        <w:rPr>
          <w:sz w:val="20"/>
          <w:szCs w:val="20"/>
          <w:color w:val="auto"/>
        </w:rPr>
      </w:pPr>
      <w:r>
        <w:rPr>
          <w:rFonts w:ascii="Courier New" w:cs="Courier New" w:eastAsia="Courier New" w:hAnsi="Courier New"/>
          <w:sz w:val="18"/>
          <w:szCs w:val="18"/>
          <w:color w:val="auto"/>
        </w:rPr>
        <w:t>Ashling Kanavos</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April 6, 2009, by William E. Dailey</w:t>
      </w:r>
    </w:p>
    <w:p>
      <w:pPr>
        <w:ind w:left="8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860"/>
        <w:spacing w:after="0"/>
        <w:rPr>
          <w:sz w:val="20"/>
          <w:szCs w:val="20"/>
          <w:color w:val="auto"/>
        </w:rPr>
      </w:pPr>
      <w:r>
        <w:rPr>
          <w:rFonts w:ascii="Courier New" w:cs="Courier New" w:eastAsia="Courier New" w:hAnsi="Courier New"/>
          <w:sz w:val="18"/>
          <w:szCs w:val="18"/>
          <w:color w:val="auto"/>
        </w:rPr>
        <w:t>and Chief Financial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2019-12-07T01:11:23Z</dcterms:created>
  <dcterms:modified xsi:type="dcterms:W3CDTF">2019-12-07T01:11:23Z</dcterms:modified>
</cp:coreProperties>
</file>