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 WASHINGTON, DC 20549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9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4004945</wp:posOffset>
            </wp:positionH>
            <wp:positionV relativeFrom="paragraph">
              <wp:posOffset>-5080</wp:posOffset>
            </wp:positionV>
            <wp:extent cx="636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27" w:right="339" w:bottom="1440" w:gutter="0" w:footer="0" w:header="0"/>
        </w:sectPr>
      </w:pPr>
    </w:p>
    <w:p>
      <w:pPr>
        <w:spacing w:after="0" w:line="20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280" w:space="720"/>
            <w:col w:w="4240"/>
          </w:cols>
          <w:pgMar w:left="320" w:top="92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r>
              <w:rPr>
                <w:rFonts w:ascii="Times New Roman" w:cs="Times New Roman" w:eastAsia="Times New Roman" w:hAnsi="Times New Roman"/>
                <w:sz w:val="18"/>
                <w:szCs w:val="18"/>
                <w:color w:val="auto"/>
              </w:rPr>
              <w:t>:</w:t>
            </w:r>
          </w:p>
        </w:tc>
        <w:tc>
          <w:tcPr>
            <w:tcW w:w="22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33"/>
        </w:trPr>
        <w:tc>
          <w:tcPr>
            <w:tcW w:w="4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r>
      <w:tr>
        <w:trPr>
          <w:trHeight w:val="210"/>
        </w:trPr>
        <w:tc>
          <w:tcPr>
            <w:tcW w:w="43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2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ind w:right="250"/>
              <w:spacing w:after="0" w:line="193" w:lineRule="exact"/>
              <w:rPr>
                <w:sz w:val="20"/>
                <w:szCs w:val="20"/>
                <w:color w:val="auto"/>
              </w:rPr>
            </w:pPr>
            <w:r>
              <w:rPr>
                <w:rFonts w:ascii="Times New Roman" w:cs="Times New Roman" w:eastAsia="Times New Roman" w:hAnsi="Times New Roman"/>
                <w:sz w:val="18"/>
                <w:szCs w:val="18"/>
                <w:color w:val="auto"/>
                <w:w w:val="99"/>
              </w:rPr>
              <w:t>HBIO</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7"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927"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2024, there were 43,429,626 shares of the registrant’s common stock issued and outstanding.</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12"/>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8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1.  Condensed Consolidated Financial Statements (unaudited)</w:t>
            </w:r>
          </w:p>
        </w:tc>
        <w:tc>
          <w:tcPr>
            <w:tcW w:w="4020" w:type="dxa"/>
            <w:vAlign w:val="bottom"/>
            <w:gridSpan w:val="4"/>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4020" w:type="dxa"/>
            <w:vAlign w:val="bottom"/>
            <w:gridSpan w:val="4"/>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5300" w:type="dxa"/>
            <w:vAlign w:val="bottom"/>
            <w:gridSpan w:val="8"/>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720" w:type="dxa"/>
            <w:vAlign w:val="bottom"/>
            <w:gridSpan w:val="3"/>
          </w:tcPr>
          <w:p>
            <w:pPr>
              <w:spacing w:after="0"/>
              <w:rPr>
                <w:sz w:val="24"/>
                <w:szCs w:val="24"/>
                <w:color w:val="auto"/>
              </w:rPr>
            </w:pPr>
          </w:p>
        </w:tc>
        <w:tc>
          <w:tcPr>
            <w:tcW w:w="3880" w:type="dxa"/>
            <w:vAlign w:val="bottom"/>
            <w:gridSpan w:val="3"/>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4600" w:type="dxa"/>
            <w:vAlign w:val="bottom"/>
            <w:gridSpan w:val="6"/>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82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72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r>
      <w:tr>
        <w:trPr>
          <w:trHeight w:val="412"/>
        </w:trPr>
        <w:tc>
          <w:tcPr>
            <w:tcW w:w="8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25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2520" w:type="dxa"/>
            <w:vAlign w:val="bottom"/>
            <w:tcBorders>
              <w:top w:val="single" w:sz="8" w:color="0000EE"/>
            </w:tcBorders>
            <w:gridSpan w:val="9"/>
          </w:tcPr>
          <w:p>
            <w:pPr>
              <w:spacing w:after="0"/>
              <w:rPr>
                <w:sz w:val="24"/>
                <w:szCs w:val="24"/>
                <w:color w:val="auto"/>
              </w:rPr>
            </w:pPr>
          </w:p>
        </w:tc>
        <w:tc>
          <w:tcPr>
            <w:tcW w:w="3880" w:type="dxa"/>
            <w:vAlign w:val="bottom"/>
            <w:gridSpan w:val="3"/>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2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PART II - OTHER INFORMATION</w:t>
            </w:r>
          </w:p>
        </w:tc>
        <w:tc>
          <w:tcPr>
            <w:tcW w:w="6300" w:type="dxa"/>
            <w:vAlign w:val="bottom"/>
            <w:gridSpan w:val="11"/>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1.</w:t>
            </w:r>
          </w:p>
        </w:tc>
        <w:tc>
          <w:tcPr>
            <w:tcW w:w="1400" w:type="dxa"/>
            <w:vAlign w:val="bottom"/>
            <w:tcBorders>
              <w:bottom w:val="single" w:sz="8" w:color="0000EE"/>
            </w:tcBorders>
            <w:gridSpan w:val="7"/>
          </w:tcPr>
          <w:p>
            <w:pPr>
              <w:ind w:left="6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60" w:type="dxa"/>
            <w:vAlign w:val="bottom"/>
            <w:gridSpan w:val="14"/>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rPr>
              <w:t>Item1A.</w:t>
            </w:r>
          </w:p>
        </w:tc>
        <w:tc>
          <w:tcPr>
            <w:tcW w:w="8260" w:type="dxa"/>
            <w:vAlign w:val="bottom"/>
            <w:gridSpan w:val="21"/>
          </w:tcPr>
          <w:p>
            <w:pPr>
              <w:ind w:left="60"/>
              <w:spacing w:after="0"/>
              <w:rPr>
                <w:sz w:val="20"/>
                <w:szCs w:val="20"/>
                <w:color w:val="auto"/>
              </w:rPr>
            </w:pPr>
            <w:r>
              <w:rPr>
                <w:rFonts w:ascii="Times New Roman" w:cs="Times New Roman" w:eastAsia="Times New Roman" w:hAnsi="Times New Roman"/>
                <w:sz w:val="18"/>
                <w:szCs w:val="18"/>
                <w:color w:val="0000EE"/>
              </w:rPr>
              <w:t>Risk Factors</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1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3800" w:type="dxa"/>
            <w:vAlign w:val="bottom"/>
            <w:gridSpan w:val="2"/>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8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412"/>
        </w:trPr>
        <w:tc>
          <w:tcPr>
            <w:tcW w:w="25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880" w:type="dxa"/>
            <w:vAlign w:val="bottom"/>
            <w:gridSpan w:val="9"/>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5.</w:t>
            </w:r>
          </w:p>
        </w:tc>
        <w:tc>
          <w:tcPr>
            <w:tcW w:w="1380" w:type="dxa"/>
            <w:vAlign w:val="bottom"/>
            <w:tcBorders>
              <w:bottom w:val="single" w:sz="8" w:color="0000EE"/>
            </w:tcBorders>
            <w:gridSpan w:val="6"/>
          </w:tcPr>
          <w:p>
            <w:pPr>
              <w:ind w:left="6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80" w:type="dxa"/>
            <w:vAlign w:val="bottom"/>
            <w:gridSpan w:val="15"/>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rPr>
              <w:t>Item 6.</w:t>
            </w:r>
          </w:p>
        </w:tc>
        <w:tc>
          <w:tcPr>
            <w:tcW w:w="8260" w:type="dxa"/>
            <w:vAlign w:val="bottom"/>
            <w:gridSpan w:val="21"/>
          </w:tcPr>
          <w:p>
            <w:pPr>
              <w:ind w:left="60"/>
              <w:spacing w:after="0"/>
              <w:rPr>
                <w:sz w:val="20"/>
                <w:szCs w:val="20"/>
                <w:color w:val="auto"/>
              </w:rPr>
            </w:pPr>
            <w:r>
              <w:rPr>
                <w:rFonts w:ascii="Times New Roman" w:cs="Times New Roman" w:eastAsia="Times New Roman" w:hAnsi="Times New Roman"/>
                <w:sz w:val="18"/>
                <w:szCs w:val="18"/>
                <w:color w:val="0000EE"/>
              </w:rPr>
              <w:t>Exhibits</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412"/>
        </w:trPr>
        <w:tc>
          <w:tcPr>
            <w:tcW w:w="13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600" w:type="dxa"/>
            <w:vAlign w:val="bottom"/>
            <w:gridSpan w:val="17"/>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r>
      <w:tr>
        <w:trPr>
          <w:trHeight w:val="20"/>
        </w:trPr>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(Unaudied,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9"/>
        </w:trPr>
        <w:tc>
          <w:tcPr>
            <w:tcW w:w="48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738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4,283</w:t>
            </w:r>
          </w:p>
        </w:tc>
      </w:tr>
      <w:tr>
        <w:trPr>
          <w:trHeight w:val="216"/>
        </w:trPr>
        <w:tc>
          <w:tcPr>
            <w:tcW w:w="7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16,099</w:t>
            </w:r>
          </w:p>
        </w:tc>
      </w:tr>
      <w:tr>
        <w:trPr>
          <w:trHeight w:val="216"/>
        </w:trPr>
        <w:tc>
          <w:tcPr>
            <w:tcW w:w="7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24,716</w:t>
            </w:r>
          </w:p>
        </w:tc>
      </w:tr>
      <w:tr>
        <w:trPr>
          <w:trHeight w:val="216"/>
        </w:trPr>
        <w:tc>
          <w:tcPr>
            <w:tcW w:w="7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3,940</w:t>
            </w:r>
          </w:p>
        </w:tc>
      </w:tr>
      <w:tr>
        <w:trPr>
          <w:trHeight w:val="210"/>
        </w:trPr>
        <w:tc>
          <w:tcPr>
            <w:tcW w:w="7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49,038</w:t>
            </w: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3,981</w:t>
            </w:r>
          </w:p>
        </w:tc>
      </w:tr>
      <w:tr>
        <w:trPr>
          <w:trHeight w:val="216"/>
        </w:trPr>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4,773</w:t>
            </w: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57,065</w:t>
            </w:r>
          </w:p>
        </w:tc>
      </w:tr>
      <w:tr>
        <w:trPr>
          <w:trHeight w:val="216"/>
        </w:trPr>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16,036</w:t>
            </w: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6,473</w:t>
            </w:r>
          </w:p>
        </w:tc>
      </w:tr>
      <w:tr>
        <w:trPr>
          <w:trHeight w:val="250"/>
        </w:trPr>
        <w:tc>
          <w:tcPr>
            <w:tcW w:w="7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137,366</w:t>
            </w:r>
          </w:p>
        </w:tc>
      </w:tr>
      <w:tr>
        <w:trPr>
          <w:trHeight w:val="156"/>
        </w:trPr>
        <w:tc>
          <w:tcPr>
            <w:tcW w:w="7860" w:type="dxa"/>
            <w:vAlign w:val="bottom"/>
            <w:tcBorders>
              <w:top w:val="single" w:sz="8" w:color="CCEEFF"/>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5,859</w:t>
            </w:r>
          </w:p>
        </w:tc>
      </w:tr>
      <w:tr>
        <w:trPr>
          <w:trHeight w:val="216"/>
        </w:trPr>
        <w:tc>
          <w:tcPr>
            <w:tcW w:w="7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7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5,554</w:t>
            </w:r>
          </w:p>
        </w:tc>
      </w:tr>
      <w:tr>
        <w:trPr>
          <w:trHeight w:val="216"/>
        </w:trPr>
        <w:tc>
          <w:tcPr>
            <w:tcW w:w="7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7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10,328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9,205</w:t>
            </w:r>
          </w:p>
        </w:tc>
      </w:tr>
      <w:tr>
        <w:trPr>
          <w:trHeight w:val="210"/>
        </w:trPr>
        <w:tc>
          <w:tcPr>
            <w:tcW w:w="7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26,542</w:t>
            </w: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30,704</w:t>
            </w:r>
          </w:p>
        </w:tc>
      </w:tr>
      <w:tr>
        <w:trPr>
          <w:trHeight w:val="216"/>
        </w:trPr>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4,794</w:t>
            </w:r>
          </w:p>
        </w:tc>
      </w:tr>
      <w:tr>
        <w:trPr>
          <w:trHeight w:val="216"/>
        </w:trPr>
        <w:tc>
          <w:tcPr>
            <w:tcW w:w="7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1,476</w:t>
            </w:r>
          </w:p>
        </w:tc>
      </w:tr>
      <w:tr>
        <w:trPr>
          <w:trHeight w:val="209"/>
        </w:trPr>
        <w:tc>
          <w:tcPr>
            <w:tcW w:w="7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64,349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64,292</w:t>
            </w:r>
          </w:p>
        </w:tc>
      </w:tr>
      <w:tr>
        <w:trPr>
          <w:trHeight w:val="210"/>
        </w:trPr>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Note 13</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 43,421,251 shares issued and</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7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outstanding at March 31, 2024; 43,394,509 shares issued and outstanding at December 31, 2023</w:t>
            </w:r>
          </w:p>
        </w:tc>
        <w:tc>
          <w:tcPr>
            <w:tcW w:w="24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7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232,435</w:t>
            </w:r>
          </w:p>
        </w:tc>
      </w:tr>
      <w:tr>
        <w:trPr>
          <w:trHeight w:val="216"/>
        </w:trPr>
        <w:tc>
          <w:tcPr>
            <w:tcW w:w="7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(145,605)</w:t>
            </w:r>
          </w:p>
        </w:tc>
      </w:tr>
      <w:tr>
        <w:trPr>
          <w:trHeight w:val="216"/>
        </w:trPr>
        <w:tc>
          <w:tcPr>
            <w:tcW w:w="7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r>
      <w:tr>
        <w:trPr>
          <w:trHeight w:val="209"/>
        </w:trPr>
        <w:tc>
          <w:tcPr>
            <w:tcW w:w="7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68,812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73,074</w:t>
            </w:r>
          </w:p>
        </w:tc>
      </w:tr>
      <w:tr>
        <w:trPr>
          <w:trHeight w:val="230"/>
        </w:trPr>
        <w:tc>
          <w:tcPr>
            <w:tcW w:w="7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137,366</w:t>
            </w: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590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data)</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9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24,512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29,975</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9,740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11,629</w:t>
            </w:r>
          </w:p>
        </w:tc>
      </w:tr>
      <w:tr>
        <w:trPr>
          <w:trHeight w:val="210"/>
        </w:trPr>
        <w:tc>
          <w:tcPr>
            <w:tcW w:w="2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49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18,346</w:t>
            </w:r>
          </w:p>
        </w:tc>
      </w:tr>
      <w:tr>
        <w:trPr>
          <w:trHeight w:val="209"/>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5,978</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6,334</w:t>
            </w: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2,897</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9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17,051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16,597</w:t>
            </w:r>
          </w:p>
        </w:tc>
      </w:tr>
      <w:tr>
        <w:trPr>
          <w:trHeight w:val="210"/>
        </w:trPr>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1,749</w:t>
            </w:r>
          </w:p>
        </w:tc>
      </w:tr>
      <w:tr>
        <w:trPr>
          <w:trHeight w:val="209"/>
        </w:trPr>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equity securities - Note 6</w:t>
            </w: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9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r>
      <w:tr>
        <w:trPr>
          <w:trHeight w:val="20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4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0"/>
        </w:trPr>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1,207</w:t>
            </w:r>
          </w:p>
        </w:tc>
      </w:tr>
      <w:tr>
        <w:trPr>
          <w:trHeight w:val="216"/>
        </w:trPr>
        <w:tc>
          <w:tcPr>
            <w:tcW w:w="2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9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9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per share:</w:t>
            </w: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(loss) income per share</w:t>
            </w:r>
          </w:p>
        </w:tc>
        <w:tc>
          <w:tcPr>
            <w:tcW w:w="59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r>
      <w:tr>
        <w:trPr>
          <w:trHeight w:val="197"/>
        </w:trPr>
        <w:tc>
          <w:tcPr>
            <w:tcW w:w="12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9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5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(loss) income per share</w:t>
            </w:r>
          </w:p>
        </w:tc>
        <w:tc>
          <w:tcPr>
            <w:tcW w:w="59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r>
      <w:tr>
        <w:trPr>
          <w:trHeight w:val="197"/>
        </w:trPr>
        <w:tc>
          <w:tcPr>
            <w:tcW w:w="12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9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4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43,402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42,119</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43,402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42,783</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9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9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6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6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instruments qualifying as cash flow hedges, net of tax of $-0-</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09"/>
        </w:trPr>
        <w:tc>
          <w:tcPr>
            <w:tcW w:w="79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r>
      <w:tr>
        <w:trPr>
          <w:trHeight w:val="20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60" w:type="dxa"/>
            <w:vAlign w:val="bottom"/>
            <w:gridSpan w:val="2"/>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r>
      <w:tr>
        <w:trPr>
          <w:trHeight w:val="20"/>
        </w:trPr>
        <w:tc>
          <w:tcPr>
            <w:tcW w:w="12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gridSpan w:val="7"/>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HARVARD BIOSCIENCE,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720" w:type="dxa"/>
            <w:vAlign w:val="bottom"/>
            <w:gridSpan w:val="11"/>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40" w:type="dxa"/>
            <w:vAlign w:val="bottom"/>
            <w:gridSpan w:val="6"/>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(Unaudied, 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8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8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232,435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16"/>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1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43,421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233,451</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68,812</w:t>
            </w:r>
          </w:p>
        </w:tc>
      </w:tr>
      <w:tr>
        <w:trPr>
          <w:trHeight w:val="20"/>
        </w:trPr>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90"/>
        </w:trPr>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8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8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4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42,082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229,008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72,220</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1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42,190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230,108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74,340</w:t>
            </w:r>
          </w:p>
        </w:tc>
      </w:tr>
      <w:tr>
        <w:trPr>
          <w:trHeight w:val="20"/>
        </w:trPr>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24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4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24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8"/>
                <w:szCs w:val="18"/>
                <w:color w:val="auto"/>
              </w:rPr>
            </w:pPr>
          </w:p>
        </w:tc>
      </w:tr>
      <w:tr>
        <w:trPr>
          <w:trHeight w:val="209"/>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3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equity securities - Note 6</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product line - Note 14</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09"/>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1,812</w:t>
            </w:r>
          </w:p>
        </w:tc>
      </w:tr>
      <w:tr>
        <w:trPr>
          <w:trHeight w:val="210"/>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product line</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288</w:t>
            </w:r>
          </w:p>
        </w:tc>
      </w:tr>
      <w:tr>
        <w:trPr>
          <w:trHeight w:val="209"/>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Borrowing from revolving line of credit</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0"/>
        </w:trPr>
        <w:tc>
          <w:tcPr>
            <w:tcW w:w="75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1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4,508</w:t>
            </w:r>
          </w:p>
        </w:tc>
      </w:tr>
      <w:tr>
        <w:trPr>
          <w:trHeight w:val="250"/>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4,255</w:t>
            </w:r>
          </w:p>
        </w:tc>
        <w:tc>
          <w:tcPr>
            <w:tcW w:w="13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3,789</w:t>
            </w:r>
          </w:p>
        </w:tc>
      </w:tr>
      <w:tr>
        <w:trPr>
          <w:trHeight w:val="196"/>
        </w:trPr>
        <w:tc>
          <w:tcPr>
            <w:tcW w:w="752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3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13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75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paid for income taxes, net of refunds</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2"/>
          </w:tcPr>
          <w:p>
            <w:pPr>
              <w:jc w:val="right"/>
              <w:ind w:righ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20"/>
        </w:trPr>
        <w:tc>
          <w:tcPr>
            <w:tcW w:w="1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Basis of Presentation and Summary of Significant Accounting Policies</w:t>
      </w:r>
    </w:p>
    <w:p>
      <w:pPr>
        <w:spacing w:after="0" w:line="227"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of Harvard Bioscience, Inc. and its wholly-owned subsidiaries (collectively, the “Company”) as of March 31, 2024 and for the three months ended March 31, 2024 and 2023,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2023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2023.</w:t>
      </w:r>
    </w:p>
    <w:p>
      <w:pPr>
        <w:spacing w:after="0" w:line="19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financial position as of March 31, 2024, results of operations and comprehensive income (loss) and cash flows for the three months ended March 31, 2024 and 2023, as applicable, have been made. The results of operations for the three months ended March 31, 2024, are not necessarily indicative of the operating results for the full fiscal year or any future periods.</w:t>
      </w:r>
    </w:p>
    <w:p>
      <w:pPr>
        <w:spacing w:after="0" w:line="180"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accounting policies underlying the accompanying unaudited consolidated financial statements are set forth in Note 2 to the consolidated financial statements included in the Company’s Annual Report on Form 10-K for the year ended December 31, 2023. There have been no material changes in the Company’s significant accounting policies during the three months ended March 31, 2024.</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the use of management estimates. Such estimates include the determination and establishment of certain accruals and provisions, including those for income taxes, credit losses on receivables, and defined benefit pension obligations. Estimates are also required to evaluate the value for inventories reported at lower of cost or net realizable value, stock-based compensation expense, and the recoverability of long-lived and intangible assets, including goodwill. On an ongoing basis, the Company reviews its estimates based upon currently available information. Actual results could differ materially from those estimates.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Other operating expenses for the three months ended March 31, 2024 included a fee of $0.5 million in connection with the receipt of employee retention credits (See Note 5) and an estimated loss of $0.5 million related to an unclaimed property audit (See Note 13).</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Yet to Be Adopted</w:t>
      </w:r>
    </w:p>
    <w:p>
      <w:pPr>
        <w:spacing w:after="0" w:line="22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w:t>
      </w:r>
      <w:r>
        <w:rPr>
          <w:rFonts w:ascii="Times New Roman" w:cs="Times New Roman" w:eastAsia="Times New Roman" w:hAnsi="Times New Roman"/>
          <w:sz w:val="18"/>
          <w:szCs w:val="18"/>
          <w:color w:val="auto"/>
        </w:rPr>
        <w:t>, which enhances disclosures related to the effective tax rate reconciliation, income taxes paid, as well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The new standard impacts footnote disclosures and is effective for the Company’s annual financial statements for the year ended December 31, 2025. The Company is currently evaluating the potential impact of adopting ASU No. 2023-09 will have on the disclosures in its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Basic earnings (loss) per share (EPS) is calculated by dividing net income (loss) by the number of weighted average shares of common stock outstanding during the period. The calculation of diluted earnings per share assumes conversion of stock options and restricted stock units into common stock using the treasury method.</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(loss) per share of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43,402</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42,119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43,402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42,783</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income per share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w:t>
            </w: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income per share</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excluded from diluted (loss) income per share due to their anti-dilutive effect</w:t>
            </w: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3,207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1,167</w:t>
            </w: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represent a disaggregation of revenue from contracts with customers for the three months ended March 31, 2024 and 2023:</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by type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22,759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28,493</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4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24,512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29,975</w:t>
            </w:r>
          </w:p>
        </w:tc>
      </w:tr>
      <w:tr>
        <w:trPr>
          <w:trHeight w:val="413"/>
        </w:trPr>
        <w:tc>
          <w:tcPr>
            <w:tcW w:w="676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Revenues by timing of recognition were as follows:</w:t>
            </w:r>
          </w:p>
        </w:tc>
        <w:tc>
          <w:tcPr>
            <w:tcW w:w="2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432"/>
        </w:trPr>
        <w:tc>
          <w:tcPr>
            <w:tcW w:w="6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23,743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24,512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29,975</w:t>
            </w:r>
          </w:p>
        </w:tc>
      </w:tr>
      <w:tr>
        <w:trPr>
          <w:trHeight w:val="20"/>
        </w:trPr>
        <w:tc>
          <w:tcPr>
            <w:tcW w:w="6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0"/>
        <w:spacing w:after="0"/>
        <w:rPr>
          <w:sz w:val="20"/>
          <w:szCs w:val="20"/>
          <w:color w:val="auto"/>
        </w:rPr>
      </w:pPr>
      <w:r>
        <w:rPr>
          <w:rFonts w:ascii="Times New Roman" w:cs="Times New Roman" w:eastAsia="Times New Roman" w:hAnsi="Times New Roman"/>
          <w:sz w:val="18"/>
          <w:szCs w:val="18"/>
          <w:color w:val="auto"/>
        </w:rPr>
        <w:t>Revenue by geographic destination were as follows:</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4122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41223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Greater China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41223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w:t>
      </w:r>
    </w:p>
    <w:p>
      <w:pPr>
        <w:spacing w:after="0" w:line="225"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10,983</w:t>
            </w:r>
          </w:p>
        </w:tc>
        <w:tc>
          <w:tcPr>
            <w:tcW w:w="10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12,302</w:t>
            </w:r>
          </w:p>
        </w:tc>
      </w:tr>
      <w:tr>
        <w:trPr>
          <w:trHeight w:val="216"/>
        </w:trPr>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r>
      <w:tr>
        <w:trPr>
          <w:trHeight w:val="216"/>
        </w:trPr>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34"/>
        </w:trPr>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09"/>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380" w:space="720"/>
            <w:col w:w="41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contract liabilities as of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Changes in the Company’s contract liabilities are primarily due to the timing of receipt of payments under service, maintenance and warranty contracts. During the three months ended March 31, 2024 and 2023, the Company recognized revenue of $1.6 million and $1.0 million from contract liabilities existing at December 31, 2023 and 2022, respectively.</w:t>
      </w:r>
    </w:p>
    <w:p>
      <w:pPr>
        <w:sectPr>
          <w:pgSz w:w="11900" w:h="16838" w:orient="portrait"/>
          <w:cols w:equalWidth="0" w:num="1">
            <w:col w:w="11240"/>
          </w:cols>
          <w:pgMar w:left="320" w:top="121" w:right="339" w:bottom="1440" w:gutter="0" w:footer="0" w:header="0"/>
        </w:sectPr>
      </w:pP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Provision for Expected Credit Losses on Receivables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in the provision for expected losses on receivables was as follows:</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41223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4122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Charge-offs and other</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191</w:t>
            </w:r>
          </w:p>
        </w:tc>
      </w:tr>
      <w:tr>
        <w:trPr>
          <w:trHeight w:val="216"/>
        </w:trPr>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380" w:space="720"/>
            <w:col w:w="4140"/>
          </w:cols>
          <w:pgMar w:left="320" w:top="121" w:right="339" w:bottom="1440" w:gutter="0" w:footer="0" w:header="0"/>
          <w:type w:val="continuous"/>
        </w:sectPr>
      </w:pPr>
    </w:p>
    <w:p>
      <w:pPr>
        <w:spacing w:after="0" w:line="27"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revenues for the three months ended March 31, 2024 and 2023. At March 31, 2024 and December 31, 2023, no customer accounted for more than 10% of net accounts receivable.</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Warranties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Activity in the product warranty accrual was as follows: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6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claims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6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 in the carrying amount of goodwill for the three months ended March 31, 2024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December 31, 2023</w:t>
            </w:r>
          </w:p>
        </w:tc>
        <w:tc>
          <w:tcPr>
            <w:tcW w:w="5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57,065</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4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2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March 31, 2024</w:t>
            </w:r>
          </w:p>
        </w:tc>
        <w:tc>
          <w:tcPr>
            <w:tcW w:w="5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56,699</w:t>
            </w:r>
          </w:p>
        </w:tc>
        <w:tc>
          <w:tcPr>
            <w:tcW w:w="820" w:type="dxa"/>
            <w:vAlign w:val="bottom"/>
          </w:tcPr>
          <w:p>
            <w:pPr>
              <w:spacing w:after="0"/>
              <w:rPr>
                <w:sz w:val="21"/>
                <w:szCs w:val="21"/>
                <w:color w:val="auto"/>
              </w:rPr>
            </w:pPr>
          </w:p>
        </w:tc>
      </w:tr>
      <w:tr>
        <w:trPr>
          <w:trHeight w:val="412"/>
        </w:trPr>
        <w:tc>
          <w:tcPr>
            <w:tcW w:w="340" w:type="dxa"/>
            <w:vAlign w:val="bottom"/>
          </w:tcPr>
          <w:p>
            <w:pPr>
              <w:spacing w:after="0"/>
              <w:rPr>
                <w:sz w:val="24"/>
                <w:szCs w:val="24"/>
                <w:color w:val="auto"/>
              </w:rPr>
            </w:pPr>
          </w:p>
        </w:tc>
        <w:tc>
          <w:tcPr>
            <w:tcW w:w="4020" w:type="dxa"/>
            <w:vAlign w:val="bottom"/>
            <w:tcBorders>
              <w:top w:val="single" w:sz="8" w:color="CCEEFF"/>
            </w:tcBorders>
          </w:tcPr>
          <w:p>
            <w:pPr>
              <w:spacing w:after="0"/>
              <w:rPr>
                <w:sz w:val="24"/>
                <w:szCs w:val="24"/>
                <w:color w:val="auto"/>
              </w:rPr>
            </w:pPr>
          </w:p>
        </w:tc>
        <w:tc>
          <w:tcPr>
            <w:tcW w:w="4460" w:type="dxa"/>
            <w:vAlign w:val="bottom"/>
            <w:tcBorders>
              <w:top w:val="single" w:sz="8" w:color="CCEEFF"/>
            </w:tcBorders>
          </w:tcPr>
          <w:p>
            <w:pPr>
              <w:jc w:val="right"/>
              <w:ind w:right="301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40" w:type="dxa"/>
            <w:vAlign w:val="bottom"/>
          </w:tcPr>
          <w:p>
            <w:pPr>
              <w:spacing w:after="0"/>
              <w:rPr>
                <w:sz w:val="24"/>
                <w:szCs w:val="24"/>
                <w:color w:val="auto"/>
              </w:rPr>
            </w:pPr>
          </w:p>
        </w:tc>
        <w:tc>
          <w:tcPr>
            <w:tcW w:w="656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Intangible assets at March 31, 2024 and December 31, 2023 consisted of the following:</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97"/>
              </w:rPr>
              <w:t>Accumulated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Amortization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agreements/customer</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Technology and software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patents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Total amortizable intangible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58,333</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58,658</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244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0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14,478</w:t>
            </w:r>
          </w:p>
        </w:tc>
        <w:tc>
          <w:tcPr>
            <w:tcW w:w="3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15,829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15"/>
                <w:szCs w:val="15"/>
                <w:color w:val="auto"/>
              </w:rPr>
            </w:pPr>
          </w:p>
        </w:tc>
        <w:tc>
          <w:tcPr>
            <w:tcW w:w="244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Indefinite-lived intangible</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2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 amortization expense for the three months ended March 31, 2024 and 2023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0"/>
        </w:trPr>
        <w:tc>
          <w:tcPr>
            <w:tcW w:w="6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2024, estimated future amortization expense of amortizable intangible assets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16"/>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50"/>
        </w:trPr>
        <w:tc>
          <w:tcPr>
            <w:tcW w:w="340" w:type="dxa"/>
            <w:vAlign w:val="bottom"/>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r>
      <w:tr>
        <w:trPr>
          <w:trHeight w:val="655"/>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76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26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60" w:type="dxa"/>
            <w:vAlign w:val="bottom"/>
          </w:tcPr>
          <w:p>
            <w:pPr>
              <w:spacing w:after="0"/>
              <w:rPr>
                <w:sz w:val="24"/>
                <w:szCs w:val="24"/>
                <w:color w:val="auto"/>
              </w:rPr>
            </w:pPr>
          </w:p>
        </w:tc>
        <w:tc>
          <w:tcPr>
            <w:tcW w:w="13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16"/>
        </w:trPr>
        <w:tc>
          <w:tcPr>
            <w:tcW w:w="34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15,354</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r>
      <w:tr>
        <w:trPr>
          <w:trHeight w:val="210"/>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24,136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w:t>
            </w:r>
          </w:p>
        </w:tc>
      </w:tr>
      <w:tr>
        <w:trPr>
          <w:trHeight w:val="20"/>
        </w:trPr>
        <w:tc>
          <w:tcPr>
            <w:tcW w:w="3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90"/>
        </w:trPr>
        <w:tc>
          <w:tcPr>
            <w:tcW w:w="34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60" w:type="dxa"/>
            <w:vAlign w:val="bottom"/>
          </w:tcPr>
          <w:p>
            <w:pPr>
              <w:spacing w:after="0"/>
              <w:rPr>
                <w:sz w:val="24"/>
                <w:szCs w:val="24"/>
                <w:color w:val="auto"/>
              </w:rPr>
            </w:pPr>
          </w:p>
        </w:tc>
        <w:tc>
          <w:tcPr>
            <w:tcW w:w="13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credits</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16"/>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retention credit funds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29"/>
        </w:trPr>
        <w:tc>
          <w:tcPr>
            <w:tcW w:w="3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r>
      <w:tr>
        <w:trPr>
          <w:trHeight w:val="20"/>
        </w:trPr>
        <w:tc>
          <w:tcPr>
            <w:tcW w:w="34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000"/>
          </w:cols>
          <w:pgMar w:left="320" w:top="108" w:right="579" w:bottom="1440" w:gutter="0" w:footer="0" w:header="0"/>
        </w:sect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8" w:right="5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 xml:space="preserve">The Coronavirus Aid, Relief, and Economic Security Act of 2020 (“CARES Act”) provided an employee retention credit (“ERC”) that was a refundable tax credit against certain employer taxes. The Company has elected to account for the credit as a government grant. As there is no authoritative guidance under U.S. GAAP on accounting for grants to for-profit business entities from government entities, the Company accounts for government assistance by analogy to International Accounting Standards Topic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(IAS 20). Under IAS 20, government grants are recognized when there is reasonable assurance that the grant will be received and that all conditions related to the grant will be met.</w:t>
      </w:r>
    </w:p>
    <w:p>
      <w:pPr>
        <w:spacing w:after="0" w:line="18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Company received an ERC refund of $3.2 million during the quarter ended March 31, 2024. Due to the subjectivity of the credit, the Company has included the refund received in other current liabilities in the consolidated balance sheet as of March 31, 2024, subject to a determination that the refund is recognizable under IAS 20.</w:t>
      </w:r>
    </w:p>
    <w:p>
      <w:pPr>
        <w:spacing w:after="0" w:line="176"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Company engaged a professional services firm under a commission fee arrangement to assist with determining program eligibility and in accumulating the necessary support that was used as a basis in the filing. During the three months ended March 31, 2024, the Company paid a fee of $0.5 million for these services, which is included in other operating expenses in the consolidated statement of operations.</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Equity Securities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April 2023, the Company obtained shares of common stock of Harvard Apparatus Regenerative Technologies, Inc. (“HRGN” formerly known as Biostage, Inc.) in connection with settlement of indemnification obligations related to litigation which occurred during the year ended December 31, 2022. These shares had an estimated fair value of $1.7 million and $3.5 million, as of March 31, 2024, and December 31, 2023, respectively, and are included in the consolidated balance sheets as a component of other long-term assets.</w:t>
      </w:r>
    </w:p>
    <w:p>
      <w:pPr>
        <w:spacing w:after="0" w:line="18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Company received cash proceeds of $0.5 million from the sale of HRGN shares sold during the three months ended March 31, 2024, which resulted in a realized loss on sale of $0.3 million. The Company incurred an unrealized loss of $1.0 million on HRGN shares held during the three months ended March 31, 2024. The Company determines the fair value of its HRGN common stock based on the closing price as quoted on the OTCQB Marketplace at the reporting date. Due to HRGN’s limited operating history, its overall financial condition and the limited trading volumes and liquidity of its common stock, the value of the Company’s investment in this common stock could fluctuate considerably or become worthless.</w:t>
      </w:r>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The Company has noncancelable operating leases for offices, manufacturing facilities, warehouse space, automobiles and equipment expiring at various dates through 2030.</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March 31, 2024 and 2023,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6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2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5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is as follows: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9"/>
        </w:trPr>
        <w:tc>
          <w:tcPr>
            <w:tcW w:w="340" w:type="dxa"/>
            <w:vAlign w:val="bottom"/>
          </w:tcPr>
          <w:p>
            <w:pPr>
              <w:spacing w:after="0"/>
              <w:rPr>
                <w:sz w:val="21"/>
                <w:szCs w:val="21"/>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4,359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197"/>
        </w:trPr>
        <w:tc>
          <w:tcPr>
            <w:tcW w:w="340" w:type="dxa"/>
            <w:vAlign w:val="bottom"/>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58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3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r>
      <w:tr>
        <w:trPr>
          <w:trHeight w:val="250"/>
        </w:trPr>
        <w:tc>
          <w:tcPr>
            <w:tcW w:w="340" w:type="dxa"/>
            <w:vAlign w:val="bottom"/>
          </w:tcPr>
          <w:p>
            <w:pPr>
              <w:spacing w:after="0"/>
              <w:rPr>
                <w:sz w:val="21"/>
                <w:szCs w:val="21"/>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5,754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r>
      <w:tr>
        <w:trPr>
          <w:trHeight w:val="197"/>
        </w:trPr>
        <w:tc>
          <w:tcPr>
            <w:tcW w:w="340" w:type="dxa"/>
            <w:vAlign w:val="bottom"/>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58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terms in excess of one year at March 31, 2024, are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37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50"/>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8.</w:t>
        <w:tab/>
        <w:t>Long-Term Debt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2024 and December 31, 2023, the Company’s borrowings were as follows:</w:t>
      </w:r>
    </w:p>
    <w:p>
      <w:pPr>
        <w:sectPr>
          <w:pgSz w:w="11900" w:h="16838" w:orient="portrait"/>
          <w:cols w:equalWidth="0" w:num="1">
            <w:col w:w="10420"/>
          </w:cols>
          <w:pgMar w:left="320" w:top="108" w:right="1159" w:bottom="1440" w:gutter="0" w:footer="0" w:header="0"/>
        </w:sectPr>
      </w:pPr>
    </w:p>
    <w:p>
      <w:pPr>
        <w:spacing w:after="0" w:line="239"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7"/>
          <w:szCs w:val="17"/>
          <w:color w:val="auto"/>
        </w:rPr>
        <w:t>(in thousands)</w:t>
      </w:r>
    </w:p>
    <w:p>
      <w:pPr>
        <w:spacing w:after="0" w:line="39"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7"/>
          <w:szCs w:val="17"/>
          <w:color w:val="auto"/>
        </w:rPr>
        <w:t>Long-term debt:</w:t>
      </w:r>
    </w:p>
    <w:p>
      <w:pPr>
        <w:spacing w:after="0" w:line="21"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8"/>
          <w:szCs w:val="18"/>
          <w:color w:val="auto"/>
        </w:rPr>
        <w:t>Term loan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Revolving line</w:t>
      </w:r>
    </w:p>
    <w:p>
      <w:pPr>
        <w:spacing w:after="0" w:line="9" w:lineRule="exact"/>
        <w:rPr>
          <w:sz w:val="20"/>
          <w:szCs w:val="20"/>
          <w:color w:val="auto"/>
        </w:rPr>
      </w:pPr>
    </w:p>
    <w:p>
      <w:pPr>
        <w:ind w:left="340" w:right="1220" w:firstLine="162"/>
        <w:spacing w:after="0" w:line="258" w:lineRule="auto"/>
        <w:rPr>
          <w:sz w:val="20"/>
          <w:szCs w:val="20"/>
          <w:color w:val="auto"/>
        </w:rPr>
      </w:pPr>
      <w:r>
        <w:rPr>
          <w:rFonts w:ascii="Times New Roman" w:cs="Times New Roman" w:eastAsia="Times New Roman" w:hAnsi="Times New Roman"/>
          <w:sz w:val="18"/>
          <w:szCs w:val="18"/>
          <w:color w:val="auto"/>
        </w:rPr>
        <w:t>Less: unamortized deferred financing costs Total debt</w:t>
      </w:r>
    </w:p>
    <w:p>
      <w:pPr>
        <w:ind w:left="500" w:right="1060"/>
        <w:spacing w:after="0" w:line="287" w:lineRule="auto"/>
        <w:rPr>
          <w:sz w:val="20"/>
          <w:szCs w:val="20"/>
          <w:color w:val="auto"/>
        </w:rPr>
      </w:pPr>
      <w:r>
        <w:rPr>
          <w:rFonts w:ascii="Times New Roman" w:cs="Times New Roman" w:eastAsia="Times New Roman" w:hAnsi="Times New Roman"/>
          <w:sz w:val="17"/>
          <w:szCs w:val="17"/>
          <w:color w:val="auto"/>
        </w:rPr>
        <w:t>Less: current portion of long-term debt Current unamortized deferred financing costs</w:t>
      </w:r>
    </w:p>
    <w:p>
      <w:pPr>
        <w:ind w:left="340"/>
        <w:spacing w:after="0"/>
        <w:rPr>
          <w:sz w:val="20"/>
          <w:szCs w:val="20"/>
          <w:color w:val="auto"/>
        </w:rPr>
      </w:pPr>
      <w:r>
        <w:rPr>
          <w:rFonts w:ascii="Times New Roman" w:cs="Times New Roman" w:eastAsia="Times New Roman" w:hAnsi="Times New Roman"/>
          <w:sz w:val="18"/>
          <w:szCs w:val="18"/>
          <w:color w:val="auto"/>
        </w:rPr>
        <w:t>Long-term debt</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amounts of debt maturities are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1160" w:type="dxa"/>
        <w:tblCellMar>
          <w:top w:w="0" w:type="dxa"/>
          <w:left w:w="0" w:type="dxa"/>
          <w:bottom w:w="0" w:type="dxa"/>
          <w:right w:w="0" w:type="dxa"/>
        </w:tblCellMar>
      </w:tblPr>
      <w:tr>
        <w:trPr>
          <w:trHeight w:val="238"/>
        </w:trPr>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4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30,723</w:t>
            </w:r>
          </w:p>
        </w:tc>
      </w:tr>
      <w:tr>
        <w:trPr>
          <w:trHeight w:val="216"/>
        </w:trPr>
        <w:tc>
          <w:tcPr>
            <w:tcW w:w="1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r>
      <w:tr>
        <w:trPr>
          <w:trHeight w:val="234"/>
        </w:trPr>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191"/>
        </w:trPr>
        <w:tc>
          <w:tcPr>
            <w:tcW w:w="180" w:type="dxa"/>
            <w:vAlign w:val="bottom"/>
          </w:tcPr>
          <w:p>
            <w:pPr>
              <w:spacing w:after="0"/>
              <w:rPr>
                <w:sz w:val="16"/>
                <w:szCs w:val="16"/>
                <w:color w:val="auto"/>
              </w:rPr>
            </w:pPr>
          </w:p>
        </w:tc>
        <w:tc>
          <w:tcPr>
            <w:tcW w:w="16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35,610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36,563</w:t>
            </w:r>
          </w:p>
        </w:tc>
      </w:tr>
      <w:tr>
        <w:trPr>
          <w:trHeight w:val="216"/>
        </w:trPr>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r>
      <w:tr>
        <w:trPr>
          <w:trHeight w:val="234"/>
        </w:trPr>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31,890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-1139190</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-864870</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-582295</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-307975</wp:posOffset>
            </wp:positionV>
            <wp:extent cx="641223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3280"/>
        <w:spacing w:after="0"/>
        <w:tabs>
          <w:tab w:leader="none" w:pos="4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-119380</wp:posOffset>
            </wp:positionV>
            <wp:extent cx="64122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5715</wp:posOffset>
            </wp:positionV>
            <wp:extent cx="10198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ind w:left="3280"/>
        <w:spacing w:after="0"/>
        <w:tabs>
          <w:tab w:leader="none" w:pos="4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-121920</wp:posOffset>
            </wp:positionV>
            <wp:extent cx="641223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4880"/>
          </w:cols>
          <w:pgMar w:left="320" w:top="108" w:right="11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Company maintains a Credit Agreement (as amended, the “Credit Agreement”) with Citizens Bank, N.A., Wells Fargo Bank, National Association, and First Citizens Bank &amp; Trust Company (together, the “Lenders”).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Available and unused borrowing capacity under the revolving line of credit was $4.4 million as of March 31, 2024 based on the Credit Agreement, as amended pursuant to the March 2024 Amendment as described below. Total revolver borrowing capacity is limited by the consolidated net leverage ratio as defined under the amended Credit Agreement.</w:t>
      </w:r>
    </w:p>
    <w:p>
      <w:pPr>
        <w:spacing w:after="0" w:line="192"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Borrowings under the Credit Facility will, at the option of the Company, bear interest at either (i) a rate per annum based on the Secured Overnight Financing Rate (“SOFR”) for an interest period of one, two, three or six months, plus an applicable interest rate margin determined as provided in the Credit Agreement, (a “SOFR Loan”), or (ii) an alternative base rate plus an applicable interest rate margin, each as determined as provided in the Credit Agreement (an “ABR Loan”). SOFR interest under the Credit Agreement is subject to applicable market rates and a floor of 0.50%. The alternative base rate is based on the Citizens Bank prime rate or the federal funds effective rate of the Federal Reserve Bank of New York and is subject to a floor of 1.0%. The applicable interest rate margin varies from 2.0% per annum to 3.25% per annum for SOFR Loans, and from 1.5% per annum to 3.0% per annum for ABR Loans, in each case depending on the Company’s consolidated net leverage ratio and is determined in accordance with a pricing grid set forth in the Credit Agreement. There are no prepayment penalties in the event the Company elects to prepay and terminate the Credit Facility prior to its scheduled maturity date, subject to SOFR Loan breakage and redeployment costs in certain circumstances.</w:t>
      </w:r>
    </w:p>
    <w:p>
      <w:pPr>
        <w:spacing w:after="0" w:line="188"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effective interest rate on the Company borrowings for the three months ended March 31, 2024 and 2023, was 7.7% and 7.9%, respectively, and the weighted average interest rate as of March 31, 2024, net of the effect of the Company’s interest rate swaps, was 7.4%. The carrying value of the debt approximates fair value because the interest rate under the obligation approximates market rates of interest available to the Company for similar instruments.</w:t>
      </w:r>
    </w:p>
    <w:p>
      <w:pPr>
        <w:spacing w:after="0" w:line="180"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As of March 31, 2024, the term loan requires quarterly installments of $1.0 million with a balloon payment at maturity. Furthermore, within ninety days after the end of the Company’s fiscal year, the term loan may be permanently reduced pursuant to certain mandatory prepayment events including an annual “excess cash flow sweep”, as defined in the agreement; provided that, in any fiscal year, any voluntary prepayments of the term loan shall be credited against the Company’s “excess cash flow” prepayment obligations on a dollar-for-dollar basis for such fiscal year. As of December 31, 2023, the current portion of long-term debt included amounts due under the excess cash flow sweep of $2.0 million which was paid on March 29, 2024. Amounts outstanding under the revolving credit facility can be repaid at any time but are due in full at maturity.</w:t>
      </w:r>
    </w:p>
    <w:p>
      <w:pPr>
        <w:spacing w:after="0" w:line="187"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also includes customary events of default.</w:t>
      </w:r>
    </w:p>
    <w:p>
      <w:pPr>
        <w:spacing w:after="0" w:line="180"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an amendment to the Credit Agreement (the “March 2024 Amendment”) pursuant to which the Lenders and administrative agent modified the definition of Consolidated EBITDA used in the calculation of certain financial covenants to adjust for charges related to the ongoing abandoned property audit (See Note 13) and commission fees expected to be paid in connection with the employee retention credit filings (See Note 5). The Company was in compliance with the covenants of the Credit Agreement, as amended, as of March 31, 2024.</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interest rate swap contract to improve the predictability of cash flows from interest payments related to its variable, SOFR-based debt. The swap contract had a notional amount of $25.9 million as of March 31, 2024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8, Long-Term Debt. The swap contract is considered an effective cash flow hedge, and as a result, net gains or losses are reported as a component of other comprehensive income (“OCI”) in the consolidated financial statements and are reclassified as net income when the underlying hedged interest impacts earnings. An assessment is performed quarterly to evaluate the ongoing hedge effectiveness.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instruments as of March 31, 2024 and December 31, 2023:</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40" w:type="dxa"/>
            <w:vAlign w:val="bottom"/>
            <w:tcBorders>
              <w:bottom w:val="single" w:sz="8" w:color="auto"/>
            </w:tcBorders>
          </w:tcPr>
          <w:p>
            <w:pPr>
              <w:spacing w:after="0"/>
              <w:rPr>
                <w:sz w:val="20"/>
                <w:szCs w:val="20"/>
                <w:color w:val="auto"/>
              </w:rPr>
            </w:pPr>
          </w:p>
        </w:tc>
      </w:tr>
      <w:tr>
        <w:trPr>
          <w:trHeight w:val="187"/>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100" w:type="dxa"/>
            <w:vAlign w:val="bottom"/>
          </w:tcPr>
          <w:p>
            <w:pPr>
              <w:spacing w:after="0"/>
              <w:rPr>
                <w:sz w:val="20"/>
                <w:szCs w:val="20"/>
                <w:color w:val="auto"/>
              </w:rPr>
            </w:pPr>
          </w:p>
        </w:tc>
        <w:tc>
          <w:tcPr>
            <w:tcW w:w="2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(a)</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(a)</w:t>
            </w:r>
          </w:p>
        </w:tc>
      </w:tr>
      <w:tr>
        <w:trPr>
          <w:trHeight w:val="20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long-term liabilities   $</w:t>
            </w: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25,920</w:t>
            </w:r>
          </w:p>
        </w:tc>
        <w:tc>
          <w:tcPr>
            <w:tcW w:w="9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27,375</w:t>
            </w:r>
          </w:p>
        </w:tc>
        <w:tc>
          <w:tcPr>
            <w:tcW w:w="8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Amount not significant.</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See Note 10 for the fair value measurements related to these financial instruments.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 of the cash flow hedge on other comprehensive income (loss) and earnings for the periods presented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Qualifying as Hedges, net of tax </w:t>
            </w: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recognized in OCI on derivatives (effective portion)</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Gian (loss) reclassified from OCI to interest expense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Assets (Liabilities) </w:t>
            </w:r>
            <w:r>
              <w:rPr>
                <w:rFonts w:ascii="Times New Roman" w:cs="Times New Roman" w:eastAsia="Times New Roman" w:hAnsi="Times New Roman"/>
                <w:sz w:val="18"/>
                <w:szCs w:val="18"/>
                <w:color w:val="auto"/>
              </w:rPr>
              <w:t>(in thousands)</w:t>
            </w:r>
          </w:p>
        </w:tc>
        <w:tc>
          <w:tcPr>
            <w:tcW w:w="12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as of March 31, 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1,704</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0"/>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3,511</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Amount not significant.</w:t>
      </w:r>
    </w:p>
    <w:p>
      <w:pPr>
        <w:spacing w:after="0" w:line="225" w:lineRule="exact"/>
        <w:rPr>
          <w:sz w:val="20"/>
          <w:szCs w:val="20"/>
          <w:color w:val="auto"/>
        </w:rPr>
      </w:pPr>
    </w:p>
    <w:p>
      <w:pPr>
        <w:jc w:val="both"/>
        <w:ind w:right="20" w:firstLine="396"/>
        <w:spacing w:after="0" w:line="261"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liabilities. The Company’s financial assets and liabilities carried at fair value include, when applicable, investments in common stock and derivative instruments used to hedge the Company’s interest rate risks. The fair value of the Company’s investment in HRGN common stock (See Note 6) was based on the closing price per the OTCQB Marketplace at the reporting date. The fair value of the Company’s interest rate swap agreements was based on SOFR yield curves at the reporting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Stock-based compensation expense for the three months ended March 31, 2024 and 2023 was allocated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 stock-based compensation expense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w:t>
            </w:r>
          </w:p>
        </w:tc>
      </w:tr>
      <w:tr>
        <w:trPr>
          <w:trHeight w:val="216"/>
        </w:trPr>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4"/>
        </w:trPr>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-719455</wp:posOffset>
            </wp:positionV>
            <wp:extent cx="64122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-445135</wp:posOffset>
            </wp:positionV>
            <wp:extent cx="64122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-161925</wp:posOffset>
            </wp:positionV>
            <wp:extent cx="641223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380" w:space="720"/>
            <w:col w:w="4140"/>
          </w:cols>
          <w:pgMar w:left="320" w:top="121" w:right="339" w:bottom="1440" w:gutter="0" w:footer="0" w:header="0"/>
          <w:type w:val="continuous"/>
        </w:sect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As of March 31, 2024, the total compensation costs related to unvested awards not yet recognized was $8.4 million and the weighted average period over which it is expected to be recognized is approximately 2.3 years. The Company did not capitalize any stock-based compensation.</w:t>
      </w:r>
    </w:p>
    <w:p>
      <w:pPr>
        <w:sectPr>
          <w:pgSz w:w="11900" w:h="16838" w:orient="portrait"/>
          <w:cols w:equalWidth="0" w:num="1">
            <w:col w:w="11240"/>
          </w:cols>
          <w:pgMar w:left="320" w:top="121" w:right="339" w:bottom="1440" w:gutter="0" w:footer="0" w:header="0"/>
          <w:type w:val="continuous"/>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30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Restricted stock unit (“RSU”) activity for the three months ended March 31, 2024 was as follows: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Time-Based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7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at December</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31, 2023</w:t>
            </w:r>
          </w:p>
        </w:tc>
        <w:tc>
          <w:tcPr>
            <w:tcW w:w="7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1,164,996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801,845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779,629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375,895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7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at March 31,</w:t>
            </w:r>
          </w:p>
        </w:tc>
        <w:tc>
          <w:tcPr>
            <w:tcW w:w="13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1,894,563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801,845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375,895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940" w:type="dxa"/>
            <w:vAlign w:val="bottom"/>
            <w:tcBorders>
              <w:bottom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Unvested shares related to market-based and performance-based vesting conditions are reflected at 100% of their target vesting amount in the table above. Actual vesting could range from zero up to 150% of their target amounts.</w:t>
      </w:r>
    </w:p>
    <w:p>
      <w:pPr>
        <w:spacing w:after="0" w:line="16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2024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390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38"/>
        </w:trPr>
        <w:tc>
          <w:tcPr>
            <w:tcW w:w="3900" w:type="dxa"/>
            <w:vAlign w:val="bottom"/>
          </w:tcPr>
          <w:p>
            <w:pPr>
              <w:spacing w:after="0"/>
              <w:rPr>
                <w:sz w:val="20"/>
                <w:szCs w:val="20"/>
                <w:color w:val="auto"/>
              </w:rPr>
            </w:pPr>
          </w:p>
        </w:tc>
        <w:tc>
          <w:tcPr>
            <w:tcW w:w="16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Exerciseable at December 31, 2023</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924,067</w:t>
            </w:r>
          </w:p>
        </w:tc>
        <w:tc>
          <w:tcPr>
            <w:tcW w:w="12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Exerciseable at March 31, 2024</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920,168</w:t>
            </w:r>
          </w:p>
        </w:tc>
        <w:tc>
          <w:tcPr>
            <w:tcW w:w="12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 years</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Company’s closing stock price of $4.24 as of the end of the reporting period, which would have been received by the option holders had all option holders exercised their options as of that date. The aggregate intrinsic value of options exercised during the three months ended March 31, 2024, was not significant.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spacing w:after="0" w:line="180"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Income tax expense was $0.2 million and $0.6 million for the three months ended March 31, 2024 and 2023, respectively. The Company’s effective tax rate of (4.7%) for the three months ended March 31, 2024 was lower than the U.S. statutory rate primarily due to the inclusion of non-deductible executive compensation and changes in valuation allowances associated with the Company’s assessment of the likelihood of the recoverability of deferred tax assets. The Company’s effective tax rate of 48.5% for the three months ended March 31, 2023 was higher than the U.S. statutory rate primarily due to a Global Intangible Low-Taxed Income (“GILTI”) inclusion to taxable income and changes in valuation allowances. The Company has valuation allowances against substantially all of its tax credit carryforwards.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Contingent Liabilities</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83"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directors and officers.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March 31, 2024.</w:t>
      </w:r>
    </w:p>
    <w:p>
      <w:pPr>
        <w:spacing w:after="0" w:line="18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is currently undergoing an unclaimed property audit. Based on the Company’s evaluation of the current stage of the audit, the Company accrued $0.5 million of loss contingencies during the three months ended March 31, 2024, which has been included in other operating expenses in the consolidated statement of operations.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Product Line Disposition</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February 2023, the Company sold its Hoefer product line for $0.5 million. The carrying value of assets sold was $0.1 million resulting in a gain on disposition of $0.4 million which was recorded in Other income, net in the consolidated statement of operations for the three months ended March 31, 2023. Revenue and gross profit of this disposed product line included in the condensed consolidated statement of operations for the three months ended March 31, 2023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39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 forward-looking statements are principally, but not exclusively, contained in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Item 2: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confidence or expectations, and our plans, objectives, expectations, and intentions that are not historical facts. In some cases, you can identify forward-looking statements by terms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will,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plans,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aim,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anticipates,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estimates,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predicts,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think,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objectives,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optimistic,</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strategy,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goals,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new,</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guidance,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future,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drive,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growth,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long-term,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develop,</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possible,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emerging,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opportunity,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pursue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similar expressions intended to identify forward-looking statements. These statements reflect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2023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Company.</w:t>
      </w:r>
      <w:r>
        <w:rPr>
          <w:rFonts w:ascii="Times New Roman" w:cs="Times New Roman" w:eastAsia="Times New Roman" w:hAnsi="Times New Roman"/>
          <w:sz w:val="17"/>
          <w:szCs w:val="17"/>
          <w:color w:val="auto"/>
        </w:rPr>
        <w: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Developments</w:t>
      </w:r>
    </w:p>
    <w:p>
      <w:pPr>
        <w:spacing w:after="0" w:line="229"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Our business is affected by global and regional economic trends and uncertainties. The global economy has recently experienced increasing uncertainty as a result of developments including inflationary pressure, higher interest rates, fluctuations in exchange rates, economic conditions in China, and the events in Ukraine and the Middle East. Our business has also been affected by the softening of certain international markets, especially in China and the Asia-Pacific region, as well as by delays in government funding for certain customers. Our business has been affected by a reduced demand from our biotechnology and pharmaceutical company customers, due principally to the increased cost of capital and a reduction in spending following the COVID-19 pandemic.</w:t>
      </w:r>
    </w:p>
    <w:p>
      <w:pPr>
        <w:spacing w:after="0" w:line="187"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If these trends are prolonged or are more severe, or if the recovery is less robust or takes longer than anticipated, our business, results of operations, and cash flow may be materially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24,512</w:t>
            </w:r>
          </w:p>
        </w:tc>
        <w:tc>
          <w:tcPr>
            <w:tcW w:w="1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29,975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securities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Revenues decreased $5.5 million, or 18.2%, to $24.5 million for the three months ended March 31, 2024, compared to $30.0 million for the three months ended March 31, 2023. The decrease in revenue was primarily due to the softening of worldwide demand, in particular in the Asia-Pacific region compared to a strong first quarter in 2023.</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Gross profit decreased $3.5 million, or 19.5%, to $14.8 million for the three months ended March 31, 2024 compared with $18.3 million for the three months ended March 31, 2023, primarily due to the decrease in revenues. Gross margin decreased to 60.3% for the three months ended March 31, 2024, compared with 61.2% for the three months ended March 31, 2023. The decrease in gross margin was primarily the result of under-absorption of manufacturing overhead costs due to the decrease in revenues.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Sales and marketing expenses of $5.9 million for the three months ended March 31, 2024, were comparable to the $6.0 million during the same period in 2023. Reduced variable compensation was offset by increased investments in personnel to support our growth strategy, product launches and travel costs related to industry trade shows.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$0.3 million, or 5.9%, to $6.0 million for the three months ended March 31, 2024, compared with $6.3 million for the three months ended March 31, 2023. The decrease was primarily due to reduced variable compensation.</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Research and development expenses were $2.9 million for both the three months ended March 31, 2024, and March 31, 2023.</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included in operating expenses remained relatively unchanged and decreased to $1.3 million for the three months ended March 31, 2024, compared with $1.4 million for the three months ended March 31, 2023.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Other operating expenses for the three months ended March 31, 2023 included a fee of $0.5 million in connection with the receipt of employee retention credits and an estimated loss of $0.5 million related to an unclaimed property audit.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Interest expense decreased $0.2 million, or 22.9%, to $0.8 million for the three months ended March 31, 2024, compared with $1.0 million for the three months ended March 31, 2023. The decrease was primarily due to lower average borrowings during the period.</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securities</w:t>
      </w:r>
    </w:p>
    <w:p>
      <w:pPr>
        <w:spacing w:after="0" w:line="22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As of March 31, 2024 and December 31, 2023 we held shares of common stock of HRGN with an estimated fair value of $1.7 million and $3.5 million, respectively. These shares were received in April 2023 in connection with settlement of indemnification obligations related to litigation which occurred during the year ended December 31, 2022. During the three months ended March 31, 2024, we recorded a loss of $1.3 million consisting of a realized loss of $0.3 million for shares sold and an unrealized loss of $1.0 million for shares held. We determine the fair value of our HRGN common stock based on the closing price as quoted on the OTCQB Marketplace at the reporting date. Due to HRGN’s limited operating history, its overall financial condition and the limited trading volumes and liquidity of its common stock, the value of our investment in this common stock could fluctuate considerably or become worthless.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Income tax expense was $0.2 million and $0.6 million for the three months ended March 31, 2024 and 2023, respectively. The effective tax rates for the three months ended March 31, 2024 and 2023 were (4.7)% and 48.5%, respectively. The effective tax rate decreased in the first quarter of 2024 compared to 2023 due to a decrease in the GILTI inclusion. The effective tax rate for both the first quarters of 2024 and 2023 differed from the U.S. statutory rate primarily due to the inclusion of non-deductible executive compensation and changes in valuation allowances associated with our assessment of the likelihood of the recoverability of deferred tax assets.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salaries, inventory, and capital expenditures.</w:t>
      </w:r>
    </w:p>
    <w:p>
      <w:pPr>
        <w:spacing w:after="0" w:line="176"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We held cash and cash equivalents of $4.3 million at both March 31, 2024, and December 31, 2023. Borrowings outstanding were $36.1 million and $37.1 million as of March 31, 2024 and December 31, 2023, respectively.</w:t>
      </w:r>
    </w:p>
    <w:p>
      <w:pPr>
        <w:spacing w:after="0" w:line="162"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We maintain a Credit Agreement which provides for a term loan of $40.0 million and a $25.0 million senior revolving credit facility both maturing on December 22, 2025. On March 28, 2024, we entered into an amendment to the Credit Agreement pursuant to which the Lenders and administrative agent modified the definition of Consolidated EBITDA used in the calculation of certain financial covenants to adjust for charges related to the ongoing abandoned property audit and commission fees expected to be paid in connection with our employee retention credit filings. We were in compliance with the covenants of the Credit Agreement, as amended, as of March 31, 2024. (See Note 8 to the Consolidated Condensed Financial Statements included in Part I, Item 1. of this report).</w:t>
      </w:r>
    </w:p>
    <w:p>
      <w:pPr>
        <w:spacing w:after="0" w:line="18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As of March 31, 2024, the weighted average interest rate on our borrowings, net of the effect of the interest rate swaps, was 7.4%, and the available and unused borrowing capacity was $4.4 million. Total revolver borrowing capacity is limited by our consolidated net leverage ratio as defined under the Credit Agreement, as amended.</w:t>
      </w:r>
    </w:p>
    <w:p>
      <w:pPr>
        <w:spacing w:after="0" w:line="17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plans, we expect that our available cash, cash generated from current operations and debt capacity will be sufficient to finance current operations and capital expenditures for at least the next 12 months. This assessment includes consideration of our best estimates of the impact of macroeconomic conditions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CASH FLOW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used in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38"/>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09"/>
        </w:trPr>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1,812</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$1.4 million and $1.8 million for the three months ended March 31, 2024 and 2023, respectively. Cash flow from operations for the three months ended March 31, 2024 was negatively impacted as a result of the decline in net income for the period adjusted for non-cash items and was positively impacted by the receipt of $3.2 million of employee retention credits.</w:t>
      </w:r>
    </w:p>
    <w:p>
      <w:pPr>
        <w:spacing w:after="0" w:line="176"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$0.2 million for the three months ended March 31, 2024 and primarily consisted of capital expenditures in manufacturing and information technology infrastructure of $0.7 million partially offset by $0.5 million from the proceeds from the sale of marketable equity securities. Cash provided by investing activities was $0.3 million for the three months ended March 31, 2023 and primarily consisted of $0.5 million from proceeds of the sale our Hoefer product line partially offset by $0.2 million of capital expenditures.</w:t>
      </w:r>
    </w:p>
    <w:p>
      <w:pPr>
        <w:spacing w:after="0" w:line="180"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$1.1 million and $2.9 million for the three months ended March 31, 2024 and 2023, respectively. During the three months ended March 31, 2024, debt outstanding under our credit facility decreased by $1.0 million, consisting of net borrowings under our revolver of $2.0 million, and payments of $3.0 million against the term loan. During the three months ended March 31, 2023, debt outstanding under our credit facility decreased by $2.8 million, consisting of net payments against our revolver of $1.0 million, and payments of $1.8 million against the term loan.</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Our international operations in some instances operate in a natural hedge, as we sell our products in many countries and a substantial portion of our revenues, costs and expenses are denominated in foreign currencies, primarily the euro and British pound.</w:t>
      </w:r>
    </w:p>
    <w:p>
      <w:pPr>
        <w:spacing w:after="0" w:line="16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changes in foreign currency exchange rates had an insignificant effect on our revenues and expenses. The gain (loss) associated with the translation of our foreign equity into U.S. dollars included as a component of other comprehensive income (loss) during the three months ended March 31, 2024 was a loss of $(0.8) million, compared to a gain of $0.8 million for the three months ended March 31, 2023. Currency exchange rate fluctuations included as a component of net income (loss) during the three months ended March 31, 2024, and March 31, 2023 were not significant.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underlying the accompanying unaudited consolidated financial statements and as set forth in Part II, Item 7 included in our Annual Report on Form 10-K for the fiscal year ended December 31, 2023.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“Recently Issued Accounting Pronouncements Yet to Be Adopted” included in Note 1 to our Condensed Consolidated Financial Statements included in Part I, Item 1. of this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As of March 31, 2024,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first quarter of fiscal 2024 that have materially affected, or are reasonably likely to materially affect, our internal control over financial reporting.</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The information included in Note 13 to the Condensed Consolidated Financial Statements (Unaudited) included in Part I, Item 1 of this quarterly report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Annual Report on Form 10-K for the fiscal year ended December 31, 2023,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 information included in Part II, Item 9B in our Annual Report on Form 10-K for the fiscal year ended December 31, 2023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ind w:left="60"/>
        <w:spacing w:after="0"/>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10.1</w:t>
        </w:r>
      </w:hyperlink>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31.1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31.2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32.1*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32.2*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80"/>
        <w:spacing w:after="0" w:line="257" w:lineRule="auto"/>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Third Amendment to Credit Agreement dated March 28, 2024, among Harvard Bioscience, Inc., Citizen Bank, N. A., as the</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administrative agent, and the lenders party thereto. (previously filed as an exhibit to the Company’s Current Report on Form 8-K on</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April 3, 2024 and incorporated by reference thereto).</w:t>
        </w:r>
      </w:hyperlink>
    </w:p>
    <w:p>
      <w:pPr>
        <w:spacing w:after="0" w:line="1" w:lineRule="exact"/>
        <w:rPr>
          <w:rFonts w:ascii="Times New Roman" w:cs="Times New Roman" w:eastAsia="Times New Roman" w:hAnsi="Times New Roman"/>
          <w:sz w:val="18"/>
          <w:szCs w:val="18"/>
          <w:u w:val="single" w:color="auto"/>
          <w:color w:val="0000EE"/>
        </w:rPr>
      </w:pPr>
    </w:p>
    <w:p>
      <w:pPr>
        <w:ind w:right="26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of Harvard Bioscience, Inc., pursuant to Rules 13a-14(a) and 15d-14(a), as adopted pursuant to Section 302 of the Sarbanes-Oxley Act of 2002.</w:t>
      </w:r>
    </w:p>
    <w:p>
      <w:pPr>
        <w:spacing w:after="0" w:line="1" w:lineRule="exact"/>
        <w:rPr>
          <w:rFonts w:ascii="Times New Roman" w:cs="Times New Roman" w:eastAsia="Times New Roman" w:hAnsi="Times New Roman"/>
          <w:sz w:val="18"/>
          <w:szCs w:val="18"/>
          <w:u w:val="single" w:color="auto"/>
          <w:color w:val="0000EE"/>
        </w:rPr>
      </w:pPr>
    </w:p>
    <w:p>
      <w:pPr>
        <w:ind w:right="22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of Harvard Bioscience, Inc., pursuant to Rules 13a-14(a) and 15d-14(a), as adopted pursuant to Section 302 of the Sarbanes-Oxley Act of 2002.</w:t>
      </w:r>
    </w:p>
    <w:p>
      <w:pPr>
        <w:spacing w:after="0" w:line="1" w:lineRule="exact"/>
        <w:rPr>
          <w:rFonts w:ascii="Times New Roman" w:cs="Times New Roman" w:eastAsia="Times New Roman" w:hAnsi="Times New Roman"/>
          <w:sz w:val="18"/>
          <w:szCs w:val="18"/>
          <w:u w:val="single" w:color="auto"/>
          <w:color w:val="0000EE"/>
        </w:rPr>
      </w:pPr>
    </w:p>
    <w:p>
      <w:pPr>
        <w:ind w:right="18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of Harvard Bioscience, Inc., pursuant to 18 U.S.C. Section 1350, as adopted pursuant to Section 906 of the Sarbanes-Oxley Act of 2002.</w:t>
      </w:r>
    </w:p>
    <w:p>
      <w:pPr>
        <w:spacing w:after="0" w:line="1" w:lineRule="exact"/>
        <w:rPr>
          <w:rFonts w:ascii="Times New Roman" w:cs="Times New Roman" w:eastAsia="Times New Roman" w:hAnsi="Times New Roman"/>
          <w:sz w:val="18"/>
          <w:szCs w:val="18"/>
          <w:u w:val="single" w:color="auto"/>
          <w:color w:val="0000EE"/>
        </w:rPr>
      </w:pPr>
    </w:p>
    <w:p>
      <w:pPr>
        <w:ind w:right="14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of Harvard Bioscience, Inc., pursuant to 18 U.S.C. Section 1350, as adopted pursuant to Section 906 of the Sarbanes-Oxley Act of 2002.</w:t>
      </w:r>
    </w:p>
    <w:p>
      <w:pPr>
        <w:spacing w:after="0" w:line="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7" w:lineRule="exact"/>
        <w:rPr>
          <w:rFonts w:ascii="Times New Roman" w:cs="Times New Roman" w:eastAsia="Times New Roman" w:hAnsi="Times New Roman"/>
          <w:sz w:val="18"/>
          <w:szCs w:val="18"/>
          <w:u w:val="single" w:color="auto"/>
          <w:color w:val="0000EE"/>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40" w:space="540"/>
            <w:col w:w="996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40"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undersigned thereunto duly authorized.</w:t>
      </w:r>
    </w:p>
    <w:p>
      <w:pPr>
        <w:spacing w:after="0" w:line="1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9" w:lineRule="exact"/>
        <w:rPr>
          <w:sz w:val="20"/>
          <w:szCs w:val="20"/>
          <w:color w:val="auto"/>
        </w:rPr>
      </w:pPr>
    </w:p>
    <w:tbl>
      <w:tblPr>
        <w:tblLayout w:type="fixed"/>
        <w:tblInd w:w="58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91"/>
        </w:trPr>
        <w:tc>
          <w:tcPr>
            <w:tcW w:w="740" w:type="dxa"/>
            <w:vAlign w:val="bottom"/>
          </w:tcPr>
          <w:p>
            <w:pPr>
              <w:spacing w:after="0"/>
              <w:rPr>
                <w:sz w:val="16"/>
                <w:szCs w:val="16"/>
                <w:color w:val="auto"/>
              </w:rPr>
            </w:pPr>
          </w:p>
        </w:tc>
        <w:tc>
          <w:tcPr>
            <w:tcW w:w="3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James Green</w:t>
            </w:r>
          </w:p>
        </w:tc>
      </w:tr>
      <w:tr>
        <w:trPr>
          <w:trHeight w:val="234"/>
        </w:trPr>
        <w:tc>
          <w:tcPr>
            <w:tcW w:w="7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64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91"/>
        </w:trPr>
        <w:tc>
          <w:tcPr>
            <w:tcW w:w="740" w:type="dxa"/>
            <w:vAlign w:val="bottom"/>
          </w:tcPr>
          <w:p>
            <w:pPr>
              <w:spacing w:after="0"/>
              <w:rPr>
                <w:sz w:val="16"/>
                <w:szCs w:val="16"/>
                <w:color w:val="auto"/>
              </w:rPr>
            </w:pPr>
          </w:p>
        </w:tc>
        <w:tc>
          <w:tcPr>
            <w:tcW w:w="3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Jennifer Cote</w:t>
            </w:r>
          </w:p>
        </w:tc>
      </w:tr>
      <w:tr>
        <w:trPr>
          <w:trHeight w:val="234"/>
        </w:trPr>
        <w:tc>
          <w:tcPr>
            <w:tcW w:w="7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Cote, certify that:</w:t>
      </w:r>
    </w:p>
    <w:p>
      <w:pPr>
        <w:spacing w:after="0" w:line="225"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6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40" w:right="300" w:hanging="368"/>
        <w:spacing w:after="0" w:line="266" w:lineRule="auto"/>
        <w:tabs>
          <w:tab w:leader="none" w:pos="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40" w:right="620" w:hanging="368"/>
        <w:spacing w:after="0" w:line="266" w:lineRule="auto"/>
        <w:tabs>
          <w:tab w:leader="none" w:pos="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40" w:right="780" w:hanging="368"/>
        <w:spacing w:after="0" w:line="312" w:lineRule="auto"/>
        <w:tabs>
          <w:tab w:leader="none" w:pos="7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40" w:hanging="368"/>
        <w:spacing w:after="0" w:line="266" w:lineRule="auto"/>
        <w:tabs>
          <w:tab w:leader="none" w:pos="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160" w:hanging="368"/>
        <w:spacing w:after="0" w:line="282" w:lineRule="auto"/>
        <w:tabs>
          <w:tab w:leader="none" w:pos="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7"/>
          <w:szCs w:val="17"/>
          <w:color w:val="auto"/>
        </w:rPr>
        <w:t>/s/ JENNIFER COTE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Jennifer Cote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25"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60" w:hanging="372"/>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40" w:right="300" w:hanging="368"/>
        <w:spacing w:after="0" w:line="266" w:lineRule="auto"/>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40" w:right="620" w:hanging="368"/>
        <w:spacing w:after="0" w:line="266" w:lineRule="auto"/>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40" w:right="780" w:hanging="368"/>
        <w:spacing w:after="0" w:line="312" w:lineRule="auto"/>
        <w:tabs>
          <w:tab w:leader="none" w:pos="7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40" w:hanging="368"/>
        <w:spacing w:after="0" w:line="266" w:lineRule="auto"/>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160" w:hanging="368"/>
        <w:spacing w:after="0" w:line="282" w:lineRule="auto"/>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Green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her knowledge that the Company’s Quarterly Report on Form 10-Q for the quarterly period ended March 31, 2024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7"/>
          <w:szCs w:val="17"/>
          <w:color w:val="auto"/>
        </w:rPr>
        <w:t>/s/ JENNIFER COTE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Jennifer Cote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March 31, 2024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Green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6" Type="http://schemas.openxmlformats.org/officeDocument/2006/relationships/hyperlink" Target="http://www.sec.gov/Archives/edgar/data/1123494/000117184324001791/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2024-05-07T16:29:40Z</dcterms:created>
  <dcterms:modified xsi:type="dcterms:W3CDTF">2024-05-07T16:29:40Z</dcterms:modified>
</cp:coreProperties>
</file>