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bio20250630_10q.htm"/>
      <w:bookmarkStart w:id="1" w:name="kshbio202506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 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001-33957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653540" cy="746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3540" cy="74676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880"/>
        <w:gridCol w:w="2915"/>
      </w:tblGrid>
      <w:tr>
        <w:trPr/>
        <w:tc>
          <w:tcPr>
            <w:tcW w:w="48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9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04-3306140</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 Incorporation or organization)</w:t>
            </w:r>
          </w:p>
        </w:tc>
        <w:tc>
          <w:tcPr>
            <w:tcW w:w="29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4880"/>
      </w:tblGrid>
      <w:tr>
        <w:trPr/>
        <w:tc>
          <w:tcPr>
            <w:tcW w:w="4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 October Hill Road, Holliston, Massachusetts 01746</w:t>
            </w:r>
          </w:p>
        </w:tc>
      </w:tr>
      <w:tr>
        <w:trPr/>
        <w:tc>
          <w:tcPr>
            <w:tcW w:w="4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(508) 893-8999</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w:t>
        <w:br/>
        <w:t> </w:t>
      </w:r>
    </w:p>
    <w:tbl>
      <w:tblPr>
        <w:tblW w:w="7740" w:type="dxa"/>
        <w:jc w:val="left"/>
        <w:tblInd w:w="0" w:type="dxa"/>
        <w:tblLayout w:type="fixed"/>
        <w:tblCellMar>
          <w:top w:w="28" w:type="dxa"/>
          <w:left w:w="28" w:type="dxa"/>
          <w:bottom w:w="28" w:type="dxa"/>
          <w:right w:w="0" w:type="dxa"/>
        </w:tblCellMar>
      </w:tblPr>
      <w:tblGrid>
        <w:gridCol w:w="2630"/>
        <w:gridCol w:w="1535"/>
        <w:gridCol w:w="3575"/>
      </w:tblGrid>
      <w:tr>
        <w:trPr/>
        <w:tc>
          <w:tcPr>
            <w:tcW w:w="26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HBIO</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4, 2025, there were 44,531,198 shares of the registrant’s common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bookmarkStart w:id="2" w:name="TOC"/>
      <w:bookmarkEnd w:id="2"/>
    </w:p>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8015"/>
        <w:gridCol w:w="440"/>
      </w:tblGrid>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 w:hAnsi="Times New Roman"/>
                  <w:caps w:val="false"/>
                  <w:smallCaps w:val="false"/>
                  <w:sz w:val="20"/>
                  <w:u w:val="single"/>
                </w:rPr>
                <w:t>PART I - FINANCIAL INFORMATION</w:t>
              </w:r>
            </w:hyperlink>
          </w:p>
        </w:tc>
        <w:tc>
          <w:tcPr>
            <w:tcW w:w="440" w:type="dxa"/>
            <w:tcBorders/>
            <w:vAlign w:val="center"/>
          </w:tcPr>
          <w:p>
            <w:pPr>
              <w:pStyle w:val="TableContents"/>
              <w:bidi w:val="0"/>
              <w:spacing w:before="0" w:after="0"/>
              <w:ind w:left="0" w:right="0" w:hanging="0"/>
              <w:jc w:val="center"/>
              <w:rPr/>
            </w:pPr>
            <w:hyperlink w:anchor="PART_I_FINANCIAL_INFORMATION">
              <w:r>
                <w:rPr>
                  <w:rStyle w:val="InternetLink"/>
                  <w:rFonts w:ascii="Times New Roman" w:hAnsi="Times New Roman"/>
                  <w:caps w:val="false"/>
                  <w:smallCaps w:val="false"/>
                  <w:sz w:val="20"/>
                </w:rPr>
                <w:t>1</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1I1">
              <w:r>
                <w:rPr>
                  <w:rStyle w:val="InternetLink"/>
                  <w:rFonts w:ascii="Times New Roman" w:hAnsi="Times New Roman"/>
                  <w:caps w:val="false"/>
                  <w:smallCaps w:val="false"/>
                  <w:sz w:val="20"/>
                  <w:u w:val="single"/>
                </w:rPr>
                <w:t>Item 1.   Financial Statements (Unaudited)</w:t>
              </w:r>
            </w:hyperlink>
          </w:p>
        </w:tc>
        <w:tc>
          <w:tcPr>
            <w:tcW w:w="440" w:type="dxa"/>
            <w:tcBorders/>
            <w:vAlign w:val="center"/>
          </w:tcPr>
          <w:p>
            <w:pPr>
              <w:pStyle w:val="TableContents"/>
              <w:bidi w:val="0"/>
              <w:spacing w:before="0" w:after="0"/>
              <w:ind w:left="0" w:right="0" w:hanging="0"/>
              <w:jc w:val="center"/>
              <w:rPr/>
            </w:pPr>
            <w:hyperlink w:anchor="P1I1">
              <w:r>
                <w:rPr>
                  <w:rStyle w:val="InternetLink"/>
                  <w:rFonts w:ascii="Times New Roman" w:hAnsi="Times New Roman"/>
                  <w:caps w:val="false"/>
                  <w:smallCaps w:val="false"/>
                  <w:sz w:val="20"/>
                </w:rPr>
                <w:t>1</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900" w:right="0" w:hanging="0"/>
              <w:jc w:val="left"/>
              <w:rPr/>
            </w:pPr>
            <w:hyperlink w:anchor="CONDENSED_CONSOLIDATED_BALANCE_SHEETS">
              <w:r>
                <w:rPr>
                  <w:rStyle w:val="InternetLink"/>
                  <w:rFonts w:ascii="Times New Roman" w:hAnsi="Times New Roman"/>
                  <w:caps w:val="false"/>
                  <w:smallCaps w:val="false"/>
                  <w:sz w:val="20"/>
                  <w:u w:val="single"/>
                </w:rPr>
                <w:t>Condensed Consolidated Balance Sheets</w:t>
              </w:r>
            </w:hyperlink>
          </w:p>
        </w:tc>
        <w:tc>
          <w:tcPr>
            <w:tcW w:w="440" w:type="dxa"/>
            <w:tcBorders/>
            <w:vAlign w:val="center"/>
          </w:tcPr>
          <w:p>
            <w:pPr>
              <w:pStyle w:val="TableContents"/>
              <w:bidi w:val="0"/>
              <w:spacing w:before="0" w:after="0"/>
              <w:ind w:left="0" w:right="0" w:hanging="0"/>
              <w:jc w:val="center"/>
              <w:rPr/>
            </w:pPr>
            <w:hyperlink w:anchor="CONDENSED_CONSOLIDATED_BALANCE_SHEETS">
              <w:r>
                <w:rPr>
                  <w:rStyle w:val="InternetLink"/>
                  <w:rFonts w:ascii="Times New Roman" w:hAnsi="Times New Roman"/>
                  <w:caps w:val="false"/>
                  <w:smallCaps w:val="false"/>
                  <w:sz w:val="20"/>
                </w:rPr>
                <w:t>1</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900" w:right="0" w:hanging="0"/>
              <w:jc w:val="left"/>
              <w:rPr/>
            </w:pPr>
            <w:hyperlink w:anchor="CONDENSED_CONSOLIDATED_STATEMENTS_OF_OPERATIONS">
              <w:r>
                <w:rPr>
                  <w:rStyle w:val="InternetLink"/>
                  <w:rFonts w:ascii="Times New Roman" w:hAnsi="Times New Roman"/>
                  <w:caps w:val="false"/>
                  <w:smallCaps w:val="false"/>
                  <w:sz w:val="20"/>
                  <w:u w:val="single"/>
                </w:rPr>
                <w:t>Condensed Consolidated Statements of Operations</w:t>
              </w:r>
            </w:hyperlink>
          </w:p>
        </w:tc>
        <w:tc>
          <w:tcPr>
            <w:tcW w:w="440" w:type="dxa"/>
            <w:tcBorders/>
            <w:vAlign w:val="center"/>
          </w:tcPr>
          <w:p>
            <w:pPr>
              <w:pStyle w:val="TableContents"/>
              <w:bidi w:val="0"/>
              <w:spacing w:before="0" w:after="0"/>
              <w:ind w:left="0" w:right="0" w:hanging="0"/>
              <w:jc w:val="center"/>
              <w:rPr/>
            </w:pPr>
            <w:hyperlink w:anchor="CONDENSED_CONSOLIDATED_STATEMENTS_OF_OPERATIONS">
              <w:r>
                <w:rPr>
                  <w:rStyle w:val="InternetLink"/>
                  <w:rFonts w:ascii="Times New Roman" w:hAnsi="Times New Roman"/>
                  <w:caps w:val="false"/>
                  <w:smallCaps w:val="false"/>
                  <w:sz w:val="20"/>
                </w:rPr>
                <w:t>2</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900" w:right="0" w:hanging="0"/>
              <w:jc w:val="left"/>
              <w:rPr/>
            </w:pPr>
            <w:hyperlink w:anchor="CONDENSED_CONSOLIDATED_STATEMENTS_OF_COMPREHENSIVE_LOSS">
              <w:r>
                <w:rPr>
                  <w:rStyle w:val="InternetLink"/>
                  <w:rFonts w:ascii="Times New Roman" w:hAnsi="Times New Roman"/>
                  <w:caps w:val="false"/>
                  <w:smallCaps w:val="false"/>
                  <w:sz w:val="20"/>
                  <w:u w:val="single"/>
                </w:rPr>
                <w:t>Condensed Consolidated Statements of Comprehensive Loss</w:t>
              </w:r>
            </w:hyperlink>
          </w:p>
        </w:tc>
        <w:tc>
          <w:tcPr>
            <w:tcW w:w="440" w:type="dxa"/>
            <w:tcBorders/>
            <w:vAlign w:val="center"/>
          </w:tcPr>
          <w:p>
            <w:pPr>
              <w:pStyle w:val="TableContents"/>
              <w:bidi w:val="0"/>
              <w:spacing w:before="0" w:after="0"/>
              <w:ind w:left="0" w:right="0" w:hanging="0"/>
              <w:jc w:val="center"/>
              <w:rPr/>
            </w:pPr>
            <w:hyperlink w:anchor="CONDENSED_CONSOLIDATED_STATEMENTS_OF_COMPREHENSIVE_LOSS">
              <w:r>
                <w:rPr>
                  <w:rStyle w:val="InternetLink"/>
                  <w:rFonts w:ascii="Times New Roman" w:hAnsi="Times New Roman"/>
                  <w:caps w:val="false"/>
                  <w:smallCaps w:val="false"/>
                  <w:sz w:val="20"/>
                </w:rPr>
                <w:t>3</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900" w:right="0" w:hanging="0"/>
              <w:jc w:val="left"/>
              <w:rPr/>
            </w:pPr>
            <w:hyperlink w:anchor="CONDENSED_CONSOLIDATED_STATEMENTS_OF_STOCKHOLDERS_EQUITY">
              <w:r>
                <w:rPr>
                  <w:rStyle w:val="InternetLink"/>
                  <w:rFonts w:ascii="Times New Roman" w:hAnsi="Times New Roman"/>
                  <w:caps w:val="false"/>
                  <w:smallCaps w:val="false"/>
                  <w:sz w:val="20"/>
                  <w:u w:val="single"/>
                </w:rPr>
                <w:t>Condensed Consolidated Statements of Stockholders' Equity</w:t>
              </w:r>
            </w:hyperlink>
          </w:p>
        </w:tc>
        <w:tc>
          <w:tcPr>
            <w:tcW w:w="440" w:type="dxa"/>
            <w:tcBorders/>
            <w:vAlign w:val="center"/>
          </w:tcPr>
          <w:p>
            <w:pPr>
              <w:pStyle w:val="TableContents"/>
              <w:bidi w:val="0"/>
              <w:spacing w:before="0" w:after="0"/>
              <w:ind w:left="0" w:right="0" w:hanging="0"/>
              <w:jc w:val="center"/>
              <w:rPr/>
            </w:pPr>
            <w:hyperlink w:anchor="CONDENSED_CONSOLIDATED_STATEMENTS_OF_STOCKHOLDERS_EQUITY">
              <w:r>
                <w:rPr>
                  <w:rStyle w:val="InternetLink"/>
                  <w:rFonts w:ascii="Times New Roman" w:hAnsi="Times New Roman"/>
                  <w:caps w:val="false"/>
                  <w:smallCaps w:val="false"/>
                  <w:sz w:val="20"/>
                </w:rPr>
                <w:t>4</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900" w:right="0" w:hanging="0"/>
              <w:jc w:val="left"/>
              <w:rPr/>
            </w:pPr>
            <w:hyperlink w:anchor="Condensed_Consolidated_Statements_Of_Cash_Flows">
              <w:r>
                <w:rPr>
                  <w:rStyle w:val="InternetLink"/>
                  <w:rFonts w:ascii="Times New Roman" w:hAnsi="Times New Roman"/>
                  <w:caps w:val="false"/>
                  <w:smallCaps w:val="false"/>
                  <w:sz w:val="20"/>
                  <w:u w:val="single"/>
                </w:rPr>
                <w:t>Condensed Consolidated Statements of Cash Flows</w:t>
              </w:r>
            </w:hyperlink>
          </w:p>
        </w:tc>
        <w:tc>
          <w:tcPr>
            <w:tcW w:w="440" w:type="dxa"/>
            <w:tcBorders/>
            <w:vAlign w:val="center"/>
          </w:tcPr>
          <w:p>
            <w:pPr>
              <w:pStyle w:val="TableContents"/>
              <w:bidi w:val="0"/>
              <w:spacing w:before="0" w:after="0"/>
              <w:ind w:left="0" w:right="0" w:hanging="0"/>
              <w:jc w:val="center"/>
              <w:rPr/>
            </w:pPr>
            <w:hyperlink w:anchor="Condensed_Consolidated_Statements_Of_Cash_Flows">
              <w:r>
                <w:rPr>
                  <w:rStyle w:val="InternetLink"/>
                  <w:rFonts w:ascii="Times New Roman" w:hAnsi="Times New Roman"/>
                  <w:caps w:val="false"/>
                  <w:smallCaps w:val="false"/>
                  <w:sz w:val="20"/>
                </w:rPr>
                <w:t>5</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900" w:right="0" w:hanging="0"/>
              <w:jc w:val="left"/>
              <w:rPr/>
            </w:pPr>
            <w:hyperlink w:anchor="NOTES_TO_CONDENSED_CONSOLIDATED_FINANCIAL_STATEMENTS">
              <w:r>
                <w:rPr>
                  <w:rStyle w:val="InternetLink"/>
                  <w:rFonts w:ascii="Times New Roman" w:hAnsi="Times New Roman"/>
                  <w:caps w:val="false"/>
                  <w:smallCaps w:val="false"/>
                  <w:sz w:val="20"/>
                  <w:u w:val="single"/>
                </w:rPr>
                <w:t>Notes to Condensed Consolidated Financial Statements</w:t>
              </w:r>
            </w:hyperlink>
          </w:p>
        </w:tc>
        <w:tc>
          <w:tcPr>
            <w:tcW w:w="440" w:type="dxa"/>
            <w:tcBorders/>
            <w:vAlign w:val="center"/>
          </w:tcPr>
          <w:p>
            <w:pPr>
              <w:pStyle w:val="TableContents"/>
              <w:bidi w:val="0"/>
              <w:spacing w:before="0" w:after="0"/>
              <w:ind w:left="0" w:right="0" w:hanging="0"/>
              <w:jc w:val="center"/>
              <w:rPr/>
            </w:pPr>
            <w:hyperlink w:anchor="NOTES_TO_CONDENSED_CONSOLIDATED_FINANCIAL_STATEMENTS">
              <w:r>
                <w:rPr>
                  <w:rStyle w:val="InternetLink"/>
                  <w:rFonts w:ascii="Times New Roman" w:hAnsi="Times New Roman"/>
                  <w:caps w:val="false"/>
                  <w:smallCaps w:val="false"/>
                  <w:sz w:val="20"/>
                </w:rPr>
                <w:t>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u w:val="single"/>
                </w:rPr>
                <w:t>Item 2.    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center"/>
              <w:rPr/>
            </w:pPr>
            <w:hyperlink w:anchor="P1I2">
              <w:r>
                <w:rPr>
                  <w:rStyle w:val="InternetLink"/>
                  <w:rFonts w:ascii="Times New Roman" w:hAnsi="Times New Roman"/>
                  <w:caps w:val="false"/>
                  <w:smallCaps w:val="false"/>
                  <w:sz w:val="20"/>
                </w:rPr>
                <w:t>18</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u w:val="single"/>
                </w:rPr>
                <w:t>Item 3.    Quantitative and Qualitative Disclosures about Market Risk</w:t>
              </w:r>
            </w:hyperlink>
          </w:p>
        </w:tc>
        <w:tc>
          <w:tcPr>
            <w:tcW w:w="440" w:type="dxa"/>
            <w:tcBorders/>
            <w:vAlign w:val="center"/>
          </w:tcPr>
          <w:p>
            <w:pPr>
              <w:pStyle w:val="TableContents"/>
              <w:bidi w:val="0"/>
              <w:spacing w:before="0" w:after="0"/>
              <w:ind w:left="0" w:right="0" w:hanging="0"/>
              <w:jc w:val="center"/>
              <w:rPr/>
            </w:pPr>
            <w:hyperlink w:anchor="P1I3">
              <w:r>
                <w:rPr>
                  <w:rStyle w:val="InternetLink"/>
                  <w:rFonts w:ascii="Times New Roman" w:hAnsi="Times New Roman"/>
                  <w:caps w:val="false"/>
                  <w:smallCaps w:val="false"/>
                  <w:sz w:val="20"/>
                </w:rPr>
                <w:t>24</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u w:val="single"/>
                </w:rPr>
                <w:t>Item 4.    Controls and Procedures</w:t>
              </w:r>
            </w:hyperlink>
          </w:p>
        </w:tc>
        <w:tc>
          <w:tcPr>
            <w:tcW w:w="440" w:type="dxa"/>
            <w:tcBorders/>
            <w:vAlign w:val="center"/>
          </w:tcPr>
          <w:p>
            <w:pPr>
              <w:pStyle w:val="TableContents"/>
              <w:bidi w:val="0"/>
              <w:spacing w:before="0" w:after="0"/>
              <w:ind w:left="0" w:right="0" w:hanging="0"/>
              <w:jc w:val="center"/>
              <w:rPr/>
            </w:pPr>
            <w:hyperlink w:anchor="P1I4">
              <w:r>
                <w:rPr>
                  <w:rStyle w:val="InternetLink"/>
                  <w:rFonts w:ascii="Times New Roman" w:hAnsi="Times New Roman"/>
                  <w:caps w:val="false"/>
                  <w:smallCaps w:val="false"/>
                  <w:sz w:val="20"/>
                </w:rPr>
                <w:t>24</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2">
              <w:r>
                <w:rPr>
                  <w:rStyle w:val="InternetLink"/>
                  <w:rFonts w:ascii="Times New Roman" w:hAnsi="Times New Roman"/>
                  <w:caps w:val="false"/>
                  <w:smallCaps w:val="false"/>
                  <w:sz w:val="20"/>
                  <w:u w:val="single"/>
                </w:rPr>
                <w:t>PART II - OTHER INFORMATION</w:t>
              </w:r>
            </w:hyperlink>
          </w:p>
        </w:tc>
        <w:tc>
          <w:tcPr>
            <w:tcW w:w="440" w:type="dxa"/>
            <w:tcBorders/>
            <w:vAlign w:val="center"/>
          </w:tcPr>
          <w:p>
            <w:pPr>
              <w:pStyle w:val="TableContents"/>
              <w:bidi w:val="0"/>
              <w:spacing w:before="0" w:after="0"/>
              <w:ind w:left="0" w:right="0" w:hanging="0"/>
              <w:jc w:val="center"/>
              <w:rPr/>
            </w:pPr>
            <w:hyperlink w:anchor="P2">
              <w:r>
                <w:rPr>
                  <w:rStyle w:val="InternetLink"/>
                  <w:rFonts w:ascii="Times New Roman" w:hAnsi="Times New Roman"/>
                  <w:caps w:val="false"/>
                  <w:smallCaps w:val="false"/>
                  <w:sz w:val="20"/>
                </w:rPr>
                <w:t>25</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u w:val="single"/>
                </w:rPr>
                <w:t>Item 1.</w:t>
              </w:r>
            </w:hyperlink>
            <w:hyperlink w:anchor="P2I1">
              <w:r>
                <w:rPr>
                  <w:rStyle w:val="InternetLink"/>
                  <w:rFonts w:ascii="Times New Roman" w:hAnsi="Times New Roman"/>
                  <w:caps w:val="false"/>
                  <w:smallCaps w:val="false"/>
                  <w:sz w:val="20"/>
                </w:rPr>
                <w:t xml:space="preserve">    Legal Proceedings</w:t>
              </w:r>
            </w:hyperlink>
          </w:p>
        </w:tc>
        <w:tc>
          <w:tcPr>
            <w:tcW w:w="440" w:type="dxa"/>
            <w:tcBorders/>
            <w:vAlign w:val="center"/>
          </w:tcPr>
          <w:p>
            <w:pPr>
              <w:pStyle w:val="TableContents"/>
              <w:bidi w:val="0"/>
              <w:spacing w:before="0" w:after="0"/>
              <w:ind w:left="0" w:right="0" w:hanging="0"/>
              <w:jc w:val="center"/>
              <w:rPr/>
            </w:pPr>
            <w:hyperlink w:anchor="P2I1">
              <w:r>
                <w:rPr>
                  <w:rStyle w:val="InternetLink"/>
                  <w:rFonts w:ascii="Times New Roman" w:hAnsi="Times New Roman"/>
                  <w:caps w:val="false"/>
                  <w:smallCaps w:val="false"/>
                  <w:sz w:val="20"/>
                </w:rPr>
                <w:t>25</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u w:val="single"/>
                </w:rPr>
                <w:t>Item1A.  Risk Factors</w:t>
              </w:r>
            </w:hyperlink>
          </w:p>
        </w:tc>
        <w:tc>
          <w:tcPr>
            <w:tcW w:w="440" w:type="dxa"/>
            <w:tcBorders/>
            <w:vAlign w:val="center"/>
          </w:tcPr>
          <w:p>
            <w:pPr>
              <w:pStyle w:val="TableContents"/>
              <w:bidi w:val="0"/>
              <w:spacing w:before="0" w:after="0"/>
              <w:ind w:left="0" w:right="0" w:hanging="0"/>
              <w:jc w:val="center"/>
              <w:rPr/>
            </w:pPr>
            <w:hyperlink w:anchor="P2I1A">
              <w:r>
                <w:rPr>
                  <w:rStyle w:val="InternetLink"/>
                  <w:rFonts w:ascii="Times New Roman" w:hAnsi="Times New Roman"/>
                  <w:caps w:val="false"/>
                  <w:smallCaps w:val="false"/>
                  <w:sz w:val="20"/>
                </w:rPr>
                <w:t>25</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u w:val="single"/>
                </w:rPr>
                <w:t>Item 2.    Unregistered Sales of Equity Securities and Use of Proceeds</w:t>
              </w:r>
            </w:hyperlink>
          </w:p>
        </w:tc>
        <w:tc>
          <w:tcPr>
            <w:tcW w:w="440" w:type="dxa"/>
            <w:tcBorders/>
            <w:vAlign w:val="center"/>
          </w:tcPr>
          <w:p>
            <w:pPr>
              <w:pStyle w:val="TableContents"/>
              <w:bidi w:val="0"/>
              <w:spacing w:before="0" w:after="0"/>
              <w:ind w:left="0" w:right="0" w:hanging="0"/>
              <w:jc w:val="center"/>
              <w:rPr/>
            </w:pPr>
            <w:hyperlink w:anchor="P2I2">
              <w:r>
                <w:rPr>
                  <w:rStyle w:val="InternetLink"/>
                  <w:rFonts w:ascii="Times New Roman" w:hAnsi="Times New Roman"/>
                  <w:caps w:val="false"/>
                  <w:smallCaps w:val="false"/>
                  <w:sz w:val="20"/>
                </w:rPr>
                <w:t>26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u w:val="single"/>
                </w:rPr>
                <w:t>Item 3.    Defaults Upon Senior Securities</w:t>
              </w:r>
            </w:hyperlink>
          </w:p>
        </w:tc>
        <w:tc>
          <w:tcPr>
            <w:tcW w:w="440" w:type="dxa"/>
            <w:tcBorders/>
            <w:vAlign w:val="center"/>
          </w:tcPr>
          <w:p>
            <w:pPr>
              <w:pStyle w:val="TableContents"/>
              <w:bidi w:val="0"/>
              <w:spacing w:before="0" w:after="0"/>
              <w:ind w:left="0" w:right="0" w:hanging="0"/>
              <w:jc w:val="center"/>
              <w:rPr/>
            </w:pPr>
            <w:hyperlink w:anchor="P2I3">
              <w:r>
                <w:rPr>
                  <w:rStyle w:val="InternetLink"/>
                  <w:rFonts w:ascii="Times New Roman" w:hAnsi="Times New Roman"/>
                  <w:caps w:val="false"/>
                  <w:smallCaps w:val="false"/>
                  <w:sz w:val="20"/>
                </w:rPr>
                <w:t>26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u w:val="single"/>
                </w:rPr>
                <w:t>Item 4.    Mine Safety Disclosures</w:t>
              </w:r>
            </w:hyperlink>
          </w:p>
        </w:tc>
        <w:tc>
          <w:tcPr>
            <w:tcW w:w="440" w:type="dxa"/>
            <w:tcBorders/>
            <w:vAlign w:val="center"/>
          </w:tcPr>
          <w:p>
            <w:pPr>
              <w:pStyle w:val="TableContents"/>
              <w:bidi w:val="0"/>
              <w:spacing w:before="0" w:after="0"/>
              <w:ind w:left="0" w:right="0" w:hanging="0"/>
              <w:jc w:val="center"/>
              <w:rPr/>
            </w:pPr>
            <w:hyperlink w:anchor="P2I4">
              <w:r>
                <w:rPr>
                  <w:rStyle w:val="InternetLink"/>
                  <w:rFonts w:ascii="Times New Roman" w:hAnsi="Times New Roman"/>
                  <w:caps w:val="false"/>
                  <w:smallCaps w:val="false"/>
                  <w:sz w:val="20"/>
                </w:rPr>
                <w:t>26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u w:val="single"/>
                </w:rPr>
                <w:t>Item 5.    Other Information</w:t>
              </w:r>
            </w:hyperlink>
          </w:p>
        </w:tc>
        <w:tc>
          <w:tcPr>
            <w:tcW w:w="440" w:type="dxa"/>
            <w:tcBorders/>
            <w:vAlign w:val="center"/>
          </w:tcPr>
          <w:p>
            <w:pPr>
              <w:pStyle w:val="TableContents"/>
              <w:bidi w:val="0"/>
              <w:spacing w:before="0" w:after="0"/>
              <w:ind w:left="0" w:right="0" w:hanging="0"/>
              <w:jc w:val="center"/>
              <w:rPr/>
            </w:pPr>
            <w:hyperlink w:anchor="P2I5">
              <w:r>
                <w:rPr>
                  <w:rStyle w:val="InternetLink"/>
                  <w:rFonts w:ascii="Times New Roman" w:hAnsi="Times New Roman"/>
                  <w:caps w:val="false"/>
                  <w:smallCaps w:val="false"/>
                  <w:sz w:val="20"/>
                </w:rPr>
                <w:t>26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u w:val="single"/>
                </w:rPr>
                <w:t>Item 6.    Exhibits</w:t>
              </w:r>
            </w:hyperlink>
          </w:p>
        </w:tc>
        <w:tc>
          <w:tcPr>
            <w:tcW w:w="440" w:type="dxa"/>
            <w:tcBorders/>
            <w:vAlign w:val="center"/>
          </w:tcPr>
          <w:p>
            <w:pPr>
              <w:pStyle w:val="TableContents"/>
              <w:bidi w:val="0"/>
              <w:spacing w:before="0" w:after="0"/>
              <w:ind w:left="0" w:right="0" w:hanging="0"/>
              <w:jc w:val="center"/>
              <w:rPr/>
            </w:pPr>
            <w:hyperlink w:anchor="P2I6">
              <w:r>
                <w:rPr>
                  <w:rStyle w:val="InternetLink"/>
                  <w:rFonts w:ascii="Times New Roman" w:hAnsi="Times New Roman"/>
                  <w:caps w:val="false"/>
                  <w:smallCaps w:val="false"/>
                  <w:sz w:val="20"/>
                </w:rPr>
                <w:t>27</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u w:val="single"/>
                </w:rPr>
                <w:t>SIGNATURES</w:t>
              </w:r>
            </w:hyperlink>
          </w:p>
        </w:tc>
        <w:tc>
          <w:tcPr>
            <w:tcW w:w="440" w:type="dxa"/>
            <w:tcBorders/>
            <w:vAlign w:val="center"/>
          </w:tcPr>
          <w:p>
            <w:pPr>
              <w:pStyle w:val="TableContents"/>
              <w:bidi w:val="0"/>
              <w:spacing w:before="0" w:after="0"/>
              <w:ind w:left="0" w:right="0" w:hanging="0"/>
              <w:jc w:val="center"/>
              <w:rPr/>
            </w:pPr>
            <w:hyperlink w:anchor="SIGNATURES">
              <w:r>
                <w:rPr>
                  <w:rStyle w:val="InternetLink"/>
                  <w:rFonts w:ascii="Times New Roman" w:hAnsi="Times New Roman"/>
                  <w:caps w:val="false"/>
                  <w:smallCaps w:val="false"/>
                  <w:sz w:val="20"/>
                </w:rPr>
                <w:t>28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bookmarkStart w:id="3" w:name="PART_I_FINANCIAL_INFORMATION"/>
      <w:bookmarkEnd w:id="3"/>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5"/>
        <w:gridCol w:w="183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8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w:t>
            </w:r>
            <w:bookmarkStart w:id="4" w:name="P1I1"/>
            <w:bookmarkEnd w:id="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bookmarkStart w:id="5" w:name="CONDENSED_CONSOLIDATED_BALANCE_SHEETS"/>
      <w:bookmarkEnd w:id="5"/>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0"/>
        <w:gridCol w:w="60"/>
        <w:gridCol w:w="125"/>
        <w:gridCol w:w="755"/>
        <w:gridCol w:w="80"/>
        <w:gridCol w:w="60"/>
        <w:gridCol w:w="143"/>
        <w:gridCol w:w="871"/>
        <w:gridCol w:w="81"/>
      </w:tblGrid>
      <w:tr>
        <w:trPr/>
        <w:tc>
          <w:tcPr>
            <w:tcW w:w="8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1" w:type="dxa"/>
            <w:tcBorders/>
            <w:vAlign w:val="center"/>
          </w:tcPr>
          <w:p>
            <w:pPr>
              <w:pStyle w:val="TableContents"/>
              <w:bidi w:val="0"/>
              <w:spacing w:before="0" w:after="283"/>
              <w:jc w:val="left"/>
              <w:rPr/>
            </w:pPr>
            <w:r>
              <w:rPr/>
              <w:t> </w:t>
            </w:r>
          </w:p>
        </w:tc>
      </w:tr>
      <w:tr>
        <w:trPr/>
        <w:tc>
          <w:tcPr>
            <w:tcW w:w="8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14,866</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23,245</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5,106</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56,324</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11,132</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126,644</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9,409</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54,958</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6,381</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63,304</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 Note 13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$0.01 per share, 5,000,000 shares authorized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$0.01 per share, 80,000,000 shares authorized: 44,531,198 shares issued and outstanding at June 30, 2025; 44,074,475 shares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236,579</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(158,010</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(15,670</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63,340</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126,644</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HARVARD BIOSCIENCE,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bookmarkStart w:id="6" w:name="CONDENSED_CONSOLIDATED_STATEMENTS_OF_OPE"/>
      <w:bookmarkEnd w:id="6"/>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 in thousands, except per share data)</w:t>
      </w:r>
      <w:r>
        <w:rPr>
          <w:rFonts w:ascii="Times New Roman;Times;serif" w:hAnsi="Times New Roman;Times;serif"/>
          <w:sz w:val="20"/>
        </w:rPr>
        <w:t> </w:t>
      </w:r>
    </w:p>
    <w:p>
      <w:pPr>
        <w:pStyle w:val="TextBody"/>
        <w:bidi w:val="0"/>
        <w:spacing w:before="0" w:after="0"/>
        <w:ind w:left="0" w:right="0" w:hanging="0"/>
        <w:jc w:val="left"/>
        <w:rPr/>
      </w:pPr>
      <w:r>
        <w:rPr/>
        <w:t> </w:t>
      </w:r>
    </w:p>
    <w:tbl>
      <w:tblPr>
        <w:tblW w:w="8615" w:type="dxa"/>
        <w:jc w:val="left"/>
        <w:tblInd w:w="0" w:type="dxa"/>
        <w:tblLayout w:type="fixed"/>
        <w:tblCellMar>
          <w:top w:w="0" w:type="dxa"/>
          <w:left w:w="0" w:type="dxa"/>
          <w:bottom w:w="0" w:type="dxa"/>
          <w:right w:w="0" w:type="dxa"/>
        </w:tblCellMar>
      </w:tblPr>
      <w:tblGrid>
        <w:gridCol w:w="3455"/>
        <w:gridCol w:w="60"/>
        <w:gridCol w:w="202"/>
        <w:gridCol w:w="954"/>
        <w:gridCol w:w="129"/>
        <w:gridCol w:w="97"/>
        <w:gridCol w:w="202"/>
        <w:gridCol w:w="954"/>
        <w:gridCol w:w="80"/>
        <w:gridCol w:w="60"/>
        <w:gridCol w:w="179"/>
        <w:gridCol w:w="935"/>
        <w:gridCol w:w="115"/>
        <w:gridCol w:w="86"/>
        <w:gridCol w:w="179"/>
        <w:gridCol w:w="848"/>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9"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5" w:type="dxa"/>
            <w:tcBorders>
              <w:bottom w:val="single" w:sz="2" w:space="0" w:color="000000"/>
            </w:tcBorders>
            <w:tcMar>
              <w:bottom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8,917</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11,533</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23,717</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4,262</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 - Note 4</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 - Note 1</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12,352</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74,204</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(50,487</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securities - Note 6</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(53,048</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44,303</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44,200</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w:t>
      </w:r>
      <w:bookmarkStart w:id="7" w:name="CONDENSED_CONSOLIDATED_STATEMENTS_OF_COM"/>
      <w:bookmarkEnd w:id="7"/>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0"/>
        <w:gridCol w:w="60"/>
        <w:gridCol w:w="203"/>
        <w:gridCol w:w="888"/>
        <w:gridCol w:w="130"/>
        <w:gridCol w:w="97"/>
        <w:gridCol w:w="203"/>
        <w:gridCol w:w="888"/>
        <w:gridCol w:w="80"/>
        <w:gridCol w:w="60"/>
        <w:gridCol w:w="174"/>
        <w:gridCol w:w="908"/>
        <w:gridCol w:w="111"/>
        <w:gridCol w:w="83"/>
        <w:gridCol w:w="174"/>
        <w:gridCol w:w="760"/>
        <w:gridCol w:w="86"/>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0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1"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1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(7,621</w:t>
            </w:r>
          </w:p>
        </w:tc>
        <w:tc>
          <w:tcPr>
            <w:tcW w:w="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53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2,622</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3,914</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 qualifying as cash flow hedges, net of tax of $-0-</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w:t>
            </w:r>
          </w:p>
        </w:tc>
        <w:tc>
          <w:tcPr>
            <w:tcW w:w="1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(48,654</w:t>
            </w:r>
          </w:p>
        </w:tc>
        <w:tc>
          <w:tcPr>
            <w:tcW w:w="1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(8,299</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40" w:right="0" w:hanging="328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HARVARD BIOSCIENCE,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bookmarkStart w:id="8" w:name="CONDENSED_CONSOLIDATED_STATEMENTS_OF_STO"/>
      <w:bookmarkEnd w:id="8"/>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left"/>
        <w:rPr>
          <w:caps w:val="false"/>
          <w:smallCaps w:val="false"/>
        </w:rPr>
      </w:pPr>
      <w:r>
        <w:rPr>
          <w:caps w:val="false"/>
          <w:smallCaps w:val="false"/>
        </w:rPr>
        <w:t> </w:t>
      </w:r>
    </w:p>
    <w:tbl>
      <w:tblPr>
        <w:tblW w:w="9592" w:type="dxa"/>
        <w:jc w:val="left"/>
        <w:tblInd w:w="0" w:type="dxa"/>
        <w:tblLayout w:type="fixed"/>
        <w:tblCellMar>
          <w:top w:w="0" w:type="dxa"/>
          <w:left w:w="0" w:type="dxa"/>
          <w:bottom w:w="0" w:type="dxa"/>
          <w:right w:w="0" w:type="dxa"/>
        </w:tblCellMar>
      </w:tblPr>
      <w:tblGrid>
        <w:gridCol w:w="2585"/>
        <w:gridCol w:w="60"/>
        <w:gridCol w:w="73"/>
        <w:gridCol w:w="726"/>
        <w:gridCol w:w="80"/>
        <w:gridCol w:w="60"/>
        <w:gridCol w:w="217"/>
        <w:gridCol w:w="583"/>
        <w:gridCol w:w="60"/>
        <w:gridCol w:w="60"/>
        <w:gridCol w:w="146"/>
        <w:gridCol w:w="818"/>
        <w:gridCol w:w="60"/>
        <w:gridCol w:w="60"/>
        <w:gridCol w:w="160"/>
        <w:gridCol w:w="970"/>
        <w:gridCol w:w="80"/>
        <w:gridCol w:w="60"/>
        <w:gridCol w:w="215"/>
        <w:gridCol w:w="1125"/>
        <w:gridCol w:w="80"/>
        <w:gridCol w:w="60"/>
        <w:gridCol w:w="204"/>
        <w:gridCol w:w="97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14,835</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44,531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237,622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12" w:type="dxa"/>
        <w:jc w:val="left"/>
        <w:tblInd w:w="0" w:type="dxa"/>
        <w:tblLayout w:type="fixed"/>
        <w:tblCellMar>
          <w:top w:w="0" w:type="dxa"/>
          <w:left w:w="0" w:type="dxa"/>
          <w:bottom w:w="0" w:type="dxa"/>
          <w:right w:w="0" w:type="dxa"/>
        </w:tblCellMar>
      </w:tblPr>
      <w:tblGrid>
        <w:gridCol w:w="2585"/>
        <w:gridCol w:w="60"/>
        <w:gridCol w:w="73"/>
        <w:gridCol w:w="726"/>
        <w:gridCol w:w="80"/>
        <w:gridCol w:w="60"/>
        <w:gridCol w:w="217"/>
        <w:gridCol w:w="583"/>
        <w:gridCol w:w="60"/>
        <w:gridCol w:w="60"/>
        <w:gridCol w:w="146"/>
        <w:gridCol w:w="818"/>
        <w:gridCol w:w="80"/>
        <w:gridCol w:w="60"/>
        <w:gridCol w:w="160"/>
        <w:gridCol w:w="970"/>
        <w:gridCol w:w="80"/>
        <w:gridCol w:w="60"/>
        <w:gridCol w:w="215"/>
        <w:gridCol w:w="1125"/>
        <w:gridCol w:w="80"/>
        <w:gridCol w:w="60"/>
        <w:gridCol w:w="204"/>
        <w:gridCol w:w="97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233,451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68,812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exercises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2024</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12" w:type="dxa"/>
        <w:jc w:val="left"/>
        <w:tblInd w:w="0" w:type="dxa"/>
        <w:tblLayout w:type="fixed"/>
        <w:tblCellMar>
          <w:top w:w="0" w:type="dxa"/>
          <w:left w:w="0" w:type="dxa"/>
          <w:bottom w:w="0" w:type="dxa"/>
          <w:right w:w="0" w:type="dxa"/>
        </w:tblCellMar>
      </w:tblPr>
      <w:tblGrid>
        <w:gridCol w:w="2585"/>
        <w:gridCol w:w="60"/>
        <w:gridCol w:w="73"/>
        <w:gridCol w:w="726"/>
        <w:gridCol w:w="80"/>
        <w:gridCol w:w="60"/>
        <w:gridCol w:w="217"/>
        <w:gridCol w:w="583"/>
        <w:gridCol w:w="60"/>
        <w:gridCol w:w="60"/>
        <w:gridCol w:w="146"/>
        <w:gridCol w:w="818"/>
        <w:gridCol w:w="80"/>
        <w:gridCol w:w="60"/>
        <w:gridCol w:w="160"/>
        <w:gridCol w:w="970"/>
        <w:gridCol w:w="80"/>
        <w:gridCol w:w="60"/>
        <w:gridCol w:w="215"/>
        <w:gridCol w:w="1125"/>
        <w:gridCol w:w="80"/>
        <w:gridCol w:w="60"/>
        <w:gridCol w:w="188"/>
        <w:gridCol w:w="986"/>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63,340</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44,531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12" w:type="dxa"/>
        <w:jc w:val="left"/>
        <w:tblInd w:w="0" w:type="dxa"/>
        <w:tblLayout w:type="fixed"/>
        <w:tblCellMar>
          <w:top w:w="0" w:type="dxa"/>
          <w:left w:w="0" w:type="dxa"/>
          <w:bottom w:w="0" w:type="dxa"/>
          <w:right w:w="0" w:type="dxa"/>
        </w:tblCellMar>
      </w:tblPr>
      <w:tblGrid>
        <w:gridCol w:w="2585"/>
        <w:gridCol w:w="60"/>
        <w:gridCol w:w="73"/>
        <w:gridCol w:w="726"/>
        <w:gridCol w:w="80"/>
        <w:gridCol w:w="60"/>
        <w:gridCol w:w="217"/>
        <w:gridCol w:w="583"/>
        <w:gridCol w:w="60"/>
        <w:gridCol w:w="60"/>
        <w:gridCol w:w="146"/>
        <w:gridCol w:w="818"/>
        <w:gridCol w:w="80"/>
        <w:gridCol w:w="60"/>
        <w:gridCol w:w="160"/>
        <w:gridCol w:w="970"/>
        <w:gridCol w:w="80"/>
        <w:gridCol w:w="60"/>
        <w:gridCol w:w="215"/>
        <w:gridCol w:w="1125"/>
        <w:gridCol w:w="80"/>
        <w:gridCol w:w="60"/>
        <w:gridCol w:w="204"/>
        <w:gridCol w:w="97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73,074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exercises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2024</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HARVARD BIOSCIENCE,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bookmarkStart w:id="9" w:name="Condensed_Consolidated_Statements_Of_Cas"/>
      <w:bookmarkEnd w:id="9"/>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left"/>
        <w:rPr>
          <w:caps w:val="false"/>
          <w:smallCaps w:val="false"/>
        </w:rPr>
      </w:pPr>
      <w:r>
        <w:rPr>
          <w:caps w:val="false"/>
          <w:smallCaps w:val="false"/>
        </w:rPr>
        <w:t> </w:t>
      </w:r>
    </w:p>
    <w:tbl>
      <w:tblPr>
        <w:tblW w:w="8816" w:type="dxa"/>
        <w:jc w:val="left"/>
        <w:tblInd w:w="0" w:type="dxa"/>
        <w:tblLayout w:type="fixed"/>
        <w:tblCellMar>
          <w:top w:w="0" w:type="dxa"/>
          <w:left w:w="0" w:type="dxa"/>
          <w:bottom w:w="0" w:type="dxa"/>
          <w:right w:w="0" w:type="dxa"/>
        </w:tblCellMar>
      </w:tblPr>
      <w:tblGrid>
        <w:gridCol w:w="6335"/>
        <w:gridCol w:w="60"/>
        <w:gridCol w:w="184"/>
        <w:gridCol w:w="961"/>
        <w:gridCol w:w="118"/>
        <w:gridCol w:w="88"/>
        <w:gridCol w:w="184"/>
        <w:gridCol w:w="806"/>
        <w:gridCol w:w="80"/>
      </w:tblGrid>
      <w:tr>
        <w:trPr/>
        <w:tc>
          <w:tcPr>
            <w:tcW w:w="6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8"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 - Note 4</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and other</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securities - Note 6</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property, plant and equipment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marketable equity securities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 from revolving line of credit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revolving line of credit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term debt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stock options and employee stock purchase plan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4,283</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7,442</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540" w:type="dxa"/>
            <w:gridSpan w:val="4"/>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disclosures of cash flow information:</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 net of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bookmarkStart w:id="10" w:name="NOTES_TO_CONDENSED_CONSOLIDATED_FINANCIA"/>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59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of Presentation and 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unaudited consolidated financial statements of Harvard Bioscience, Inc. and its wholly-owned subsidiaries (collectively, the “Company”) as of June 30, 2025 and for the three and six months ended June 30, 2025 and 2024,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2024, consolidated balance sheet was derived from audited financial statements but does not include all disclosures required by U.S. GAAP. However, the Company believes that the disclosures are adequate to make the information presented not misleading. These condensed consolidated financial statements should be read in conjunction with the consolidated financial statements and the notes thereto included in the Company’s Annual Report on Form 10-K 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the opinion of management, all adjustments, which include normal recurring adjustments necessary to present a fair statement of financial position as of June 30, 2025, results of operations and comprehensive loss for the three and six months ended June 30, 2025 and 2024, and cash flows for the six months ended June 30, 2025 and 2024, as applicable, have been made. The results of operations for the three and six months ended June 30, 2025, are not necessarily indicative of the anticipated operating results for the full year ending December 31, 2025,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accounting policies underlying the accompanying condensed consolidated financial statements are set forth in Note 2 to the consolidated financial statements included in the Company’s Annual Report on Form 10-K for the year ended December 31, 2024. There have been no material changes in the Company’s significant accounting policies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for the three and six months ended June 30, 2025, have been prepared assuming that the Company will continue as a going concern. A going-concern basis assumes that the Company will continue its operations for the foreseeable future and contemplate the realization of assets and the settlement of liabilities in the normal course of business. As noted below,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there was indebtedness of $34.9 million outstanding under the Company's term loan and senior revolving credit facility (collectively, the “Credit Agreement”). On August 8, 2025, the Company entered into an amendment (the “August 2025 Amendment”) to the Credit Agreement, pursuant to which the lenders (the “Lenders”) and administrative agent agreed, subject to the terms contained in the August 2025 Amendment, to waive the events of default under the Credit Agreement due to the Company's failure to achieve certain refinancing milestones (the “Refinancing Milestones”) and its failure to comply with certain financial covenants. In connection with the August 2025 Amendment, the Company has agreed to accomplish steps towards the refinancing (the “Refinancing”) or repayment of the Credit Agreement by no later than December 5, 2025. The failure to accomplish such steps shall constitute an event of default under the Credit Agreement. In such event, in addition to other actions the lenders may require, the amounts outstanding under the Credit Agreement may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continues to explore alternative sources of capital that would allow it to refinance the outstanding indebtedness due under the Credit Agreement, but its ability to access such other sources of capital is uncertain. There is no assurance that such capital will be available, be obtainable on commercially acceptable terms, or provide the Company with sufficient funds to meet its objectives. Based on its anticipated cash flows from operations, unless the Company is able to access other sources of capital or extend the date for repayment under the Credit Agreement, the Company will be unable to pay its debt obligations and fund its operations for at least twelve months from the date of issuance of the condensed consolidated financial statements contained in this Quarterly Report on Form 10-Q. As a result,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preparation of condensed consolidated financial statements in conformity with U.S. GAAP requires the use of management estimates. Such estimates include the determination and establishment of certain accruals and provisions, including those for income taxes, credit losses on receivables, and defined benefit pension obligations. Estimates are also required to assess the value for inventories reported at lower of cost or net realizable value, stock-based compensation expense, and the recoverability of long-lived and intangible assets, including goodwill. On an ongoing basis, the Company assesses its previous estimates based upon currently available information. Actual results could differ materially from the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components of other operating expenses for the three and six months ended June 30, 2025 and 2024 were as follows: </w:t>
      </w:r>
    </w:p>
    <w:p>
      <w:pPr>
        <w:pStyle w:val="TextBody"/>
        <w:bidi w:val="0"/>
        <w:spacing w:before="0" w:after="0"/>
        <w:ind w:left="0" w:right="0" w:hanging="0"/>
        <w:jc w:val="left"/>
        <w:rPr>
          <w:caps w:val="false"/>
          <w:smallCaps w:val="false"/>
        </w:rPr>
      </w:pPr>
      <w:r>
        <w:rPr>
          <w:caps w:val="false"/>
          <w:smallCaps w:val="false"/>
        </w:rPr>
        <w:t> </w:t>
      </w:r>
    </w:p>
    <w:tbl>
      <w:tblPr>
        <w:tblW w:w="9088" w:type="dxa"/>
        <w:jc w:val="left"/>
        <w:tblInd w:w="0" w:type="dxa"/>
        <w:tblLayout w:type="fixed"/>
        <w:tblCellMar>
          <w:top w:w="0" w:type="dxa"/>
          <w:left w:w="0" w:type="dxa"/>
          <w:bottom w:w="0" w:type="dxa"/>
          <w:right w:w="0" w:type="dxa"/>
        </w:tblCellMar>
      </w:tblPr>
      <w:tblGrid>
        <w:gridCol w:w="3995"/>
        <w:gridCol w:w="60"/>
        <w:gridCol w:w="288"/>
        <w:gridCol w:w="773"/>
        <w:gridCol w:w="138"/>
        <w:gridCol w:w="138"/>
        <w:gridCol w:w="288"/>
        <w:gridCol w:w="912"/>
        <w:gridCol w:w="80"/>
        <w:gridCol w:w="60"/>
        <w:gridCol w:w="241"/>
        <w:gridCol w:w="647"/>
        <w:gridCol w:w="115"/>
        <w:gridCol w:w="115"/>
        <w:gridCol w:w="241"/>
        <w:gridCol w:w="937"/>
        <w:gridCol w:w="6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5" w:type="dxa"/>
            <w:tcBorders>
              <w:bottom w:val="single" w:sz="2" w:space="0" w:color="000000"/>
            </w:tcBorders>
            <w:tcMar>
              <w:bottom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retention tax credit fees (see Note 5)</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6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Unclaimed property audits expense (see Note 13)</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 (see Note 14)</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Recently Issued Accounting Pronouncements Yet to Be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In December 2023, the FASB issued ASU No. 2023-09, </w:t>
      </w:r>
      <w:r>
        <w:rPr>
          <w:rFonts w:ascii="Times New Roman" w:hAnsi="Times New Roman"/>
          <w:i/>
          <w:caps w:val="false"/>
          <w:smallCaps w:val="false"/>
          <w:sz w:val="20"/>
        </w:rPr>
        <w:t>Income Taxes (Topic 740): Improvements to Income Tax</w:t>
      </w:r>
      <w:r>
        <w:rPr>
          <w:rFonts w:ascii="Times New Roman" w:hAnsi="Times New Roman"/>
          <w:caps w:val="false"/>
          <w:smallCaps w:val="false"/>
          <w:sz w:val="20"/>
        </w:rPr>
        <w:t>, which enhances disclosures related to the effective tax rate reconciliation, income taxes paid, as well as other disclosures. The new standard impacts footnote disclosures and is effective for the Company’s annual financial statements for the year ending December 31, 2025. The Company is continuing to assess the impact adopting ASU No. 2023-09 will have on the footnote disclosures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No. 2024-03, </w:t>
      </w:r>
      <w:r>
        <w:rPr>
          <w:rFonts w:ascii="Times New Roman" w:hAnsi="Times New Roman"/>
          <w:i/>
          <w:caps w:val="false"/>
          <w:smallCaps w:val="false"/>
          <w:sz w:val="20"/>
        </w:rPr>
        <w:t>Income Statement (Subtopic 220-40): 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annual reporting periods beginning after December 15, 2026, and interim reporting periods beginning after December 15, 2027, with early adoption permitted. The Company is continuing to assess the impact adopting ASU No. 2024-03 will have on the footnote disclosures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215"/>
        <w:gridCol w:w="222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 </w:t>
            </w:r>
          </w:p>
        </w:tc>
        <w:tc>
          <w:tcPr>
            <w:tcW w:w="22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Basic earnings (loss) per share is computed by dividing net income (loss) by the weighted average number of shares of common stock outstanding during the periods presented. The computation of diluted earnings (loss) per share is similar to the computation of basic earnings per share, except that the denominator is increased for the assumed exercise of dilutive options and other potentially dilutive securities using the treasury stock method unless the effect is antidilutive. The following table summarizes the calculation of basic and diluted net loss per share of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6"/>
        <w:gridCol w:w="60"/>
        <w:gridCol w:w="190"/>
        <w:gridCol w:w="901"/>
        <w:gridCol w:w="121"/>
        <w:gridCol w:w="91"/>
        <w:gridCol w:w="190"/>
        <w:gridCol w:w="901"/>
        <w:gridCol w:w="80"/>
        <w:gridCol w:w="60"/>
        <w:gridCol w:w="168"/>
        <w:gridCol w:w="878"/>
        <w:gridCol w:w="107"/>
        <w:gridCol w:w="80"/>
        <w:gridCol w:w="168"/>
        <w:gridCol w:w="797"/>
        <w:gridCol w:w="87"/>
      </w:tblGrid>
      <w:tr>
        <w:trPr/>
        <w:tc>
          <w:tcPr>
            <w:tcW w:w="5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9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 share data)</w:t>
            </w:r>
          </w:p>
        </w:tc>
        <w:tc>
          <w:tcPr>
            <w:tcW w:w="60" w:type="dxa"/>
            <w:tcBorders/>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1"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(7,621</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44,303</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44,200</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43,443</w:t>
            </w:r>
          </w:p>
        </w:tc>
        <w:tc>
          <w:tcPr>
            <w:tcW w:w="87" w:type="dxa"/>
            <w:tcBorders/>
            <w:shd w:fill="FFFFFF" w:val="clear"/>
            <w:vAlign w:val="center"/>
          </w:tcPr>
          <w:p>
            <w:pPr>
              <w:pStyle w:val="TableContents"/>
              <w:bidi w:val="0"/>
              <w:spacing w:before="0" w:after="283"/>
              <w:jc w:val="left"/>
              <w:rPr/>
            </w:pPr>
            <w:r>
              <w:rPr/>
              <w:t> </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equity awards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44,303</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44,200</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43,443</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excluded from diluted loss per share due to their anti-dilutive effect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2,289</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3,600</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170"/>
        <w:gridCol w:w="8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r>
    </w:tbl>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tables represent a disaggregation of revenues from contracts with customers for the three and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type were as follows:</w:t>
      </w:r>
    </w:p>
    <w:p>
      <w:pPr>
        <w:pStyle w:val="TextBody"/>
        <w:bidi w:val="0"/>
        <w:spacing w:before="0" w:after="0"/>
        <w:ind w:left="0" w:right="0" w:hanging="0"/>
        <w:jc w:val="left"/>
        <w:rPr>
          <w:caps w:val="false"/>
          <w:smallCaps w:val="false"/>
        </w:rPr>
      </w:pPr>
      <w:r>
        <w:rPr>
          <w:caps w:val="false"/>
          <w:smallCaps w:val="false"/>
        </w:rPr>
        <w:t> </w:t>
      </w:r>
    </w:p>
    <w:tbl>
      <w:tblPr>
        <w:tblW w:w="9054" w:type="dxa"/>
        <w:jc w:val="left"/>
        <w:tblInd w:w="0" w:type="dxa"/>
        <w:tblLayout w:type="fixed"/>
        <w:tblCellMar>
          <w:top w:w="0" w:type="dxa"/>
          <w:left w:w="0" w:type="dxa"/>
          <w:bottom w:w="0" w:type="dxa"/>
          <w:right w:w="0" w:type="dxa"/>
        </w:tblCellMar>
      </w:tblPr>
      <w:tblGrid>
        <w:gridCol w:w="3980"/>
        <w:gridCol w:w="60"/>
        <w:gridCol w:w="204"/>
        <w:gridCol w:w="966"/>
        <w:gridCol w:w="98"/>
        <w:gridCol w:w="98"/>
        <w:gridCol w:w="204"/>
        <w:gridCol w:w="966"/>
        <w:gridCol w:w="60"/>
        <w:gridCol w:w="60"/>
        <w:gridCol w:w="185"/>
        <w:gridCol w:w="875"/>
        <w:gridCol w:w="89"/>
        <w:gridCol w:w="89"/>
        <w:gridCol w:w="185"/>
        <w:gridCol w:w="875"/>
        <w:gridCol w:w="6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Instruments, equipment, software and accessories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44,051</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timing of recognition were as follows:</w:t>
      </w:r>
    </w:p>
    <w:p>
      <w:pPr>
        <w:pStyle w:val="TextBody"/>
        <w:bidi w:val="0"/>
        <w:spacing w:before="0" w:after="0"/>
        <w:ind w:left="0" w:right="0" w:hanging="0"/>
        <w:jc w:val="left"/>
        <w:rPr>
          <w:caps w:val="false"/>
          <w:smallCaps w:val="false"/>
        </w:rPr>
      </w:pPr>
      <w:r>
        <w:rPr>
          <w:caps w:val="false"/>
          <w:smallCaps w:val="false"/>
        </w:rPr>
        <w:t> </w:t>
      </w:r>
    </w:p>
    <w:tbl>
      <w:tblPr>
        <w:tblW w:w="9023" w:type="dxa"/>
        <w:jc w:val="left"/>
        <w:tblInd w:w="0" w:type="dxa"/>
        <w:tblLayout w:type="fixed"/>
        <w:tblCellMar>
          <w:top w:w="0" w:type="dxa"/>
          <w:left w:w="0" w:type="dxa"/>
          <w:bottom w:w="0" w:type="dxa"/>
          <w:right w:w="0" w:type="dxa"/>
        </w:tblCellMar>
      </w:tblPr>
      <w:tblGrid>
        <w:gridCol w:w="3905"/>
        <w:gridCol w:w="60"/>
        <w:gridCol w:w="204"/>
        <w:gridCol w:w="966"/>
        <w:gridCol w:w="98"/>
        <w:gridCol w:w="98"/>
        <w:gridCol w:w="204"/>
        <w:gridCol w:w="966"/>
        <w:gridCol w:w="60"/>
        <w:gridCol w:w="60"/>
        <w:gridCol w:w="189"/>
        <w:gridCol w:w="892"/>
        <w:gridCol w:w="90"/>
        <w:gridCol w:w="90"/>
        <w:gridCol w:w="189"/>
        <w:gridCol w:w="892"/>
        <w:gridCol w:w="6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Goods and services transferred at a point in time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19,269</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45,726</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Goods and services transferred over time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geographic region were as follows:</w:t>
      </w:r>
    </w:p>
    <w:p>
      <w:pPr>
        <w:pStyle w:val="TextBody"/>
        <w:bidi w:val="0"/>
        <w:spacing w:before="0" w:after="0"/>
        <w:ind w:left="0" w:right="0" w:hanging="0"/>
        <w:jc w:val="left"/>
        <w:rPr>
          <w:caps w:val="false"/>
          <w:smallCaps w:val="false"/>
        </w:rPr>
      </w:pPr>
      <w:r>
        <w:rPr>
          <w:caps w:val="false"/>
          <w:smallCaps w:val="false"/>
        </w:rPr>
        <w:t> </w:t>
      </w:r>
    </w:p>
    <w:tbl>
      <w:tblPr>
        <w:tblW w:w="7644" w:type="dxa"/>
        <w:jc w:val="left"/>
        <w:tblInd w:w="0" w:type="dxa"/>
        <w:tblLayout w:type="fixed"/>
        <w:tblCellMar>
          <w:top w:w="0" w:type="dxa"/>
          <w:left w:w="0" w:type="dxa"/>
          <w:bottom w:w="0" w:type="dxa"/>
          <w:right w:w="0" w:type="dxa"/>
        </w:tblCellMar>
      </w:tblPr>
      <w:tblGrid>
        <w:gridCol w:w="2570"/>
        <w:gridCol w:w="60"/>
        <w:gridCol w:w="204"/>
        <w:gridCol w:w="966"/>
        <w:gridCol w:w="98"/>
        <w:gridCol w:w="98"/>
        <w:gridCol w:w="204"/>
        <w:gridCol w:w="966"/>
        <w:gridCol w:w="60"/>
        <w:gridCol w:w="60"/>
        <w:gridCol w:w="185"/>
        <w:gridCol w:w="875"/>
        <w:gridCol w:w="89"/>
        <w:gridCol w:w="89"/>
        <w:gridCol w:w="185"/>
        <w:gridCol w:w="875"/>
        <w:gridCol w:w="6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21,788</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 - Other</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6,588</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13,222</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7,631</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 Other</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3,687</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provides details of contract liabilities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4490"/>
        <w:gridCol w:w="60"/>
        <w:gridCol w:w="148"/>
        <w:gridCol w:w="576"/>
        <w:gridCol w:w="60"/>
        <w:gridCol w:w="60"/>
        <w:gridCol w:w="240"/>
        <w:gridCol w:w="934"/>
        <w:gridCol w:w="60"/>
        <w:gridCol w:w="60"/>
        <w:gridCol w:w="159"/>
        <w:gridCol w:w="506"/>
        <w:gridCol w:w="80"/>
        <w:gridCol w:w="60"/>
        <w:gridCol w:w="146"/>
        <w:gridCol w:w="819"/>
        <w:gridCol w:w="18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Installation and training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contract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Changes in the Company’s contract liabilities are primarily due to the timing of receipt of payments under service, maintenance and warranty contracts and lower sales volumes. Additionally, customer advances have decreased due to the recognition of amounts under the Company’s exchange program, which allows customers to purchase a replacement implantable monitor of the same model at a lower price than a new monitor if the customer returns an implantable monitor to the Company after use, and returned monitor can be reprocessed and resold. During the three months ended June 30, 2025 and 2024, the Company recognized revenues of $1.1 million and $1.0 million from contract liabilities existing at December 31, 2024 and 2023, respectively. During the six months ended June 30, 2025 and 2024, the Company recognized revenue of $2.8 million and $2.6 million from contract liabilities existing at December 31,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represents the Company's remaining performance obligations from contracts that are recognized over time as of June 30, 2025:</w:t>
      </w:r>
    </w:p>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3620"/>
        <w:gridCol w:w="60"/>
        <w:gridCol w:w="125"/>
        <w:gridCol w:w="485"/>
        <w:gridCol w:w="60"/>
        <w:gridCol w:w="60"/>
        <w:gridCol w:w="125"/>
        <w:gridCol w:w="335"/>
        <w:gridCol w:w="60"/>
        <w:gridCol w:w="60"/>
        <w:gridCol w:w="125"/>
        <w:gridCol w:w="335"/>
        <w:gridCol w:w="60"/>
        <w:gridCol w:w="60"/>
        <w:gridCol w:w="154"/>
        <w:gridCol w:w="286"/>
        <w:gridCol w:w="60"/>
        <w:gridCol w:w="60"/>
        <w:gridCol w:w="154"/>
        <w:gridCol w:w="286"/>
        <w:gridCol w:w="60"/>
        <w:gridCol w:w="60"/>
        <w:gridCol w:w="467"/>
        <w:gridCol w:w="468"/>
        <w:gridCol w:w="60"/>
        <w:gridCol w:w="60"/>
        <w:gridCol w:w="125"/>
        <w:gridCol w:w="485"/>
        <w:gridCol w:w="6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75"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Performance Obligations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2027</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2028</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2029</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Thereafter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remainder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Provision for Expected Credit Losses on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Activity in the provision for expected credit losses on receivables was as follows:</w:t>
      </w:r>
    </w:p>
    <w:p>
      <w:pPr>
        <w:pStyle w:val="TextBody"/>
        <w:bidi w:val="0"/>
        <w:spacing w:before="0" w:after="0"/>
        <w:ind w:left="0" w:right="0" w:hanging="0"/>
        <w:jc w:val="left"/>
        <w:rPr>
          <w:caps w:val="false"/>
          <w:smallCaps w:val="false"/>
        </w:rPr>
      </w:pPr>
      <w:r>
        <w:rPr>
          <w:caps w:val="false"/>
          <w:smallCaps w:val="false"/>
        </w:rPr>
        <w:t> </w:t>
      </w:r>
    </w:p>
    <w:tbl>
      <w:tblPr>
        <w:tblW w:w="5352" w:type="dxa"/>
        <w:jc w:val="left"/>
        <w:tblInd w:w="0" w:type="dxa"/>
        <w:tblLayout w:type="fixed"/>
        <w:tblCellMar>
          <w:top w:w="0" w:type="dxa"/>
          <w:left w:w="0" w:type="dxa"/>
          <w:bottom w:w="0" w:type="dxa"/>
          <w:right w:w="0" w:type="dxa"/>
        </w:tblCellMar>
      </w:tblPr>
      <w:tblGrid>
        <w:gridCol w:w="2900"/>
        <w:gridCol w:w="60"/>
        <w:gridCol w:w="271"/>
        <w:gridCol w:w="726"/>
        <w:gridCol w:w="173"/>
        <w:gridCol w:w="130"/>
        <w:gridCol w:w="271"/>
        <w:gridCol w:w="726"/>
        <w:gridCol w:w="9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73"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7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9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 and other</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7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 xml:space="preserve">Concentrations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 customer accounted for more than 10% of revenues for the three and six months ended June 30, 2025 and 2024. At June 30, 2025 and December 31, 2024, no customer accounted for more than 10% of net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Activity in the product warranties accrual was as follows:</w:t>
      </w:r>
    </w:p>
    <w:p>
      <w:pPr>
        <w:pStyle w:val="TextBody"/>
        <w:bidi w:val="0"/>
        <w:spacing w:before="0" w:after="0"/>
        <w:ind w:left="0" w:right="0" w:hanging="0"/>
        <w:jc w:val="both"/>
        <w:rPr>
          <w:caps w:val="false"/>
          <w:smallCaps w:val="false"/>
        </w:rPr>
      </w:pPr>
      <w:r>
        <w:rPr>
          <w:caps w:val="false"/>
          <w:smallCaps w:val="false"/>
        </w:rPr>
        <w:t> </w:t>
      </w:r>
    </w:p>
    <w:tbl>
      <w:tblPr>
        <w:tblW w:w="4857" w:type="dxa"/>
        <w:jc w:val="left"/>
        <w:tblInd w:w="0" w:type="dxa"/>
        <w:tblLayout w:type="fixed"/>
        <w:tblCellMar>
          <w:top w:w="0" w:type="dxa"/>
          <w:left w:w="0" w:type="dxa"/>
          <w:bottom w:w="0" w:type="dxa"/>
          <w:right w:w="0" w:type="dxa"/>
        </w:tblCellMar>
      </w:tblPr>
      <w:tblGrid>
        <w:gridCol w:w="2405"/>
        <w:gridCol w:w="60"/>
        <w:gridCol w:w="256"/>
        <w:gridCol w:w="687"/>
        <w:gridCol w:w="164"/>
        <w:gridCol w:w="123"/>
        <w:gridCol w:w="256"/>
        <w:gridCol w:w="811"/>
        <w:gridCol w:w="9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4" w:type="dxa"/>
            <w:tcBorders>
              <w:bottom w:val="single" w:sz="2" w:space="0" w:color="000000"/>
            </w:tcBorders>
            <w:tcMar>
              <w:bottom w:w="28" w:type="dxa"/>
            </w:tcMar>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9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warranties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9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claims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6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170"/>
        <w:gridCol w:w="27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27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and Long-Lived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determined that a sustained decrease in its stock price that occurred during the three months ended March 31, 2025 indicated that the carrying values of its goodwill and other long-lived assets may not be recoverable. Additional factors that contributed to this conclusion are the Company’s recent operating results, liquidity risk and the current macroeconomic conditions impacting the life sciences industry. Based on this determination, the Company performed interim quantitative impairment tests on its goodwill and other long-lived assets as of March 31, 2025 and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recoverability of assets or an asset group to be held and used is measured by a comparison of the carrying amount of an asset or asset group to estimated undiscounted future cash flows expected to be generated by the asset or the asset group. Based on its recoverability assessment, the Company determined that there was no impairment of its other long-lived assets as of March 31, 2025 and 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For the purpose of its goodwill impairment analysis, the Company has one reporting unit. The Company estimated the fair value of the reporting unit using an income-based valuation approach by means of a discounted cash flow (“DCF”) model. Under this model, the fair value of the reporting unit is determined based on the present value of estimated future cash flows, discounted at a risk-adjusted rate of return. The Company used internal forecasts and strategic long-term plans to estimate future cash flows, including projections of revenue and EBITDA, capital expenditure and working capital requirements, terminal growth rates, statutory tax rates and a market-participant discount rate. The goodwill impairment analysis also includes a reconciliation of the aggregate estimated fair value of the reporting unit to the Company’s total market capitalization. Based on this quantitative impairment analysis as of March 31, 2025, the Company determined that the carrying value of the reporting unit exceeded its fair value by $48.0 million. Accordingly, the Company recorded such amount as a goodwill impairment charge for the three months ended March 31, 2025. Based on the impairment analysis performed as of June 30, 2025, an additional impairment charge was not required during the three months ended June 30,2025.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inputs and assumptions used in determining the fair value of the reporting unit are subjective and require management’s use of significant judgment. Certain future events and circumstances, including further deterioration of the Company’s stock price, operating results, and macroeconomic conditions, and a higher cost of capital, among others, could result in changes to these inputs and assumptions. A revision of these inputs and assumptions could cause the fair value of the reporting unit to fall further below its carrying value, resulting in additional impairment charges, which could have a material adverse effect on the Company’s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change in the carrying amount of goodwill for the six months ended June 30, 2025 was as follows:</w:t>
      </w:r>
    </w:p>
    <w:p>
      <w:pPr>
        <w:pStyle w:val="TextBody"/>
        <w:bidi w:val="0"/>
        <w:spacing w:before="0" w:after="0"/>
        <w:ind w:left="0" w:right="0" w:firstLine="440"/>
        <w:jc w:val="both"/>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3230"/>
        <w:gridCol w:w="60"/>
        <w:gridCol w:w="125"/>
        <w:gridCol w:w="650"/>
        <w:gridCol w:w="95"/>
      </w:tblGrid>
      <w:tr>
        <w:trPr/>
        <w:tc>
          <w:tcPr>
            <w:tcW w:w="3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56,324</w:t>
            </w:r>
          </w:p>
        </w:tc>
        <w:tc>
          <w:tcPr>
            <w:tcW w:w="9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 in currency translation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10,152</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Intangible assets, net at June 30, 2025 and December 31, 2024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900" w:type="dxa"/>
        <w:jc w:val="left"/>
        <w:tblInd w:w="0" w:type="dxa"/>
        <w:tblLayout w:type="fixed"/>
        <w:tblCellMar>
          <w:top w:w="0" w:type="dxa"/>
          <w:left w:w="0" w:type="dxa"/>
          <w:bottom w:w="0" w:type="dxa"/>
          <w:right w:w="0" w:type="dxa"/>
        </w:tblCellMar>
      </w:tblPr>
      <w:tblGrid>
        <w:gridCol w:w="3185"/>
        <w:gridCol w:w="60"/>
        <w:gridCol w:w="125"/>
        <w:gridCol w:w="590"/>
        <w:gridCol w:w="60"/>
        <w:gridCol w:w="60"/>
        <w:gridCol w:w="177"/>
        <w:gridCol w:w="923"/>
        <w:gridCol w:w="80"/>
        <w:gridCol w:w="60"/>
        <w:gridCol w:w="125"/>
        <w:gridCol w:w="485"/>
        <w:gridCol w:w="60"/>
        <w:gridCol w:w="60"/>
        <w:gridCol w:w="125"/>
        <w:gridCol w:w="590"/>
        <w:gridCol w:w="60"/>
        <w:gridCol w:w="60"/>
        <w:gridCol w:w="177"/>
        <w:gridCol w:w="923"/>
        <w:gridCol w:w="80"/>
        <w:gridCol w:w="60"/>
        <w:gridCol w:w="125"/>
        <w:gridCol w:w="590"/>
        <w:gridCol w:w="6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9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Amortizable intangible assets: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 and software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4,841</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 and patents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amortizable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60,114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58,452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10,937</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Intangible asset amortization expense for the three and six months ended June 30, 2025 and 2024 was as follows:</w:t>
      </w:r>
    </w:p>
    <w:p>
      <w:pPr>
        <w:pStyle w:val="TextBody"/>
        <w:bidi w:val="0"/>
        <w:spacing w:before="0" w:after="0"/>
        <w:ind w:left="0" w:right="0" w:hanging="0"/>
        <w:jc w:val="left"/>
        <w:rPr>
          <w:caps w:val="false"/>
          <w:smallCaps w:val="false"/>
        </w:rPr>
      </w:pPr>
      <w:r>
        <w:rPr>
          <w:caps w:val="false"/>
          <w:smallCaps w:val="false"/>
        </w:rPr>
        <w:t> </w:t>
      </w:r>
    </w:p>
    <w:tbl>
      <w:tblPr>
        <w:tblW w:w="8212" w:type="dxa"/>
        <w:jc w:val="left"/>
        <w:tblInd w:w="0" w:type="dxa"/>
        <w:tblLayout w:type="fixed"/>
        <w:tblCellMar>
          <w:top w:w="0" w:type="dxa"/>
          <w:left w:w="0" w:type="dxa"/>
          <w:bottom w:w="0" w:type="dxa"/>
          <w:right w:w="0" w:type="dxa"/>
        </w:tblCellMar>
      </w:tblPr>
      <w:tblGrid>
        <w:gridCol w:w="3140"/>
        <w:gridCol w:w="60"/>
        <w:gridCol w:w="236"/>
        <w:gridCol w:w="919"/>
        <w:gridCol w:w="113"/>
        <w:gridCol w:w="113"/>
        <w:gridCol w:w="236"/>
        <w:gridCol w:w="919"/>
        <w:gridCol w:w="60"/>
        <w:gridCol w:w="60"/>
        <w:gridCol w:w="214"/>
        <w:gridCol w:w="832"/>
        <w:gridCol w:w="102"/>
        <w:gridCol w:w="102"/>
        <w:gridCol w:w="214"/>
        <w:gridCol w:w="832"/>
        <w:gridCol w:w="6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estimated future amortization expense of amortizable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2030"/>
        <w:gridCol w:w="60"/>
        <w:gridCol w:w="125"/>
        <w:gridCol w:w="485"/>
        <w:gridCol w:w="75"/>
      </w:tblGrid>
      <w:tr>
        <w:trPr/>
        <w:tc>
          <w:tcPr>
            <w:tcW w:w="20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(remainder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2,857</w:t>
            </w:r>
          </w:p>
        </w:tc>
        <w:tc>
          <w:tcPr>
            <w:tcW w:w="75"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w:t>
            </w:r>
          </w:p>
        </w:tc>
        <w:tc>
          <w:tcPr>
            <w:tcW w:w="75"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22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tables provide details of selected balance sheet items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3538" w:type="dxa"/>
        <w:jc w:val="left"/>
        <w:tblInd w:w="0" w:type="dxa"/>
        <w:tblLayout w:type="fixed"/>
        <w:tblCellMar>
          <w:top w:w="0" w:type="dxa"/>
          <w:left w:w="0" w:type="dxa"/>
          <w:bottom w:w="0" w:type="dxa"/>
          <w:right w:w="0" w:type="dxa"/>
        </w:tblCellMar>
      </w:tblPr>
      <w:tblGrid>
        <w:gridCol w:w="1340"/>
        <w:gridCol w:w="60"/>
        <w:gridCol w:w="134"/>
        <w:gridCol w:w="635"/>
        <w:gridCol w:w="60"/>
        <w:gridCol w:w="60"/>
        <w:gridCol w:w="204"/>
        <w:gridCol w:w="970"/>
        <w:gridCol w:w="75"/>
      </w:tblGrid>
      <w:tr>
        <w:trPr/>
        <w:tc>
          <w:tcPr>
            <w:tcW w:w="134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5,222</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15,269</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803" w:type="dxa"/>
        <w:jc w:val="left"/>
        <w:tblInd w:w="0" w:type="dxa"/>
        <w:tblLayout w:type="fixed"/>
        <w:tblCellMar>
          <w:top w:w="0" w:type="dxa"/>
          <w:left w:w="0" w:type="dxa"/>
          <w:bottom w:w="0" w:type="dxa"/>
          <w:right w:w="0" w:type="dxa"/>
        </w:tblCellMar>
      </w:tblPr>
      <w:tblGrid>
        <w:gridCol w:w="3605"/>
        <w:gridCol w:w="60"/>
        <w:gridCol w:w="134"/>
        <w:gridCol w:w="635"/>
        <w:gridCol w:w="60"/>
        <w:gridCol w:w="60"/>
        <w:gridCol w:w="240"/>
        <w:gridCol w:w="934"/>
        <w:gridCol w:w="75"/>
      </w:tblGrid>
      <w:tr>
        <w:trPr/>
        <w:tc>
          <w:tcPr>
            <w:tcW w:w="360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Current Liabilities:</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credits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retention tax credit funds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costs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The Coronavirus Aid, Relief, and Economic Security Act of 2020 (the “CARES Act”) provided an employee retention tax credit (“ERTC”) that was a refundable tax credit against certain employer taxes. The Company elected to account for the credit as a government grant. As there is no authoritative guidance under U.S. GAAP on accounting for grants to for-profit business entities from government entities, the Company accounts for government assistance by analogy to International Accounting Standards Topic 20,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(“IAS 20”). Under IAS 20, government grants are recognized when there is reasonable assurance that the grant will be received and that all conditions related to the grant will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received ERTC refunds of $2.2 million and $3.2 million during the six months ended June 30, 2025 and 2024, respectively. Due to the subjectivity of the credit, the Company has included the refunds received in other current liabilities in the consolidated balance sheets as of June 30, 2025 and 2024, subject to a determination that the refunds are recognizable.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engaged a professional services firm under a commission fee arrangement to assist with determining the Company’s eligibility to claim the ERTC refunds and accumulating the necessary support that was used as a basis in the filing. The Company paid fees of $0.3 million and $0.5 million during the six months June 30, 2025 and 2024, respectively, for these services, which are included in other operating expenses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w:t>
            </w:r>
          </w:p>
        </w:tc>
        <w:tc>
          <w:tcPr>
            <w:tcW w:w="24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Marketable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April 2023, the Company received shares of common stock of Harvard Apparatus Regenerative Technology, Inc. (“HRGN”, formerly known as Biostage, Inc.) in connection with settlement of indemnification obligations related to litigation which was resolved during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2024, the Company sold all of its remaining HRGN shares. The Company received cash proceeds of $1.4 million and $1.9 million from HRGN shares sold during the three and six months ended June 30, 2024, respectively. The Company recorded losses on equity securities of $0.3 million and $1.6 million during the three and six months ended June 30, 2024, respectively. The Company determined the fair value of its HRGN common stock based on the closing price as quoted on the OTCQB Marketplace at the reporting date. The Company did not hold any shares of HRGN stock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5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has noncancelable operating leases for offices, manufacturing facilities, warehouse space, automobiles and equipment expiring at various dates through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components of lease expense for the three and six months ended June 30,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6844" w:type="dxa"/>
        <w:jc w:val="left"/>
        <w:tblInd w:w="0" w:type="dxa"/>
        <w:tblLayout w:type="fixed"/>
        <w:tblCellMar>
          <w:top w:w="0" w:type="dxa"/>
          <w:left w:w="0" w:type="dxa"/>
          <w:bottom w:w="0" w:type="dxa"/>
          <w:right w:w="0" w:type="dxa"/>
        </w:tblCellMar>
      </w:tblPr>
      <w:tblGrid>
        <w:gridCol w:w="1715"/>
        <w:gridCol w:w="60"/>
        <w:gridCol w:w="305"/>
        <w:gridCol w:w="818"/>
        <w:gridCol w:w="146"/>
        <w:gridCol w:w="146"/>
        <w:gridCol w:w="305"/>
        <w:gridCol w:w="818"/>
        <w:gridCol w:w="80"/>
        <w:gridCol w:w="60"/>
        <w:gridCol w:w="214"/>
        <w:gridCol w:w="832"/>
        <w:gridCol w:w="102"/>
        <w:gridCol w:w="102"/>
        <w:gridCol w:w="214"/>
        <w:gridCol w:w="832"/>
        <w:gridCol w:w="95"/>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9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95"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Supplemental cash flow information related to the Company's operating leases is as follows:</w:t>
      </w:r>
    </w:p>
    <w:p>
      <w:pPr>
        <w:pStyle w:val="TextBody"/>
        <w:bidi w:val="0"/>
        <w:spacing w:before="0" w:after="0"/>
        <w:ind w:left="0" w:right="0" w:hanging="0"/>
        <w:jc w:val="left"/>
        <w:rPr>
          <w:caps w:val="false"/>
          <w:smallCaps w:val="false"/>
        </w:rPr>
      </w:pPr>
      <w:r>
        <w:rPr>
          <w:caps w:val="false"/>
          <w:smallCaps w:val="false"/>
        </w:rPr>
        <w:t> </w:t>
      </w:r>
    </w:p>
    <w:tbl>
      <w:tblPr>
        <w:tblW w:w="8197" w:type="dxa"/>
        <w:jc w:val="left"/>
        <w:tblInd w:w="0" w:type="dxa"/>
        <w:tblLayout w:type="fixed"/>
        <w:tblCellMar>
          <w:top w:w="0" w:type="dxa"/>
          <w:left w:w="0" w:type="dxa"/>
          <w:bottom w:w="0" w:type="dxa"/>
          <w:right w:w="0" w:type="dxa"/>
        </w:tblCellMar>
      </w:tblPr>
      <w:tblGrid>
        <w:gridCol w:w="5720"/>
        <w:gridCol w:w="60"/>
        <w:gridCol w:w="218"/>
        <w:gridCol w:w="848"/>
        <w:gridCol w:w="105"/>
        <w:gridCol w:w="105"/>
        <w:gridCol w:w="218"/>
        <w:gridCol w:w="848"/>
        <w:gridCol w:w="75"/>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7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the Company’s operating leases is as follows:</w:t>
      </w:r>
    </w:p>
    <w:p>
      <w:pPr>
        <w:pStyle w:val="TextBody"/>
        <w:bidi w:val="0"/>
        <w:spacing w:before="0" w:after="0"/>
        <w:ind w:left="0" w:right="0" w:hanging="0"/>
        <w:jc w:val="left"/>
        <w:rPr>
          <w:caps w:val="false"/>
          <w:smallCaps w:val="false"/>
        </w:rPr>
      </w:pPr>
      <w:r>
        <w:rPr>
          <w:caps w:val="false"/>
          <w:smallCaps w:val="false"/>
        </w:rPr>
        <w:t> </w:t>
      </w:r>
    </w:p>
    <w:tbl>
      <w:tblPr>
        <w:tblW w:w="6218" w:type="dxa"/>
        <w:jc w:val="left"/>
        <w:tblInd w:w="0" w:type="dxa"/>
        <w:tblLayout w:type="fixed"/>
        <w:tblCellMar>
          <w:top w:w="0" w:type="dxa"/>
          <w:left w:w="0" w:type="dxa"/>
          <w:bottom w:w="0" w:type="dxa"/>
          <w:right w:w="0" w:type="dxa"/>
        </w:tblCellMar>
      </w:tblPr>
      <w:tblGrid>
        <w:gridCol w:w="3815"/>
        <w:gridCol w:w="60"/>
        <w:gridCol w:w="148"/>
        <w:gridCol w:w="576"/>
        <w:gridCol w:w="185"/>
        <w:gridCol w:w="60"/>
        <w:gridCol w:w="240"/>
        <w:gridCol w:w="934"/>
        <w:gridCol w:w="20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0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20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6,381</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7,539</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0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Future minimum lease payments for operating leases, with initial terms in excess of one year at June 30, 2025, are as follows:</w:t>
      </w:r>
    </w:p>
    <w:p>
      <w:pPr>
        <w:pStyle w:val="TextBody"/>
        <w:bidi w:val="0"/>
        <w:spacing w:before="0" w:after="0"/>
        <w:ind w:left="0" w:right="0" w:hanging="0"/>
        <w:jc w:val="left"/>
        <w:rPr>
          <w:caps w:val="false"/>
          <w:smallCaps w:val="false"/>
        </w:rPr>
      </w:pPr>
      <w:r>
        <w:rPr>
          <w:caps w:val="false"/>
          <w:smallCaps w:val="false"/>
        </w:rPr>
        <w:t> </w:t>
      </w:r>
    </w:p>
    <w:tbl>
      <w:tblPr>
        <w:tblW w:w="3440" w:type="dxa"/>
        <w:jc w:val="left"/>
        <w:tblInd w:w="0" w:type="dxa"/>
        <w:tblLayout w:type="fixed"/>
        <w:tblCellMar>
          <w:top w:w="0" w:type="dxa"/>
          <w:left w:w="0" w:type="dxa"/>
          <w:bottom w:w="28" w:type="dxa"/>
          <w:right w:w="0" w:type="dxa"/>
        </w:tblCellMar>
      </w:tblPr>
      <w:tblGrid>
        <w:gridCol w:w="2570"/>
        <w:gridCol w:w="60"/>
        <w:gridCol w:w="125"/>
        <w:gridCol w:w="590"/>
        <w:gridCol w:w="95"/>
      </w:tblGrid>
      <w:tr>
        <w:trPr/>
        <w:tc>
          <w:tcPr>
            <w:tcW w:w="25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Ending December 31,</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left"/>
              <w:rPr/>
            </w:pPr>
            <w:r>
              <w:rPr/>
              <w:t> </w:t>
            </w:r>
          </w:p>
        </w:tc>
        <w:tc>
          <w:tcPr>
            <w:tcW w:w="95" w:type="dxa"/>
            <w:tcBorders>
              <w:bottom w:val="single" w:sz="2" w:space="0" w:color="000000"/>
            </w:tcBorders>
            <w:vAlign w:val="center"/>
          </w:tcPr>
          <w:p>
            <w:pPr>
              <w:pStyle w:val="TableContents"/>
              <w:bidi w:val="0"/>
              <w:spacing w:before="0" w:after="283"/>
              <w:jc w:val="left"/>
              <w:rPr/>
            </w:pPr>
            <w:r>
              <w:rPr/>
              <w:t> </w:t>
            </w:r>
          </w:p>
        </w:tc>
      </w:tr>
      <w:tr>
        <w:trPr/>
        <w:tc>
          <w:tcPr>
            <w:tcW w:w="25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r>
      <w:tr>
        <w:trPr/>
        <w:tc>
          <w:tcPr>
            <w:tcW w:w="25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(remainder of the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10,258</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w:t>
            </w:r>
          </w:p>
        </w:tc>
        <w:tc>
          <w:tcPr>
            <w:tcW w:w="95"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8,450</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170"/>
        <w:gridCol w:w="4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4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Company’s debt, which was included within current liabilities as of June 30, 2025 and December 31, 2024, was as follows: </w:t>
      </w:r>
    </w:p>
    <w:p>
      <w:pPr>
        <w:pStyle w:val="TextBody"/>
        <w:bidi w:val="0"/>
        <w:spacing w:before="0" w:after="0"/>
        <w:ind w:left="0" w:right="0" w:hanging="0"/>
        <w:jc w:val="left"/>
        <w:rPr>
          <w:caps w:val="false"/>
          <w:smallCaps w:val="false"/>
        </w:rPr>
      </w:pPr>
      <w:r>
        <w:rPr>
          <w:caps w:val="false"/>
          <w:smallCaps w:val="false"/>
        </w:rPr>
        <w:t> </w:t>
      </w:r>
    </w:p>
    <w:tbl>
      <w:tblPr>
        <w:tblW w:w="6623" w:type="dxa"/>
        <w:jc w:val="left"/>
        <w:tblInd w:w="0" w:type="dxa"/>
        <w:tblLayout w:type="fixed"/>
        <w:tblCellMar>
          <w:top w:w="0" w:type="dxa"/>
          <w:left w:w="0" w:type="dxa"/>
          <w:bottom w:w="0" w:type="dxa"/>
          <w:right w:w="0" w:type="dxa"/>
        </w:tblCellMar>
      </w:tblPr>
      <w:tblGrid>
        <w:gridCol w:w="3500"/>
        <w:gridCol w:w="60"/>
        <w:gridCol w:w="208"/>
        <w:gridCol w:w="981"/>
        <w:gridCol w:w="80"/>
        <w:gridCol w:w="60"/>
        <w:gridCol w:w="284"/>
        <w:gridCol w:w="1355"/>
        <w:gridCol w:w="95"/>
      </w:tblGrid>
      <w:tr>
        <w:trPr/>
        <w:tc>
          <w:tcPr>
            <w:tcW w:w="3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24,700</w:t>
            </w:r>
          </w:p>
        </w:tc>
        <w:tc>
          <w:tcPr>
            <w:tcW w:w="9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line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12,650</w:t>
            </w:r>
          </w:p>
        </w:tc>
        <w:tc>
          <w:tcPr>
            <w:tcW w:w="9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deferred financing costs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maintains the Credit Agreement with Citizens Bank, N.A., Wells Fargo Bank, National Association, and First Citizens Bank &amp; Trust Company as the Lenders. The Credit Agreement provides for a term loan of $40.0 million and a $25.0 million revolving credit facility (including a $10.0 million sub-facility for the issuance of letters of credit and a $10.0 million swingline loan sub facility) (collectively, the “Credit Facility”). The Company’s obligations under the Credit Agreement are secured by substantially all of its assets, including all or a portion of the equity interests in certain of the Company’s domestic and foreign subsidiaries. The Company’s obligations under the Credit Agreement are guaranteed by certain of the Company’s direct, domestic wholly owned subsidiaries; none of the Company’s direct or indirect foreign subsidiaries has guaranteed the Company's obligations under the Credit Facility. Issuance costs of $2.0 million are amortized over the contractual term to maturity date on a straight-line basis, which approximates the effective interest method. Total revolver borrowing capacity is limited by the consolidated net leverage ratio as defined under the amended Credit Agreement. As of the date of these financial statements, the Company was unable to make additional borrowings under its revolving credit facility due to net leverage ratio requirements set forth in the August 6, 2024 amendment to the Credit Agreement and the terms of the March 10, 2025 amendment to the Credit Agreement (the “March 2025 Amendment”),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Borrowings under the Credit Facility, at the option of the Company, bear interest at either (i) a rate per annum based on the Secured Overnight Financing Rate (“SOFR”) for an interest period of one, two, three or six months, plus an applicable interest rate margin determined as provided in the Credit Agreement (a “SOFR Loan”), subject to a floor of 0.50%, or (ii) an alternative base rate plus an applicable interest rate margin, each as determined as provided in the Credit Agreement. The alternative base rate is based on the Citizens Bank prime rate or the federal funds effective rate of the Federal Reserve Bank of New York and is subject to a floor of 1.0%. Pursuant to the March 2025 Amendment, the applicable interest rate margin was increased such that interest rate was equal to a rate per annum based on the SOFR plus 400 bps effective as of March 10, 2025. There are no prepayment penalties in the event the Company elects to prepay and terminate the Credit Facility prior to its scheduled maturity date, subject to SOFR Loan breakage and redeployment costs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effective interest rate on the Company’s borrowings for the three months ended June 30, 2025 and 2024, was 8.8% and 7.9%, respectively and for the six months ended June 30, 2025 and 2024 was 8.7% and 7.8%, respectively. The weighted average interest rate as of June 30, 2025, net of the effect of the Company’s interest rate swap agreement, was 8.6%. The carrying value of the debt approximates fair value because the interest rate under the obligation approximates market rates of interest available to the Company for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term loan required quarterly installment payments of $1.0 million with a balloon payment at maturity on December 22, 2025. Pursuant to the March 2025 Amendment, amortization payments were revised so that a proportionate payment must be made on a monthly rather than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Credit Agreement includes various customary financial covenants and other affirmative and negative covenants binding on the Company. The negative covenants limit the ability of the Company, among other things, to incur debt, permit liens, make investments, sell assets, or pay dividends on its capital stock. The financial covenants include a maximum consolidated net leverage ratio and a minimum consolidated fixed charge coverage ratio. The Credit Agreement also includes customary events of default. </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March 2025 Amendment provided, among other things, that the Lenders’ commitment under the revolving credit facility would be capped at the amount outstanding thereunder as of the date thereof and thus we are unable to make additional borrowings under our revolving credit facility. The March 2025 Amendment also established certain Refinancing Milestones in connection with the Refinancing, including, by June 30, 2025, the closing of the Refinancing. The Lenders also agreed not to assert any breaches of the financial covenants included in the Credit Agreement for the first quarter of 2025 provided that the Company continued to comply with its payment obligations, achieved the Refinancing Milestones, maintained minimum liquidity (defined as the sum of (a) unrestricted cash and cash equivalents and (b) the amount by which the aggregate amount committed under the Company’s revolving credit facility exceeds the total amount drawn under the credit facility) of $3.5 million and provided the administrative agent with certain financial reports. </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the Company was not in compliance with the Refinancing Milestones and quarterly financial covenants included in the March 2025 Amendment. On August 8, 2025, the Company entered into the August 2025 Amendment, pursuant to which the Lenders and administrative agent agreed, subject to the terms contained in the August 2025 Amendment, to waive the events of default due to the Company’s failure to achieve certain Refinancing Milestones and its failure to comply with the consolidated net leverage ratio covenant and the consolidated fixed charge coverage ratio covenant as of the June 30, 2025 test date. Pursuant to the terms of the August 2025 Amendment, the Lenders also agreed not to test the financial covenants for the fiscal quarter ended September 30, 2025, provided that the Company continues to comply with its payment obligations, maintain minimum liquidity (defined as the sum of (a) unrestricted cash and (b) the amount by which the aggregate amount committed under the Company’s revolving credit facility exceeds the total amount drawn under the credit facility) of $3.0 million and provides the administrative agent with certain financial reports. The August 2025 Amendment also added as a mandatory prepayment event the receipt of cash proceeds upon a Refinancing or upon the sale of the equity interests or all or substantially all of the assets of the Company. In addition, pursuant to the terms of the August 2025 Amendment, the applicable interest rate margin was increased such that the interest rate is equal to a rate per annum based on the SOFR plus 700 bps. In connection with the August 2025 Amendment, the Company has agreed to accomplish steps towards the Refinancing or repayment of the Credit Agreement by no later than December 5, 2025. The failure to accomplish such steps shall constitute an event of default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agreed to pay fees of $0.4 million, or 1.00% of the outstanding debt, to the Lenders in connection with the August 2025 Amendment, of which 25% was paid upon the signing of the August 2025 Amendment and the remaining 75% will be payable upon a Refinancing or repayment of the Credit Agreement or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170"/>
        <w:gridCol w:w="99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9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February 2023, the Company entered into an interest rate swap contract to improve the predictability of cash flows from interest payments related to its variable, SOFR-based debt. The swap contract had a notional amount of $18.9 million as of June 30, 2025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8,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swap contract is considered an effective cash flow hedge, and as a result, net gains or losses are reported as a component of other comprehensive income (“OCI”) in the consolidated financial statements and are reclassified when the underlying hedged interest impacts earnings. An assessment is performed quarterly to evaluate the ongoing hedge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presents the notional amount and fair value of the Company’s derivative instruments as of June 30, 2025 and December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8"/>
        <w:gridCol w:w="60"/>
        <w:gridCol w:w="2330"/>
        <w:gridCol w:w="60"/>
        <w:gridCol w:w="60"/>
        <w:gridCol w:w="247"/>
        <w:gridCol w:w="1183"/>
        <w:gridCol w:w="60"/>
        <w:gridCol w:w="60"/>
        <w:gridCol w:w="349"/>
        <w:gridCol w:w="812"/>
        <w:gridCol w:w="80"/>
        <w:gridCol w:w="60"/>
        <w:gridCol w:w="251"/>
        <w:gridCol w:w="1179"/>
        <w:gridCol w:w="76"/>
        <w:gridCol w:w="76"/>
        <w:gridCol w:w="351"/>
        <w:gridCol w:w="811"/>
        <w:gridCol w:w="102"/>
      </w:tblGrid>
      <w:tr>
        <w:trPr/>
        <w:tc>
          <w:tcPr>
            <w:tcW w:w="4448" w:type="dxa"/>
            <w:gridSpan w:val="4"/>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27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Instruments</w:t>
            </w:r>
          </w:p>
        </w:tc>
        <w:tc>
          <w:tcPr>
            <w:tcW w:w="60" w:type="dxa"/>
            <w:tcBorders/>
            <w:vAlign w:val="center"/>
          </w:tcPr>
          <w:p>
            <w:pPr>
              <w:pStyle w:val="TableContents"/>
              <w:bidi w:val="0"/>
              <w:spacing w:before="0" w:after="283"/>
              <w:ind w:left="0" w:right="0" w:hanging="0"/>
              <w:jc w:val="left"/>
              <w:rPr/>
            </w:pPr>
            <w:r>
              <w:rPr/>
              <w:t> </w:t>
            </w:r>
          </w:p>
        </w:tc>
        <w:tc>
          <w:tcPr>
            <w:tcW w:w="23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Classification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Notional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Notional Amount</w:t>
            </w:r>
          </w:p>
        </w:tc>
        <w:tc>
          <w:tcPr>
            <w:tcW w:w="76"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98"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60" w:type="dxa"/>
            <w:tcBorders/>
            <w:shd w:fill="CCEEFF" w:val="clear"/>
            <w:vAlign w:val="center"/>
          </w:tcPr>
          <w:p>
            <w:pPr>
              <w:pStyle w:val="TableContents"/>
              <w:bidi w:val="0"/>
              <w:spacing w:before="0" w:after="283"/>
              <w:ind w:left="0" w:right="0" w:hanging="0"/>
              <w:jc w:val="left"/>
              <w:rPr/>
            </w:pPr>
            <w:r>
              <w:rPr/>
              <w:t> </w:t>
            </w:r>
          </w:p>
        </w:tc>
        <w:tc>
          <w:tcPr>
            <w:tcW w:w="23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3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See Note 10 for the fair value measurements related to these financial instruments.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effect of the cash flow hedge on other comprehensive income (loss) and earnings for the periods presented was as follows:</w:t>
      </w:r>
    </w:p>
    <w:p>
      <w:pPr>
        <w:pStyle w:val="TextBody"/>
        <w:bidi w:val="0"/>
        <w:spacing w:before="0" w:after="0"/>
        <w:ind w:left="0" w:right="0" w:firstLine="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7"/>
        <w:gridCol w:w="60"/>
        <w:gridCol w:w="341"/>
        <w:gridCol w:w="791"/>
        <w:gridCol w:w="218"/>
        <w:gridCol w:w="163"/>
        <w:gridCol w:w="343"/>
        <w:gridCol w:w="627"/>
        <w:gridCol w:w="60"/>
        <w:gridCol w:w="60"/>
        <w:gridCol w:w="333"/>
        <w:gridCol w:w="773"/>
        <w:gridCol w:w="212"/>
        <w:gridCol w:w="159"/>
        <w:gridCol w:w="332"/>
        <w:gridCol w:w="892"/>
        <w:gridCol w:w="64"/>
      </w:tblGrid>
      <w:tr>
        <w:trPr/>
        <w:tc>
          <w:tcPr>
            <w:tcW w:w="4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Derivatives Qualifying as Hedges, net of tax </w:t>
            </w: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18" w:type="dxa"/>
            <w:tcBorders>
              <w:bottom w:val="single" w:sz="2" w:space="0" w:color="000000"/>
            </w:tcBorders>
            <w:tcMar>
              <w:bottom w:w="28" w:type="dxa"/>
            </w:tcMar>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recognized in OCI on derivatives (effective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1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1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3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64" w:type="dxa"/>
            <w:tcBorders/>
            <w:shd w:fill="CCEEFF" w:val="clear"/>
            <w:vAlign w:val="center"/>
          </w:tcPr>
          <w:p>
            <w:pPr>
              <w:pStyle w:val="TableContents"/>
              <w:bidi w:val="0"/>
              <w:spacing w:before="0" w:after="283"/>
              <w:jc w:val="left"/>
              <w:rPr/>
            </w:pPr>
            <w:r>
              <w:rPr/>
              <w:t> </w:t>
            </w:r>
          </w:p>
        </w:tc>
      </w:tr>
      <w:tr>
        <w:trPr/>
        <w:tc>
          <w:tcPr>
            <w:tcW w:w="47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AOCI to interest expense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3"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22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tables present the fair value hierarchy for those assets and liabilities measured at fair value on a recurring basis: </w:t>
      </w:r>
    </w:p>
    <w:p>
      <w:pPr>
        <w:pStyle w:val="TextBody"/>
        <w:bidi w:val="0"/>
        <w:spacing w:before="0" w:after="0"/>
        <w:ind w:left="0" w:right="0" w:hanging="0"/>
        <w:jc w:val="left"/>
        <w:rPr>
          <w:caps w:val="false"/>
          <w:smallCaps w:val="false"/>
        </w:rPr>
      </w:pPr>
      <w:r>
        <w:rPr>
          <w:caps w:val="false"/>
          <w:smallCaps w:val="false"/>
        </w:rPr>
        <w:t> </w:t>
      </w:r>
    </w:p>
    <w:tbl>
      <w:tblPr>
        <w:tblW w:w="6157" w:type="dxa"/>
        <w:jc w:val="left"/>
        <w:tblInd w:w="0" w:type="dxa"/>
        <w:tblLayout w:type="fixed"/>
        <w:tblCellMar>
          <w:top w:w="0" w:type="dxa"/>
          <w:left w:w="0" w:type="dxa"/>
          <w:bottom w:w="0" w:type="dxa"/>
          <w:right w:w="0" w:type="dxa"/>
        </w:tblCellMar>
      </w:tblPr>
      <w:tblGrid>
        <w:gridCol w:w="2780"/>
        <w:gridCol w:w="60"/>
        <w:gridCol w:w="395"/>
        <w:gridCol w:w="254"/>
        <w:gridCol w:w="95"/>
        <w:gridCol w:w="95"/>
        <w:gridCol w:w="199"/>
        <w:gridCol w:w="462"/>
        <w:gridCol w:w="127"/>
        <w:gridCol w:w="95"/>
        <w:gridCol w:w="395"/>
        <w:gridCol w:w="254"/>
        <w:gridCol w:w="95"/>
        <w:gridCol w:w="95"/>
        <w:gridCol w:w="199"/>
        <w:gridCol w:w="462"/>
        <w:gridCol w:w="9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2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as of June 30, 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Assets (Liabilities) </w:t>
            </w: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27" w:type="dxa"/>
            <w:tcBorders>
              <w:bottom w:val="single" w:sz="2" w:space="0" w:color="000000"/>
            </w:tcBorders>
            <w:tcMar>
              <w:bottom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6031" w:type="dxa"/>
        <w:jc w:val="left"/>
        <w:tblInd w:w="0" w:type="dxa"/>
        <w:tblLayout w:type="fixed"/>
        <w:tblCellMar>
          <w:top w:w="0" w:type="dxa"/>
          <w:left w:w="0" w:type="dxa"/>
          <w:bottom w:w="0" w:type="dxa"/>
          <w:right w:w="0" w:type="dxa"/>
        </w:tblCellMar>
      </w:tblPr>
      <w:tblGrid>
        <w:gridCol w:w="2315"/>
        <w:gridCol w:w="60"/>
        <w:gridCol w:w="395"/>
        <w:gridCol w:w="254"/>
        <w:gridCol w:w="112"/>
        <w:gridCol w:w="112"/>
        <w:gridCol w:w="234"/>
        <w:gridCol w:w="543"/>
        <w:gridCol w:w="149"/>
        <w:gridCol w:w="112"/>
        <w:gridCol w:w="395"/>
        <w:gridCol w:w="254"/>
        <w:gridCol w:w="112"/>
        <w:gridCol w:w="112"/>
        <w:gridCol w:w="234"/>
        <w:gridCol w:w="543"/>
        <w:gridCol w:w="95"/>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6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as of December 31, 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49"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uses the market approach technique to value its financial liabilities. The fair value of the Company’s interest rate swap agreement was based on SOFR yield curves at the reporting date and is included within other current liabilities on the consolidated balance sheets at both June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23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the three and six months ended June 30, 2025 and 2024 was allocated as follows:</w:t>
      </w:r>
    </w:p>
    <w:p>
      <w:pPr>
        <w:pStyle w:val="TextBody"/>
        <w:bidi w:val="0"/>
        <w:spacing w:before="0" w:after="0"/>
        <w:ind w:left="0" w:right="0" w:hanging="0"/>
        <w:jc w:val="left"/>
        <w:rPr>
          <w:caps w:val="false"/>
          <w:smallCaps w:val="false"/>
        </w:rPr>
      </w:pPr>
      <w:r>
        <w:rPr>
          <w:caps w:val="false"/>
          <w:smallCaps w:val="false"/>
        </w:rPr>
        <w:t> </w:t>
      </w:r>
    </w:p>
    <w:tbl>
      <w:tblPr>
        <w:tblW w:w="8064" w:type="dxa"/>
        <w:jc w:val="left"/>
        <w:tblInd w:w="0" w:type="dxa"/>
        <w:tblLayout w:type="fixed"/>
        <w:tblCellMar>
          <w:top w:w="0" w:type="dxa"/>
          <w:left w:w="0" w:type="dxa"/>
          <w:bottom w:w="0" w:type="dxa"/>
          <w:right w:w="0" w:type="dxa"/>
        </w:tblCellMar>
      </w:tblPr>
      <w:tblGrid>
        <w:gridCol w:w="2990"/>
        <w:gridCol w:w="60"/>
        <w:gridCol w:w="266"/>
        <w:gridCol w:w="715"/>
        <w:gridCol w:w="128"/>
        <w:gridCol w:w="128"/>
        <w:gridCol w:w="266"/>
        <w:gridCol w:w="1035"/>
        <w:gridCol w:w="60"/>
        <w:gridCol w:w="60"/>
        <w:gridCol w:w="214"/>
        <w:gridCol w:w="832"/>
        <w:gridCol w:w="102"/>
        <w:gridCol w:w="102"/>
        <w:gridCol w:w="214"/>
        <w:gridCol w:w="832"/>
        <w:gridCol w:w="6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8" w:type="dxa"/>
            <w:tcBorders>
              <w:bottom w:val="single" w:sz="2" w:space="0" w:color="000000"/>
            </w:tcBorders>
            <w:tcMar>
              <w:bottom w:w="28" w:type="dxa"/>
            </w:tcMar>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the total compensation costs related to unvested awards not yet recognized was $2.2 million and the weighted average period over which it is expected to be recognized is approximately 1.4 years. The Company did not capitalize any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Restricted stock unit (“RSU”) activity for the six months ended June 30, 2025 was as follows:</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2495"/>
        <w:gridCol w:w="60"/>
        <w:gridCol w:w="68"/>
        <w:gridCol w:w="972"/>
        <w:gridCol w:w="80"/>
        <w:gridCol w:w="60"/>
        <w:gridCol w:w="238"/>
        <w:gridCol w:w="726"/>
        <w:gridCol w:w="60"/>
        <w:gridCol w:w="60"/>
        <w:gridCol w:w="70"/>
        <w:gridCol w:w="894"/>
        <w:gridCol w:w="80"/>
        <w:gridCol w:w="60"/>
        <w:gridCol w:w="238"/>
        <w:gridCol w:w="726"/>
        <w:gridCol w:w="60"/>
        <w:gridCol w:w="60"/>
        <w:gridCol w:w="93"/>
        <w:gridCol w:w="1096"/>
        <w:gridCol w:w="80"/>
        <w:gridCol w:w="60"/>
        <w:gridCol w:w="238"/>
        <w:gridCol w:w="726"/>
        <w:gridCol w:w="6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Time-Based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1,053,551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277,446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aggregate fair value of RSUs that vested during the six months ended June 30, 2025, and 2024 was $0.2 million and $0.5 million, respectively. Unvested shares related to market-based and performance-based vesting conditions are reflected at 100% of their target vesting amount in the table above. Actual vesting could range from zero to 150% of their target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Stock option activity for the six months ended June 30, 2025 was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9"/>
        <w:gridCol w:w="60"/>
        <w:gridCol w:w="81"/>
        <w:gridCol w:w="1027"/>
        <w:gridCol w:w="80"/>
        <w:gridCol w:w="60"/>
        <w:gridCol w:w="512"/>
        <w:gridCol w:w="1560"/>
        <w:gridCol w:w="60"/>
        <w:gridCol w:w="60"/>
        <w:gridCol w:w="454"/>
        <w:gridCol w:w="2087"/>
        <w:gridCol w:w="60"/>
        <w:gridCol w:w="60"/>
        <w:gridCol w:w="1108"/>
        <w:gridCol w:w="712"/>
        <w:gridCol w:w="65"/>
      </w:tblGrid>
      <w:tr>
        <w:trPr/>
        <w:tc>
          <w:tcPr>
            <w:tcW w:w="21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Remaining Contractual Term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Intrinsic Value (in thousands)</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December 31, 2024</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0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215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ind w:left="0" w:right="0" w:hanging="0"/>
              <w:jc w:val="left"/>
              <w:rPr/>
            </w:pPr>
            <w:r>
              <w:rPr/>
              <w:t> </w:t>
            </w:r>
          </w:p>
        </w:tc>
        <w:tc>
          <w:tcPr>
            <w:tcW w:w="1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0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June 30, 2025</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708,793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is no aggregate intrinsic value at June 30, 2025 because the Company’s closing stock price of $0.44 is below the exercise price of the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10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Income tax expense (benefit) was $0.03 million and ($0.4) million for the three months ended June 30, 2025 and 2024, respectively, and was ($0.4) million and ($0.1) million for the six months ended June 30, 2025 and 2024, respectively. The Company’s effective tax rate of 1.2% and 0.8% for the three and six months ended June 30, 2025, respectively, were lower than the U.S statutory rate due to the tax effect of goodwill impairment. The Company’s effective tax rates of 10.8% and 1.8% for the three and six months ended June 30, 2024, respectively, were lower than the U.S. statutory rate primarily due to the inclusion of non-deductible executive compensation. The effective tax rate for both periods was also impacted by changes in valuation allowances associated with the Company’s assessment of the likelihood of the recoverability of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July 4, 2025, subsequent to the end of the second quarter of fiscal 2025, the One Big Beautiful Bill Act (the “Act”) was signed into law. The Act includes several significant tax-related provisions, including the permanent extension of certain elements of the Tax Cuts and Jobs Act. The legislation features staggered effective dates beginning in 2025 and continuing through 2027. While the Company is currently evaluating the impact of the Act, including the assessment of realizability of its deferred tax assets, the Company does not expect these changes to have a significant impact on its consolidated financial statements and related disclosures. Any effects will be recorded in the period the law was enacted.</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75"/>
        <w:gridCol w:w="34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34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is occasionally subject to claims and lawsuits which typically arise in the normal course of business. While the outcome of these claims cannot be predicted with certainty, management does not believe that the outcome of any of these legal matters will have a material adverse effect on the Company’s business, results of operations, financial condition,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recorded a credit of $(0.1) million and an expense of $0.3 million during the three and six months ended June 30, 2024, respectively, related to unclaimed property audits which have been included in other operating expenses in the consolidated statement of operations. The unclaimed property audit was completed during the second quarter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w:t>
            </w:r>
          </w:p>
        </w:tc>
        <w:tc>
          <w:tcPr>
            <w:tcW w:w="16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Restructuring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an ongoing basis, the Company reviews the global economy, the life sciences industry, and the markets in which it competes to identify operational efficiencies and align its cost base and infrastructure with customer needs and its strategic plans. In order to achieve these goals, the Company undertakes activities from time to time to optimize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and six months ended June 30, 2025, the Company initiated additional restructurings for which it expects to incur $0.1 million of costs, primarily consisting of severance incurred in connection with headcount reductions in North America and Europe. The Company expects the restructuring to be completed during the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2024, the Company completed a restructuring and incurred expenses of $0.1 million, primarily consisting of severance incurred in connection with headcount reductions in Europe and North America. Severance and other costs have been included as a component of other operating expenses (see Note 1). The changes in the accrued liability for restructuring and other charges for the six months ended June 30, 2025 were as follows:</w:t>
      </w:r>
    </w:p>
    <w:p>
      <w:pPr>
        <w:pStyle w:val="TextBody"/>
        <w:bidi w:val="0"/>
        <w:spacing w:before="0" w:after="0"/>
        <w:ind w:left="0" w:right="0" w:hanging="0"/>
        <w:jc w:val="left"/>
        <w:rPr>
          <w:caps w:val="false"/>
          <w:smallCaps w:val="false"/>
        </w:rPr>
      </w:pPr>
      <w:r>
        <w:rPr>
          <w:caps w:val="false"/>
          <w:smallCaps w:val="false"/>
        </w:rPr>
        <w:t> </w:t>
      </w:r>
    </w:p>
    <w:tbl>
      <w:tblPr>
        <w:tblW w:w="4319" w:type="dxa"/>
        <w:jc w:val="left"/>
        <w:tblInd w:w="0" w:type="dxa"/>
        <w:tblLayout w:type="fixed"/>
        <w:tblCellMar>
          <w:top w:w="0" w:type="dxa"/>
          <w:left w:w="0" w:type="dxa"/>
          <w:bottom w:w="28" w:type="dxa"/>
          <w:right w:w="0" w:type="dxa"/>
        </w:tblCellMar>
      </w:tblPr>
      <w:tblGrid>
        <w:gridCol w:w="3230"/>
        <w:gridCol w:w="60"/>
        <w:gridCol w:w="223"/>
        <w:gridCol w:w="711"/>
        <w:gridCol w:w="95"/>
      </w:tblGrid>
      <w:tr>
        <w:trPr/>
        <w:tc>
          <w:tcPr>
            <w:tcW w:w="32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Severance </w:t>
            </w:r>
          </w:p>
        </w:tc>
        <w:tc>
          <w:tcPr>
            <w:tcW w:w="95" w:type="dxa"/>
            <w:tcBorders>
              <w:bottom w:val="single" w:sz="2" w:space="0" w:color="000000"/>
            </w:tcBorders>
            <w:vAlign w:val="center"/>
          </w:tcPr>
          <w:p>
            <w:pPr>
              <w:pStyle w:val="TableContents"/>
              <w:bidi w:val="0"/>
              <w:spacing w:before="0" w:after="283"/>
              <w:jc w:val="left"/>
              <w:rPr/>
            </w:pPr>
            <w:r>
              <w:rPr/>
              <w:t> </w:t>
            </w:r>
          </w:p>
        </w:tc>
      </w:tr>
      <w:tr>
        <w:trPr/>
        <w:tc>
          <w:tcPr>
            <w:tcW w:w="32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2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pPr>
            <w:r>
              <w:rPr/>
              <w:t> </w:t>
            </w:r>
          </w:p>
        </w:tc>
        <w:tc>
          <w:tcPr>
            <w:tcW w:w="7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32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pPr>
            <w:r>
              <w:rPr/>
              <w:t> </w:t>
            </w:r>
          </w:p>
        </w:tc>
        <w:tc>
          <w:tcPr>
            <w:tcW w:w="7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 in currency translation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w:t>
            </w:r>
          </w:p>
        </w:tc>
        <w:tc>
          <w:tcPr>
            <w:tcW w:w="182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conducts business as a single operating segment, which is based upon the Company’s organizational and management structure, as well as information used by the chief operating decision maker (“CODM”) to allocate resources and other factors. The key measure of segment profitability that the CODM uses to allocate resources and assess performance is consolidated net income (loss), as reported on the consolidated statements of operations. The CODM utilizes consolidated net loss by comparing actual results against budgeted amounts on a quarterly basis. The following table presents the significant revenue and expense categories of the Company’s single operating segment:</w:t>
      </w:r>
    </w:p>
    <w:p>
      <w:pPr>
        <w:pStyle w:val="TextBody"/>
        <w:bidi w:val="0"/>
        <w:spacing w:before="0" w:after="0"/>
        <w:ind w:left="0" w:right="0" w:hanging="0"/>
        <w:jc w:val="left"/>
        <w:rPr>
          <w:caps w:val="false"/>
          <w:smallCaps w:val="false"/>
        </w:rPr>
      </w:pPr>
      <w:r>
        <w:rPr>
          <w:caps w:val="false"/>
          <w:smallCaps w:val="false"/>
        </w:rPr>
        <w:t> </w:t>
      </w:r>
    </w:p>
    <w:tbl>
      <w:tblPr>
        <w:tblW w:w="8375" w:type="dxa"/>
        <w:jc w:val="left"/>
        <w:tblInd w:w="0" w:type="dxa"/>
        <w:tblLayout w:type="fixed"/>
        <w:tblCellMar>
          <w:top w:w="0" w:type="dxa"/>
          <w:left w:w="0" w:type="dxa"/>
          <w:bottom w:w="0" w:type="dxa"/>
          <w:right w:w="0" w:type="dxa"/>
        </w:tblCellMar>
      </w:tblPr>
      <w:tblGrid>
        <w:gridCol w:w="3260"/>
        <w:gridCol w:w="60"/>
        <w:gridCol w:w="202"/>
        <w:gridCol w:w="954"/>
        <w:gridCol w:w="129"/>
        <w:gridCol w:w="97"/>
        <w:gridCol w:w="202"/>
        <w:gridCol w:w="954"/>
        <w:gridCol w:w="80"/>
        <w:gridCol w:w="60"/>
        <w:gridCol w:w="176"/>
        <w:gridCol w:w="917"/>
        <w:gridCol w:w="112"/>
        <w:gridCol w:w="84"/>
        <w:gridCol w:w="176"/>
        <w:gridCol w:w="832"/>
        <w:gridCol w:w="8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9"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47,609</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(1)</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18,446</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19,501</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 (1)</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11,010</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(1)</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9,951</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 (1)</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4,322</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5,290</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expenses (2)</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45"/>
        <w:gridCol w:w="366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3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Excludes stock-based compensation expense</w:t>
            </w:r>
          </w:p>
        </w:tc>
      </w:tr>
    </w:tbl>
    <w:tbl>
      <w:tblPr>
        <w:tblW w:w="8890" w:type="dxa"/>
        <w:jc w:val="left"/>
        <w:tblInd w:w="0" w:type="dxa"/>
        <w:tblLayout w:type="fixed"/>
        <w:tblCellMar>
          <w:top w:w="0" w:type="dxa"/>
          <w:left w:w="0" w:type="dxa"/>
          <w:bottom w:w="0" w:type="dxa"/>
          <w:right w:w="0" w:type="dxa"/>
        </w:tblCellMar>
      </w:tblPr>
      <w:tblGrid>
        <w:gridCol w:w="245"/>
        <w:gridCol w:w="86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8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stock-based compensation, other operating expenses, loss on equity securities and other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Asset information provided to the CODM is consistent with that reported on the consolidated balance sheets with particular emphasis on the Company’s available liquidity, including its cash, accounts receivable, and inventory, reduced by current liabilities. Information relating to the Company’s products and services and geographical distribution of revenues is disclosed in Note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605"/>
        <w:gridCol w:w="752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7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Management</w:t>
            </w:r>
            <w:r>
              <w:rPr>
                <w:rFonts w:ascii="Times New Roman;Times;serif" w:hAnsi="Times New Roman;Times;serif"/>
                <w:sz w:val="20"/>
              </w:rPr>
              <w:t>’</w:t>
            </w:r>
            <w:r>
              <w:rPr>
                <w:rFonts w:ascii="Times New Roman;Times;serif" w:hAnsi="Times New Roman;Times;serif"/>
                <w:b/>
                <w:sz w:val="20"/>
              </w:rPr>
              <w:t>s Discussion and Analysis of Financial Condition and Results of Operations.</w:t>
            </w:r>
            <w:bookmarkStart w:id="11" w:name="P1I2"/>
            <w:bookmarkEnd w:id="1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xml:space="preserve">). The forward-looking statements are principally, but not exclusively, contained in </w:t>
      </w:r>
      <w:r>
        <w:rPr>
          <w:rFonts w:ascii="Times New Roman" w:hAnsi="Times New Roman"/>
          <w:caps w:val="false"/>
          <w:smallCaps w:val="false"/>
          <w:sz w:val="20"/>
        </w:rPr>
        <w:t>“</w:t>
      </w:r>
      <w:r>
        <w:rPr>
          <w:rFonts w:ascii="Times New Roman" w:hAnsi="Times New Roman"/>
          <w:i/>
          <w:caps w:val="false"/>
          <w:smallCaps w:val="false"/>
          <w:sz w:val="20"/>
        </w:rPr>
        <w:t>Item 2: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hAnsi="Times New Roman"/>
          <w:caps w:val="false"/>
          <w:smallCaps w:val="false"/>
          <w:sz w:val="20"/>
        </w:rPr>
        <w:t>’</w:t>
      </w:r>
      <w:r>
        <w:rPr>
          <w:rFonts w:ascii="Times New Roman" w:hAnsi="Times New Roman"/>
          <w:i/>
          <w:caps w:val="false"/>
          <w:smallCaps w:val="false"/>
          <w:sz w:val="20"/>
        </w:rPr>
        <w:t xml:space="preserve">s confidence or expectations, and our plans, objectives, expectations, and intentions that are not historical facts. In some cases, you can identify forward-looking statements by terms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aim,</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is likely,</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forecasts,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think,</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objectives,</w:t>
      </w:r>
      <w:r>
        <w:rPr>
          <w:rFonts w:ascii="Times New Roman" w:hAnsi="Times New Roman"/>
          <w:caps w:val="false"/>
          <w:smallCaps w:val="false"/>
          <w:sz w:val="20"/>
        </w:rPr>
        <w:t>” “</w:t>
      </w:r>
      <w:r>
        <w:rPr>
          <w:rFonts w:ascii="Times New Roman" w:hAnsi="Times New Roman"/>
          <w:i/>
          <w:caps w:val="false"/>
          <w:smallCaps w:val="false"/>
          <w:sz w:val="20"/>
        </w:rPr>
        <w:t>optimistic,</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goals,</w:t>
      </w:r>
      <w:r>
        <w:rPr>
          <w:rFonts w:ascii="Times New Roman" w:hAnsi="Times New Roman"/>
          <w:caps w:val="false"/>
          <w:smallCaps w:val="false"/>
          <w:sz w:val="20"/>
        </w:rPr>
        <w:t>” “</w:t>
      </w:r>
      <w:r>
        <w:rPr>
          <w:rFonts w:ascii="Times New Roman" w:hAnsi="Times New Roman"/>
          <w:i/>
          <w:caps w:val="false"/>
          <w:smallCaps w:val="false"/>
          <w:sz w:val="20"/>
        </w:rPr>
        <w:t>sees,</w:t>
      </w:r>
      <w:r>
        <w:rPr>
          <w:rFonts w:ascii="Times New Roman" w:hAnsi="Times New Roman"/>
          <w:caps w:val="false"/>
          <w:smallCaps w:val="false"/>
          <w:sz w:val="20"/>
        </w:rPr>
        <w:t>” “</w:t>
      </w:r>
      <w:r>
        <w:rPr>
          <w:rFonts w:ascii="Times New Roman" w:hAnsi="Times New Roman"/>
          <w:i/>
          <w:caps w:val="false"/>
          <w:smallCaps w:val="false"/>
          <w:sz w:val="20"/>
        </w:rPr>
        <w:t>new,</w:t>
      </w:r>
      <w:r>
        <w:rPr>
          <w:rFonts w:ascii="Times New Roman" w:hAnsi="Times New Roman"/>
          <w:caps w:val="false"/>
          <w:smallCaps w:val="false"/>
          <w:sz w:val="20"/>
        </w:rPr>
        <w:t>” “</w:t>
      </w:r>
      <w:r>
        <w:rPr>
          <w:rFonts w:ascii="Times New Roman" w:hAnsi="Times New Roman"/>
          <w:i/>
          <w:caps w:val="false"/>
          <w:smallCaps w:val="false"/>
          <w:sz w:val="20"/>
        </w:rPr>
        <w:t>guidance,</w:t>
      </w:r>
      <w:r>
        <w:rPr>
          <w:rFonts w:ascii="Times New Roman" w:hAnsi="Times New Roman"/>
          <w:caps w:val="false"/>
          <w:smallCaps w:val="false"/>
          <w:sz w:val="20"/>
        </w:rPr>
        <w:t>” “</w:t>
      </w:r>
      <w:r>
        <w:rPr>
          <w:rFonts w:ascii="Times New Roman" w:hAnsi="Times New Roman"/>
          <w:i/>
          <w:caps w:val="false"/>
          <w:smallCaps w:val="false"/>
          <w:sz w:val="20"/>
        </w:rPr>
        <w:t>future,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drive,</w:t>
      </w:r>
      <w:r>
        <w:rPr>
          <w:rFonts w:ascii="Times New Roman" w:hAnsi="Times New Roman"/>
          <w:caps w:val="false"/>
          <w:smallCaps w:val="false"/>
          <w:sz w:val="20"/>
        </w:rPr>
        <w:t>” “</w:t>
      </w:r>
      <w:r>
        <w:rPr>
          <w:rFonts w:ascii="Times New Roman" w:hAnsi="Times New Roman"/>
          <w:i/>
          <w:caps w:val="false"/>
          <w:smallCaps w:val="false"/>
          <w:sz w:val="20"/>
        </w:rPr>
        <w:t>growth,</w:t>
      </w:r>
      <w:r>
        <w:rPr>
          <w:rFonts w:ascii="Times New Roman" w:hAnsi="Times New Roman"/>
          <w:caps w:val="false"/>
          <w:smallCaps w:val="false"/>
          <w:sz w:val="20"/>
        </w:rPr>
        <w:t>” “</w:t>
      </w:r>
      <w:r>
        <w:rPr>
          <w:rFonts w:ascii="Times New Roman" w:hAnsi="Times New Roman"/>
          <w:i/>
          <w:caps w:val="false"/>
          <w:smallCaps w:val="false"/>
          <w:sz w:val="20"/>
        </w:rPr>
        <w:t>long-term,</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develop,</w:t>
      </w:r>
      <w:r>
        <w:rPr>
          <w:rFonts w:ascii="Times New Roman" w:hAnsi="Times New Roman"/>
          <w:caps w:val="false"/>
          <w:smallCaps w:val="false"/>
          <w:sz w:val="20"/>
        </w:rPr>
        <w:t>” “</w:t>
      </w:r>
      <w:r>
        <w:rPr>
          <w:rFonts w:ascii="Times New Roman" w:hAnsi="Times New Roman"/>
          <w:i/>
          <w:caps w:val="false"/>
          <w:smallCaps w:val="false"/>
          <w:sz w:val="20"/>
        </w:rPr>
        <w:t>possible,</w:t>
      </w:r>
      <w:r>
        <w:rPr>
          <w:rFonts w:ascii="Times New Roman" w:hAnsi="Times New Roman"/>
          <w:caps w:val="false"/>
          <w:smallCaps w:val="false"/>
          <w:sz w:val="20"/>
        </w:rPr>
        <w:t>” “</w:t>
      </w:r>
      <w:r>
        <w:rPr>
          <w:rFonts w:ascii="Times New Roman" w:hAnsi="Times New Roman"/>
          <w:i/>
          <w:caps w:val="false"/>
          <w:smallCaps w:val="false"/>
          <w:sz w:val="20"/>
        </w:rPr>
        <w:t>emerging,</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w:t>
      </w:r>
      <w:r>
        <w:rPr>
          <w:rFonts w:ascii="Times New Roman" w:hAnsi="Times New Roman"/>
          <w:i/>
          <w:caps w:val="false"/>
          <w:smallCaps w:val="false"/>
          <w:sz w:val="20"/>
        </w:rPr>
        <w:t>pursue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2024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Harvard Bioscience, Inc., a Delaware corporation, is a leading developer, manufacturer and seller of technologies, products and services that enable fundamental advances in life science applications, including research, drug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Trends and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business is affected by global and regional economic trends and uncertainties. Our revenue has been and may continue to be affected by our customers forgoing or delaying purchases of our products and services as a result of ongoing uncertainty with respect to the level and timing of funding from the U.S. National Institutes of Health (the “NIH”) or similar government sources. Our business has also been affected by the imposition of increased tariffs on shipments of products between the United States and other countries, and in particular between the United States and China. Our revenue has been and may continue to be affected by greater restrictions and economic disincentives on international trade, including these tariffs. Products and services that we obtain from overseas sources have been and may continue to be affected by these tariffs, resulting in increased costs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If these trends are prolonged or are more severe than anticipated, our business, results of operations, and cash flow may be materially impacted.</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the Company was not in compliance with certain refinancing milestones (the “Refinancing Milestones”) and quarterly financial covenants contained in the Company's term loan and senior revolving credit facility, dated as of December 22, 2020 (collectively, as amended, the “Credit Agreement”). On August 8, 2025, the Company entered into an amendment to the Credit Agreement (the “August 2025 Amendment”), pursuant to which the lenders party to the Credit Agreement (the “Lenders”) and the administrative agent agreed to waive the events of default due to the Company’s failure to achieve the Refinancing Milestones and its failure to comply with the consolidated net leverage ratio covenant and the consolidated fixed charge coverage ratio covenant as of the June 30, 2025 test date. See “Part I, Item 2. Management’s Discussion and Analysis of Financial Condition and Results of Operations - Liquidity and Capital Resources” of this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Selected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Three months ended June 30, 2025, compared to three months ended June 30, 2024</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005"/>
        <w:gridCol w:w="60"/>
        <w:gridCol w:w="125"/>
        <w:gridCol w:w="590"/>
        <w:gridCol w:w="60"/>
        <w:gridCol w:w="60"/>
        <w:gridCol w:w="154"/>
        <w:gridCol w:w="990"/>
        <w:gridCol w:w="185"/>
        <w:gridCol w:w="60"/>
        <w:gridCol w:w="125"/>
        <w:gridCol w:w="590"/>
        <w:gridCol w:w="80"/>
        <w:gridCol w:w="60"/>
        <w:gridCol w:w="154"/>
        <w:gridCol w:w="990"/>
        <w:gridCol w:w="20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decreased $2.6 million, or 11.5%, to $20.5 million for the three months ended June 30, 2025, compared to $23.1 million for the three months ended June 30, 2024. The decrease in revenues was primarily due to the continued softening of worldwide demand primarily from academic research institutions and CROs and impact of reciprocal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Gross profit decreased $1.7 million, or 12.7%, to $11.5 million for the three months ended June 30, 2025, compared with $13.2 million for the three months ended June 30, 2024, primarily due to the decrease in revenues as well as the associated lower absorption of fixed manufacturing costs. Gross margin was 56.4% for the three months ended June 30, 2025, compared to 57.2% for the three months ending June 30, 2024. The decrease in gross margin was primarily the result of under-absorption of fixed manufacturing overhead costs due to the decrease in revenues, increases in purchase price variance as well as a higher mix of lower margin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Sales and marketing expenses decreased $0.9 million, or 15.9%, to $4.5 million for the three months ended June 30, 2025, compared with $5.4 million for the three months ended June 30, 2024. This decrease was primarily due to reduced compensation, travel and entertainment, consulting and trade show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$1.4 million, or 25.0%, to $4.3 million for the three months ended June 30, 2025, compared with $5.7 million for the three months ended June 30, 2024. The decrease was primarily due to reduced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$0.4 million, or 16.6%, to $2.2 million for the three months ended June 30, 2025, compared with $2.6 million for the three months ended June 30, 2024. This decrease was primarily due to reduced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Amortization of intangible assets included in operating expenses was $1.2 million for the three months ended June 30, 2025, compared with $1.3 million for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Other operating expenses for the three months ended June 30, 2025 were $0.2 million, compared with $0.2 million for the three months ended June 30, 2024. During the three months ended June 30, 2025, other operating expenses included a fee of $0.2 million in connection with the receipt of employee retention credits. During the three months ended June 30, 2024 other operating expenses included $0.4 million of restructuring costs in connection with headcount reductions in Europe and North America, which was partially offset by a credit of $0.1 million related to closure of an unclaimed property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Interest expense was $0.8 million for the three months ended June 30, 2025, compared with $0.7 million for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Loss on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2024, we sold all of our remaining Harvard Apparatus Regenerative Technology Inc. (“HRGN”) stock and recorded a loss on equity securities of $0.3 million. We did not hold any shares of HRGN stock during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income tax expense (benefit) was $0.0 million and ($0.4) million for the three months ended June 30, 2025 and 2024, respectively. The effective tax rates for the three months ended June 30, 2025 and 2024 were 1.2% and 10.8%, respectively. The lower effective tax rate during the three months ended June 30, 2025, compared to the three months ended June 30, 2024, was primarily due to the change in the mix of income by jurisdiction. The Company’s effective tax rate for the three months ended June 30, 2025, was different than the U.S. statutory rate primarily due to a Global Intangible Low-Tax Income (“GILTI”) inclusion to taxable income, and changes in valuation allowances associated with the Company’s assessment of the likelihood of the recoverability of deferred tax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Six months ended June 30, 2025, compared to six months ended June 30, 2024</w:t>
      </w:r>
    </w:p>
    <w:p>
      <w:pPr>
        <w:pStyle w:val="TextBody"/>
        <w:bidi w:val="0"/>
        <w:spacing w:before="0" w:after="0"/>
        <w:ind w:left="0" w:right="0" w:hanging="0"/>
        <w:jc w:val="left"/>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3005"/>
        <w:gridCol w:w="60"/>
        <w:gridCol w:w="125"/>
        <w:gridCol w:w="590"/>
        <w:gridCol w:w="80"/>
        <w:gridCol w:w="60"/>
        <w:gridCol w:w="125"/>
        <w:gridCol w:w="1019"/>
        <w:gridCol w:w="185"/>
        <w:gridCol w:w="60"/>
        <w:gridCol w:w="125"/>
        <w:gridCol w:w="590"/>
        <w:gridCol w:w="80"/>
        <w:gridCol w:w="60"/>
        <w:gridCol w:w="154"/>
        <w:gridCol w:w="990"/>
        <w:gridCol w:w="20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decreased $5.4 million, or 11.3%, to $42.2 million for the six months ended June 30, 2025, compared to $47.6 million for the six months ended June 30, 2024. The decrease in revenues was primarily due to the continued softening of worldwide demand primarily from academic research institutions and CROs and impact of reciprocal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Gross profit decreased $4.3 million, or 15.3%, to $23.7 million for the six months ended June 30, 2025 compared with $28.0 million for the six months ended June 30, 2024, primarily due to the decrease in revenues as well as the associated lower absorption of fixed manufacturing costs. Gross margin decreased to 56.2% for the six months ended June 30, 2025, compared with 58.8% for the six months ended June 30, 2024. The decrease in gross margin was primarily the result of under-absorption of fixed manufacturing overhead costs due to the decrease in revenues, increases in purchase price variance as well as a higher mix of lower margin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Sales and marketing expenses decreased $1.8 million, or 15.8%, to $9.5 million for the six months ended June 30, 2025, compared with $11.3 million for the six months ended June 30, 2024. This decrease was primarily due to reduced compensation, travel and entertainment, consulting and trade show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$2.2 million, or 18.9%, to $9.4 million for the six months ended June 30, 2025, compared with $11.6 million for the six months ended June 30, 2024. The decrease was primarily due to reduced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$1.0 million, or 18.2%, to $4.5 million for the six months ended June 30, 2025, compared with $5.5 million for the six months ended June 30, 2024. This decrease was primarily due to reduced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Amortization of intangible assets included in operating expenses decreased $0.4 million, or 12.8%, to $2.3 million for the six months ended June 30, 2025, compared with $2.7 million for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Goodwill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Goodwill impairment expenses increase by $48.0 million for the six months ended June 30, 2025. We identified a triggering event, including the sustained decrease in our stock price, our recent operating results, liquidity risk and the current macroeconomic conditions impacting the life sciences industry, requiring an interim impairment test. We recorded a non-cash goodwill impairment charge of $48.0 million in connection with the interim impairment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Other operating expenses decreased by $0.7 million, or 61.8% to $0.5 million for the six months ended June 30, 2025, compared to $1.2 million for the six months ended June 30, 2024. Expenses included a fee of $0.4 million in connection with the receipt of employee retention credits and restructuring costs of $0.1 million in connection with headcount reductions in Europe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Interest expense increased $0.1 million, or 6.2%, to $1.6 million for the six months ended June 30, 2025, compared with $1.5 million for the six months ended June 30, 2024. The increase was primarily due to higher average borrowings during the period compared to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Loss on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2024, we sold all of our remaining Harvard Apparatus Regenerative Technology Inc. (“HRGN”) stock and recorded a loss on equity securities of $1.6 million. During the six months ended June 30, 2024, we sold all of our remaining HRGN shares for $1.9 million and recorded a loss of $1.6 million. We did not hold any shares of HRGN stock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Income tax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income tax benefit was $0.4 million and $0.1 million for the six months ended June 30, 2025 and 2024, respectively. The effective tax rates for the six months ended June 30, 2025 and 2024 were 08.% and 1.8%, respectively. The lower effective tax rate during the six months ended June 30, 2025, compared to the six months ended June 30, 2024, was primarily due to the tax effect of goodwill impairment and the release of reserves related to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primary sources of liquidity are cash and cash equivalents, internally generated cash flow from operations and our shelf registration statement that provides for the issuance of common stock, preferred stock, warrants and units up to an amount equal to $100 million. Our expected cash outlays relate primarily to cash payments due under our Credit Agreement described below as well as salaries, inventory, and capital expenditures. We held cash and cash equivalents of $7.4 million and $4.1 million as of June 30, 2025 and December 31, 2024, respectively. Borrowings outstanding were $34.9 million and $37.0 million as of June 30, 2025 and December 31,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Coronavirus Aid, Relief, and Economic Security Act of 2020 (the “CARES Act”) provided an employee retention tax credit (“ERTC”) that was a refundable tax credit against certain employer taxes. The Company has received ERTC refunds of $5.4 million as of June 30, 2025 with $1.1 million received during the three months ended June 30, 2025. The Company’s compliance with the program’s qualifications may be subject to audit until May 2028, which is when the statute of limitation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We maintain the Credit Agreement, which provides for a term loan of $40.0 million and a $25.0 million revolving credit facility with an original maturity of December 22, 2025. On March 10, 2025, we entered into an amendment to the Credit Agreement (the “March 2025 Amendment”). The March 2025 Amendment provided, among other things, that the Lenders’ commitment under our revolving credit facility would be capped at the amount outstanding thereunder as of the date thereof and thus we are unable to make additional borrowings under our revolving credit facility. The March 2025 Amendment also established certain Refinancing Milestones in connection with the refinancing of the Credit Agreement (the “Refinancing”), including receipt of a term sheet or commitment letter from one or more potential lenders, by the dates provided in the March 2025 Amendment, and the Company's consummation of the Refinancing by June 30, 2025. Pursuant to the March 2025 Amendment, the Lenders also agreed not to assert any breaches of the financial covenants included in the Credit Agreement for the first quarter of fiscal year 2025 provided that we continued to comply with our payment obligations, achieved the Refinancing Milestones, maintained minimum liquidity (defined as the sum of (a) unrestricted cash and cash equivalents and (b) the amount by which the aggregate amount committed under the Company’s revolving credit facility exceeds the total amount drawn under the credit facility) of $3.5 million and provided the administrative agent with certain financial reports. In addition, pursuant to the terms of the March 2025 Amendment the applicable interest rate margin was increased such that interest rate was equal to a rate per annum based on the Secured Overnight Financing Rate (“SOFR”) plus 400 bps and amortization payments were revised so that a proportionate payment must be made on a monthly rather than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we were not in compliance with the Refinancing Milestones and quarterly financial covenants contained in the March 2025 Amendment. On August 8, 2025, we entered into the August 2025 Amendment Agreement, pursuant to which the Lenders and administrative agent agreed, subject to the terms contained in the August 2025 Amendment, to waive the events of default due to the Company’s failure to achieve certain Refinancing Milestones and its failure to comply with the consolidated net leverage ratio covenant and the consolidated fixed charge coverage ratio covenant as of the June 30, 2025 test date. Pursuant to the terms of the August 2025 Amendment, the Lenders also agreed not to test the financial covenants for the fiscal quarter ended September 30, 2025, provided that the Company continues to comply with its payment obligations, maintain minimum liquidity (defined as the sum of (a) unrestricted cash and (b) the amount by which the aggregate amount committed under the Company’s revolving credit facility exceeds the total amount drawn under the credit facility) of $3.0 million and provides the administrative agent with certain financial reports. The August 2025 Amendment also added as a mandatory prepayment event the receipt of cash proceeds upon a Refinancing or upon the sale of the equity interests or all or substantially all of the assets of the Company. In addition, pursuant to the terms of the August 2025 Amendment, the applicable interest rate margin was increased such that the interest rate is equal to a rate per annum based on the SOFR plus 700 bps. In connection with the August 2025 Amendment, the Company has also agreed to accomplish steps towards the Refinancing or repayment of the Credit Agreement by no later than December 5, 2025. The failure to accomplish such steps shall constitute an event of default under the Credit Agreement. In such event, in addition to other actions the Lenders may require, the amounts outstanding under the Credit Agreement may become immediately due and payable.</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continues to explore alternative sources of capital that would allow it to refinance the outstanding indebtedness under the Credit Agreement, but its ability to access such other sources of capital is uncertain. There is no assurance that such capital will be available, be obtainable on commercially acceptable terms, or provide the Company with sufficient funds to meet its objectives. Based on its anticipated cash flows from operations, unless the Company is able to access other sources of capital or extend the date for repayment under the Credit Agreement, the Company will be unable to pay its debt obligations and fund its operations for at least twelve months from the date of issuance of the unaudited consolidated financial statements contained in this Quarterly Report on Form 10-Q. As a result,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CASH FLOW STATEMENTS</w:t>
      </w:r>
    </w:p>
    <w:p>
      <w:pPr>
        <w:pStyle w:val="TextBody"/>
        <w:bidi w:val="0"/>
        <w:spacing w:before="0" w:after="0"/>
        <w:ind w:left="0" w:right="0" w:hanging="0"/>
        <w:jc w:val="left"/>
        <w:rPr>
          <w:caps w:val="false"/>
          <w:smallCaps w:val="false"/>
        </w:rPr>
      </w:pPr>
      <w:r>
        <w:rPr>
          <w:caps w:val="false"/>
          <w:smallCaps w:val="false"/>
        </w:rPr>
        <w:t> </w:t>
      </w:r>
    </w:p>
    <w:tbl>
      <w:tblPr>
        <w:tblW w:w="6538" w:type="dxa"/>
        <w:jc w:val="left"/>
        <w:tblInd w:w="0" w:type="dxa"/>
        <w:tblLayout w:type="fixed"/>
        <w:tblCellMar>
          <w:top w:w="0" w:type="dxa"/>
          <w:left w:w="0" w:type="dxa"/>
          <w:bottom w:w="0" w:type="dxa"/>
          <w:right w:w="0" w:type="dxa"/>
        </w:tblCellMar>
      </w:tblPr>
      <w:tblGrid>
        <w:gridCol w:w="4100"/>
        <w:gridCol w:w="60"/>
        <w:gridCol w:w="216"/>
        <w:gridCol w:w="942"/>
        <w:gridCol w:w="138"/>
        <w:gridCol w:w="103"/>
        <w:gridCol w:w="216"/>
        <w:gridCol w:w="683"/>
        <w:gridCol w:w="8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Net cash provided by operations was $5.7 million and $0.6 million for the six months ended June 30, 2025 and 2024, respectively. Cash flow from operations for the six months ended June 30, 2025 was positively impacted by reduction in inventories of $3.4 million and $2.2 million cash inflows from ERTC refunds received compared with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$0.9 million for the six months ended June 30, 2025 compared to cash provided  by investing activities of $0.2 million for the six months ended June 30, 2024. Cash used in investing for the six months ended June 30, 2025 consisted of $0.9 million of capital expenditures for manufacturing and capitalized software development. Cash provided by investing activities for the six months ended June 30, 2024 primarily consisted of $1.9 million in proceeds from the sale of marketable equity securities, offset by $1.7 million of capital expenditures in manufacturing and information technology infrastructure and 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$2.5 million and $0.9 million for the six months ended June 30, 2025 and 2024, respectively. During the six months ended June 30, 2025, we made $2.0 million in debt repayments on our term loan and paid $0.4 million in debt issuance costs as part of the March 2025 Amendment. During the six months ended June 30, 2024, debt outstanding under our credit facility decreased by $1.0 million, consisting of net borrowings under our revolver of $3.0 million, and payments of $4.0 million against the term loan. We also received proceeds of $0.2 million from the exercise of stock options and employee stock purchases and paid $0.1 million for taxes related to net share settlement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Impact of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international operations in some instances operate in a natural hedge, as we sell our products in many countries and a substantial portion of our revenues, costs and expenses are denominated in foreign currencies, primarily the euro and British 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2025, changes in foreign currency exchange rates resulted in a favorable effect on revenues of $0.4 million and an unfavorable effect on expenses of $0.4 million. During the six months ended June 30, 2025, changes in foreign currency exchange rates resulted in a favorable effect on revenues of $0.2 million and an unfavorable effect on expenses of $0.3 million.</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gain (loss) associated with the translation of our foreign equity into U.S. dollars included as a component of other comprehensive loss was $2.6 million and ($0.1) million for the three months ended June 30, 2025 and 2024, respectively and $3.9 millions and ($0.9) million for the six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Currency exchange rate fluctuations included as a component of net loss resulted in currency losses of $0.4 million and $0.1 million for three months ended June 30, 2025 and 2024, respectively, and $0.6 million and $0.1 million for both the six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critical accounting policies underlying the accompanying unaudited consolidated financial statements and as set forth in Part II, Item 7 included in our Annual Report on Form 10-K 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For information on recent accounting pronouncements impacting our business, see “Recently Issued Accounting Pronouncements Yet to Be Adopted” included in Note 1 to our Condensed Consolidated Financial Statements included in Part I, Item 1. of this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605"/>
        <w:gridCol w:w="507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5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bookmarkStart w:id="12" w:name="P1I3"/>
            <w:bookmarkEnd w:id="1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5"/>
        <w:gridCol w:w="21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bookmarkStart w:id="13" w:name="P1I4"/>
            <w:bookmarkEnd w:id="1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Under the supervision of our Chief Executive Officer and Chief Financial Officer, we evaluated the effectiveness of our disclosure controls and procedures (as defined in Rules 13a-15(e) and 15d-15(e) under the Exchange Act) as of June 30, 2025.</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material weaknesses in our internal control over financial reporting. Solely as a result of these material weaknesses, our Chief Executive Officer and Chief Financial Officer concluded that our disclosure controls and procedures were not effective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 xml:space="preserve">Previously Reported Material Weaknesses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reported in Part II, Item 9A. “Controls and Procedures” of our Annual Reports on Form 10-K for the year ended December 31, 2024, we identified material weaknesses in our internal control over financial reporting related to controls over (i) our order to cash cycle and (ii) our physical count of inventories. Specifically, we did not design and maintain effective manual controls over the processing and review of a substantial portion of our revenue transactions. Additionally, we did not design and maintain an effective cycle count program to verify quantities of inventories held at Company locations that account for a substantial portion of inventories. The timeliness, level of precision, and appropriate segregation of duties in our review processes over revenue transactions and our physical counts of inventories were not sufficient to prevent, detect, and correct potential misstatements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While management, with oversight from the Audit Committee of our Board of Directors, has commenced implementing changes to our internal control over financial reporting in order to remediate the control deficiencies that resulted in the material weaknesses as previously disclosed in our Form 10-K for the fiscal year ended December 31, 2024, additional time is required to complete the material weakness remediation work. We expect to continue our efforts throughout fiscal year 2025. We believe that the implementation of the remediation plans disclosed under “Part II - Item 9A - Controls and Procedures” in our Annual Report on Form 10-K for the fiscal year ended December 31, 2024, will allow us to address the deficient controls within our internal control environment, which will facilitate the remediation of the material weaknesses. The material weaknesses will not be considered remediated until management completes the design and implementation of the measures disclosed under “Part II - Item 9A - Controls and Procedures” in our Annual Report on Form 10-K for the fiscal year ended December 31, 2024 and the controls operate for a sufficient period of time such that the effectiveness of those changes is demonstrated with an appropriate amount of consistency and management has concluded, through testing, that these controls are effective. We also may conclude that additional measures may be required to remediate the material weaknesses or determine to modify the remediation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Other than changes related to remediation of the material weaknesses, there were no changes in our internal control over financial reporting during the second quarter of fiscal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bookmarkStart w:id="14" w:name="P2"/>
      <w:bookmarkEnd w:id="14"/>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5"/>
        <w:gridCol w:w="164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6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bookmarkStart w:id="15" w:name="P2I1"/>
            <w:bookmarkEnd w:id="1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information included in Note 13 to the Condensed Consolidated Financial Statements (Unaudited) included in Part I, Item 1 of this quarterly report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40"/>
        <w:gridCol w:w="113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1A.</w:t>
            </w:r>
          </w:p>
        </w:tc>
        <w:tc>
          <w:tcPr>
            <w:tcW w:w="11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bookmarkStart w:id="16" w:name="P2I1A"/>
            <w:bookmarkEnd w:id="1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You should carefully consider the risk factors discussed in Part I, “Item 1A. Risk Factors” in our Annual Report on Form 10-K for the fiscal year ended December 31, 2024,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 The risk factors set forth below updates, and should be read together with, the risk factors described in our Annual Report on Form 10-K 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We have substantial debt, and our lenders have waived our non-compliance with certain of the covenants in our Credit Agreement. If we fail to comply with the terms and conditions of the waiver, or if we fail to comply with covenants in our Credit Agreement in the future, the Lenders may require the amounts outstanding thereunder to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there was indebtedness of $34.9 million outstanding under the Credit Agreement.  As of June 30, 2025, we were not in compliance with the Refinancing Milestones and quarterly financial covenants contained in the March 2025 Amendment.  Pursuant to the August 2025 Amendment, the Lenders and administrative agent agreed, subject to the terms contained in the August 2025 Amendment, to waive the Company’s events of default under the Credit Agreement. Pursuant to the terms of the August 2025 Amendment, the Lenders also agreed not to test the financial covenants for the fiscal quarter ended September 30, 2025, provided that the Company continues to comply with its payment obligations, maintain minimum liquidity (defined as the sum of (a) unrestricted cash and (b) the amount by which the aggregate amount committed under the Company’s revolving credit facility exceeds the total amount drawn under the credit facility) of $3.0 million and provides the administrative agent with certain financial reports. In connection with the August 2025 Amendment, the Company has also agreed to accomplish steps towards the Refinancing or repayment of the Credit Agreement by no later than December 5, 2025. The failure to accomplish such steps shall constitute an event of default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If we are not able to comply with the terms and conditions of the August 2025 Amendment, or if we are otherwise unable to maintain compliance with the covenants under the Credit Agreement, as amended, in addition to other actions the Lenders may require, the amounts outstanding under the Credit Agreement may become immediately due and payable. There can be no assurance that the Lenders will not take action to collect payment of our debt or dispose of collateral securing the debt. Our cash flow and existing capital resources may be insufficient to repay our debt, in which such case prior thereto we would have to repay, refinance and or restructure the obligations under the Credit Agreement, including with proceeds from the sale of assets, and additional equity or debt capital. If we are unsuccessful in obtaining such extension, or entering into such repayment, refinance or restructure prior to maturity or acceleration of repayment, the Lenders could foreclose against their collateral or seek other remedies, which would jeopardize our ability to continue our current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b/>
          <w:i/>
          <w:caps w:val="false"/>
          <w:smallCaps w:val="false"/>
          <w:sz w:val="20"/>
        </w:rPr>
        <w:t>We have received written notice from Nasdaq that we are not in compliance with Nasdaq</w:t>
      </w:r>
      <w:r>
        <w:rPr>
          <w:rFonts w:ascii="Times New Roman" w:hAnsi="Times New Roman"/>
          <w:caps w:val="false"/>
          <w:smallCaps w:val="false"/>
          <w:sz w:val="20"/>
        </w:rPr>
        <w:t>’</w:t>
      </w:r>
      <w:r>
        <w:rPr>
          <w:rFonts w:ascii="Times New Roman" w:hAnsi="Times New Roman"/>
          <w:b/>
          <w:i/>
          <w:caps w:val="false"/>
          <w:smallCaps w:val="false"/>
          <w:sz w:val="20"/>
        </w:rPr>
        <w:t>s minimum bid price requirements and if we are unable to regain compliance with Nasdaq continued listing standards, which may require effecting a reverse stock split of our common stock, we could be delisted from Nasdaq, which would negatively impact our business, our ability to raise capital, and the market price and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Nasdaq Stock Market LLC (“Nasdaq”) Listing Rule 5450(a)(1) requires that securities listed on The Nasdaq Global Market maintain a minimum bid price of $1.00 per share (the “Minimum Bid Price Requirement”), and Nasdaq Listing Rule 5810(c)(3)(A) provides that a failure to meet the Minimum Bid Price Requirement exists if the deficiency continues for a period of thirty (30) consecutive business days.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April 4, 2025, the Company received written notice (the “Notification Letter”) from Nasdaq notifying the Company that, based on the closing bid price of the Company’s common stock for the thirty (30) consecutive business days from February 21, 2025 to April 3, 2025, the Company no longer meets the Minimum Bid Price Requirement. The Notification Letter had no immediate effect on the listing of the Company’s common stock on The Nasdaq Global Market. The Company has been provided an initial compliance period of 180 calendar days, or until October 1, 2025, to regain compliance with the Minimum Bid Price Requirement. During the compliance period, the Company’s shares of common stock will continue to be listed and traded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is no assurance that we will be able to regain compliance with the Minimum Bid Price Requirement. To regain compliance, the bid price of the Company’s common stock must have a closing bid price of at least $1.00 per share for a minimum of ten (10) consecutive business days. If the Company does not regain compliance with the Minimum Bid Price Requirement by October 1, 2025, the Company may be eligible to transfer from The Nasdaq Global Market to the Nasdaq Capital Market and seek an additional 180 calendar day compliance period. To qualify for such transfer, the Company would be required to meet the continued listing requirement for market value of publicly held shares and all other initial listing standards for The Nasdaq Capital Market, with the exception of the Minimum Bid Price Requirement, and would need to provide written notice of its intention to cure the deficiency during the second compliance period, by effecting a reverse stock split, if necessary. However, if it appears to the staff of Nasdaq (the “Staff”) that the Company will not be able to cure the Minimum Bid Price Requirement deficiency, or if the Company is otherwise not eligible, Nasdaq would notify the Company that its securities would be subject to delisting. In the event of such a notification, the Company may appeal the Staff’s determination to delist its securities, but there can be no assurance the Staff would grant the Company’s request for continued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intends to actively monitor the bid price for its common stock and will consider available options, including effecting a reverse stock split, to regain compliance with the Minimum Bid Price Requirement. Our ability to take action and the effect of any of our actions, including seeking stockholder approval for and effecting a reverse stock split, on the market price of our common stock cannot be predicted with certainty, and the history of the impact of similar measures for companies in like circumstances is varied. For example, it is possible that the per share price of the common stock after a reverse stock split will not rise in proportion to the reduction in the number of shares of the common stock outstanding resulting from the reverse stock split, effectively reducing our market capitalization, and there can be no assurance that the market price per post-reverse split share will either exceed or remain in excess of the required minimum bid price for a sustained period of time. The market price of our common stock may vary based on other factors that are unrelated to the number of shares outstanding, including the Company’s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If our common stock is delisted by Nasdaq, it could adversely affect our ability to raise additional financing through public or private sales of equity securities, could significantly affect the ability of investors to trade our securities and could negatively affect the value and liquidity of our common stock. Delisting could also have other negative impacts, including the potential loss of confidence by our employees and customers, the loss of investor and analyst interest in the Company and in our common stock and fewer business development opportunities for the Company.</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5"/>
        <w:gridCol w:w="506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50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bookmarkStart w:id="17" w:name="P2I2"/>
            <w:bookmarkEnd w:id="1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5"/>
        <w:gridCol w:w="272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27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bookmarkStart w:id="18" w:name="P2I3"/>
            <w:bookmarkEnd w:id="1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5"/>
        <w:gridCol w:w="207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bookmarkStart w:id="19" w:name="P2I4"/>
            <w:bookmarkEnd w:id="19"/>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605"/>
        <w:gridCol w:w="164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16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bookmarkStart w:id="20" w:name="P2I5"/>
            <w:bookmarkEnd w:id="2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By letter dated July 17, 2025, the Nasdaq Stock Market LLC notified the Company that on July 16, 2025, as a result of the appointment of Robert Gagnon and Seth Benson to serve as members of the Board and the Audit Committee of the Board, the Company had regained compliance with Nasdaq Listing Rule 5605(c)(2)(A) relating to the composition of the Audit Committee of the Board. As of the date of this filing, the Company has not regained compliance with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None of our directors or executive officers adopted or terminated a Rule 10b5-1 trading arrangement or a non-Rule 10b5-1 trading arrangement (as defined in Item 408(c) of Regulation S-K) during the quarterly period covered by this report.</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38"/>
        <w:gridCol w:w="9667"/>
      </w:tblGrid>
      <w:tr>
        <w:trPr/>
        <w:tc>
          <w:tcPr>
            <w:tcW w:w="538" w:type="dxa"/>
            <w:tcBorders/>
            <w:vAlign w:val="center"/>
          </w:tcPr>
          <w:p>
            <w:pPr>
              <w:pStyle w:val="TableContents"/>
              <w:bidi w:val="0"/>
              <w:spacing w:before="0" w:after="283"/>
              <w:jc w:val="left"/>
              <w:rPr>
                <w:b/>
                <w:sz w:val="20"/>
              </w:rPr>
            </w:pPr>
            <w:r>
              <w:rPr>
                <w:b/>
                <w:sz w:val="20"/>
              </w:rPr>
              <w:t>Item 6.</w:t>
            </w:r>
          </w:p>
        </w:tc>
        <w:tc>
          <w:tcPr>
            <w:tcW w:w="9667" w:type="dxa"/>
            <w:tcBorders/>
            <w:vAlign w:val="center"/>
          </w:tcPr>
          <w:p>
            <w:pPr>
              <w:pStyle w:val="TableContents"/>
              <w:bidi w:val="0"/>
              <w:spacing w:before="0" w:after="283"/>
              <w:jc w:val="left"/>
              <w:rPr>
                <w:b/>
                <w:sz w:val="20"/>
              </w:rPr>
            </w:pPr>
            <w:r>
              <w:rPr>
                <w:b/>
                <w:sz w:val="20"/>
              </w:rPr>
              <w:t>Exhibits.</w:t>
            </w:r>
            <w:bookmarkStart w:id="21" w:name="P2I6"/>
            <w:bookmarkEnd w:id="21"/>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283"/>
              <w:jc w:val="left"/>
              <w:rPr/>
            </w:pPr>
            <w:hyperlink r:id="rId3">
              <w:r>
                <w:rPr>
                  <w:rStyle w:val="InternetLink"/>
                  <w:sz w:val="20"/>
                </w:rPr>
                <w:t>10.1#</w:t>
              </w:r>
            </w:hyperlink>
          </w:p>
        </w:tc>
        <w:tc>
          <w:tcPr>
            <w:tcW w:w="9667" w:type="dxa"/>
            <w:tcBorders/>
            <w:vAlign w:val="center"/>
          </w:tcPr>
          <w:p>
            <w:pPr>
              <w:pStyle w:val="TableContents"/>
              <w:bidi w:val="0"/>
              <w:spacing w:before="0" w:after="283"/>
              <w:jc w:val="left"/>
              <w:rPr/>
            </w:pPr>
            <w:hyperlink r:id="rId4">
              <w:r>
                <w:rPr>
                  <w:rStyle w:val="InternetLink"/>
                  <w:sz w:val="20"/>
                </w:rPr>
                <w:t>Letter Agreement between Mark Frost and the Company dated April 10, 2025 (previously filed as an exhibit to the Company’s Current Report on Form 8-K, filed with the Securities and Exchange Commission on April 10, 2025 and incorporated by reference thereto).</w:t>
              </w:r>
            </w:hyperlink>
          </w:p>
        </w:tc>
      </w:tr>
      <w:tr>
        <w:trPr/>
        <w:tc>
          <w:tcPr>
            <w:tcW w:w="538" w:type="dxa"/>
            <w:tcBorders/>
            <w:vAlign w:val="center"/>
          </w:tcPr>
          <w:p>
            <w:pPr>
              <w:pStyle w:val="TableContents"/>
              <w:bidi w:val="0"/>
              <w:spacing w:before="0" w:after="283"/>
              <w:jc w:val="left"/>
              <w:rPr/>
            </w:pPr>
            <w:hyperlink r:id="rId5">
              <w:r>
                <w:rPr>
                  <w:rStyle w:val="InternetLink"/>
                  <w:sz w:val="20"/>
                </w:rPr>
                <w:t>10.2#</w:t>
              </w:r>
            </w:hyperlink>
          </w:p>
        </w:tc>
        <w:tc>
          <w:tcPr>
            <w:tcW w:w="9667"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Harvard Bioscience, Inc. Amended and Restated 2021 Incentive Plan (previously filed as Annex A to the Proxy Statement on Schedule 14A, filed with the Securities Exchange Commission on April 21, 2025 and incorporated by reference thereto).</w:t>
              </w:r>
            </w:hyperlink>
          </w:p>
        </w:tc>
      </w:tr>
      <w:tr>
        <w:trPr/>
        <w:tc>
          <w:tcPr>
            <w:tcW w:w="53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caps w:val="false"/>
                  <w:smallCaps w:val="false"/>
                  <w:sz w:val="20"/>
                </w:rPr>
                <w:t>10.3#</w:t>
              </w:r>
            </w:hyperlink>
          </w:p>
        </w:tc>
        <w:tc>
          <w:tcPr>
            <w:tcW w:w="9667"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caps w:val="false"/>
                  <w:smallCaps w:val="false"/>
                  <w:sz w:val="20"/>
                  <w:u w:val="single"/>
                </w:rPr>
                <w:t>Executive Employment Agreement between John Duke and the Company dated July 16, 2025 (previously filed as an exhibit to the Company’s Current Report on Form 8-K, filed with the Securities and Exchange Commission on July 17, 2025 and incorporated by reference thereto).</w:t>
              </w:r>
            </w:hyperlink>
          </w:p>
        </w:tc>
      </w:tr>
      <w:tr>
        <w:trPr/>
        <w:tc>
          <w:tcPr>
            <w:tcW w:w="538" w:type="dxa"/>
            <w:tcBorders/>
            <w:vAlign w:val="center"/>
          </w:tcPr>
          <w:p>
            <w:pPr>
              <w:pStyle w:val="TableContents"/>
              <w:bidi w:val="0"/>
              <w:spacing w:before="0" w:after="0"/>
              <w:ind w:left="0" w:right="0" w:hanging="0"/>
              <w:jc w:val="left"/>
              <w:rPr/>
            </w:pPr>
            <w:hyperlink w:anchor="ex_845412.htm">
              <w:r>
                <w:rPr>
                  <w:rStyle w:val="InternetLink"/>
                  <w:rFonts w:ascii="Times New Roman;Times;serif" w:hAnsi="Times New Roman;Times;serif"/>
                  <w:caps w:val="false"/>
                  <w:smallCaps w:val="false"/>
                  <w:sz w:val="20"/>
                </w:rPr>
                <w:t>31.1</w:t>
              </w:r>
            </w:hyperlink>
          </w:p>
        </w:tc>
        <w:tc>
          <w:tcPr>
            <w:tcW w:w="9667" w:type="dxa"/>
            <w:tcBorders/>
            <w:vAlign w:val="center"/>
          </w:tcPr>
          <w:p>
            <w:pPr>
              <w:pStyle w:val="TableContents"/>
              <w:bidi w:val="0"/>
              <w:spacing w:before="0" w:after="0"/>
              <w:ind w:left="0" w:right="0" w:hanging="0"/>
              <w:jc w:val="left"/>
              <w:rPr/>
            </w:pPr>
            <w:hyperlink w:anchor="ex_845412.htm">
              <w:r>
                <w:rPr>
                  <w:rStyle w:val="InternetLink"/>
                  <w:rFonts w:ascii="Times New Roman;Times;serif" w:hAnsi="Times New Roman;Times;serif"/>
                  <w:caps w:val="false"/>
                  <w:smallCaps w:val="false"/>
                  <w:sz w:val="20"/>
                </w:rPr>
                <w:t>Certification of Chief Financial Officer of Harvard Bioscience, Inc., pursuant to Rules 13a-14(a) and 15d-14(a), as adopted pursuant to Section 302 of the Sarbanes-Oxley Act of 2002.</w:t>
              </w:r>
            </w:hyperlink>
          </w:p>
        </w:tc>
      </w:tr>
      <w:tr>
        <w:trPr/>
        <w:tc>
          <w:tcPr>
            <w:tcW w:w="538" w:type="dxa"/>
            <w:tcBorders/>
            <w:vAlign w:val="center"/>
          </w:tcPr>
          <w:p>
            <w:pPr>
              <w:pStyle w:val="TableContents"/>
              <w:bidi w:val="0"/>
              <w:spacing w:before="0" w:after="0"/>
              <w:ind w:left="0" w:right="0" w:hanging="0"/>
              <w:jc w:val="left"/>
              <w:rPr/>
            </w:pPr>
            <w:hyperlink w:anchor="ex_845413.htm">
              <w:r>
                <w:rPr>
                  <w:rStyle w:val="InternetLink"/>
                  <w:rFonts w:ascii="Times New Roman;Times;serif" w:hAnsi="Times New Roman;Times;serif"/>
                  <w:caps w:val="false"/>
                  <w:smallCaps w:val="false"/>
                  <w:sz w:val="20"/>
                </w:rPr>
                <w:t>31.2</w:t>
              </w:r>
            </w:hyperlink>
          </w:p>
        </w:tc>
        <w:tc>
          <w:tcPr>
            <w:tcW w:w="9667" w:type="dxa"/>
            <w:tcBorders/>
            <w:vAlign w:val="center"/>
          </w:tcPr>
          <w:p>
            <w:pPr>
              <w:pStyle w:val="TableContents"/>
              <w:bidi w:val="0"/>
              <w:spacing w:before="0" w:after="0"/>
              <w:ind w:left="0" w:right="0" w:hanging="0"/>
              <w:jc w:val="left"/>
              <w:rPr/>
            </w:pPr>
            <w:hyperlink w:anchor="ex_845413.htm">
              <w:r>
                <w:rPr>
                  <w:rStyle w:val="InternetLink"/>
                  <w:rFonts w:ascii="Times New Roman;Times;serif" w:hAnsi="Times New Roman;Times;serif"/>
                  <w:caps w:val="false"/>
                  <w:smallCaps w:val="false"/>
                  <w:sz w:val="20"/>
                </w:rPr>
                <w:t>Certification of Chief Executive Officer of Harvard Bioscience, Inc., pursuant to Rules 13a-14(a) and 15d-14(a), as adopted pursuant to Section 302 of the Sarbanes-Oxley Act of 2002.</w:t>
              </w:r>
            </w:hyperlink>
          </w:p>
        </w:tc>
      </w:tr>
      <w:tr>
        <w:trPr/>
        <w:tc>
          <w:tcPr>
            <w:tcW w:w="538" w:type="dxa"/>
            <w:tcBorders/>
            <w:vAlign w:val="center"/>
          </w:tcPr>
          <w:p>
            <w:pPr>
              <w:pStyle w:val="TableContents"/>
              <w:bidi w:val="0"/>
              <w:spacing w:before="0" w:after="0"/>
              <w:ind w:left="0" w:right="0" w:hanging="0"/>
              <w:jc w:val="left"/>
              <w:rPr/>
            </w:pPr>
            <w:hyperlink w:anchor="ex_845414.htm">
              <w:r>
                <w:rPr>
                  <w:rStyle w:val="InternetLink"/>
                  <w:rFonts w:ascii="Times New Roman;Times;serif" w:hAnsi="Times New Roman;Times;serif"/>
                  <w:caps w:val="false"/>
                  <w:smallCaps w:val="false"/>
                  <w:sz w:val="20"/>
                </w:rPr>
                <w:t>32.1*</w:t>
              </w:r>
            </w:hyperlink>
          </w:p>
        </w:tc>
        <w:tc>
          <w:tcPr>
            <w:tcW w:w="9667" w:type="dxa"/>
            <w:tcBorders/>
            <w:vAlign w:val="center"/>
          </w:tcPr>
          <w:p>
            <w:pPr>
              <w:pStyle w:val="TableContents"/>
              <w:bidi w:val="0"/>
              <w:spacing w:before="0" w:after="0"/>
              <w:ind w:left="0" w:right="0" w:hanging="0"/>
              <w:jc w:val="left"/>
              <w:rPr/>
            </w:pPr>
            <w:hyperlink w:anchor="ex_845414.htm">
              <w:r>
                <w:rPr>
                  <w:rStyle w:val="InternetLink"/>
                  <w:rFonts w:ascii="Times New Roman;Times;serif" w:hAnsi="Times New Roman;Times;serif"/>
                  <w:caps w:val="false"/>
                  <w:smallCaps w:val="false"/>
                  <w:sz w:val="20"/>
                </w:rPr>
                <w:t>Certification of Chief Financial Officer of Harvard Bioscience, Inc., pursuant to 18 U.S.C. Section 1350, as adopted pursuant to Section 906 of the Sarbanes-Oxley Act of 2002.</w:t>
              </w:r>
            </w:hyperlink>
          </w:p>
        </w:tc>
      </w:tr>
      <w:tr>
        <w:trPr/>
        <w:tc>
          <w:tcPr>
            <w:tcW w:w="538" w:type="dxa"/>
            <w:tcBorders/>
            <w:vAlign w:val="center"/>
          </w:tcPr>
          <w:p>
            <w:pPr>
              <w:pStyle w:val="TableContents"/>
              <w:bidi w:val="0"/>
              <w:spacing w:before="0" w:after="0"/>
              <w:ind w:left="0" w:right="0" w:hanging="0"/>
              <w:jc w:val="left"/>
              <w:rPr/>
            </w:pPr>
            <w:hyperlink w:anchor="ex_845415.htm">
              <w:r>
                <w:rPr>
                  <w:rStyle w:val="InternetLink"/>
                  <w:rFonts w:ascii="Times New Roman;Times;serif" w:hAnsi="Times New Roman;Times;serif"/>
                  <w:caps w:val="false"/>
                  <w:smallCaps w:val="false"/>
                  <w:sz w:val="20"/>
                </w:rPr>
                <w:t>32.2*</w:t>
              </w:r>
            </w:hyperlink>
          </w:p>
        </w:tc>
        <w:tc>
          <w:tcPr>
            <w:tcW w:w="9667" w:type="dxa"/>
            <w:tcBorders/>
            <w:vAlign w:val="center"/>
          </w:tcPr>
          <w:p>
            <w:pPr>
              <w:pStyle w:val="TableContents"/>
              <w:bidi w:val="0"/>
              <w:spacing w:before="0" w:after="0"/>
              <w:ind w:left="0" w:right="0" w:hanging="0"/>
              <w:jc w:val="left"/>
              <w:rPr/>
            </w:pPr>
            <w:hyperlink w:anchor="ex_845415.htm">
              <w:r>
                <w:rPr>
                  <w:rStyle w:val="InternetLink"/>
                  <w:rFonts w:ascii="Times New Roman;Times;serif" w:hAnsi="Times New Roman;Times;serif"/>
                  <w:caps w:val="false"/>
                  <w:smallCaps w:val="false"/>
                  <w:sz w:val="20"/>
                </w:rPr>
                <w:t>Certification of Chief Executive Officer of Harvard Bioscience, Inc., pursuant to 18 U.S.C. Section 1350, as adopted pursuant to Section 906 of the Sarbanes-Oxley Act of 2002.</w:t>
              </w:r>
            </w:hyperlink>
          </w:p>
        </w:tc>
      </w:tr>
      <w:tr>
        <w:trPr/>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9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r>
      <w:tr>
        <w:trPr/>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9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9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9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9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Labels Linkbase Document</w:t>
            </w:r>
          </w:p>
        </w:tc>
      </w:tr>
      <w:tr>
        <w:trPr/>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9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in Inline XBRL and contained in Exhibit 101)</w:t>
            </w:r>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0"/>
              <w:ind w:left="0" w:right="0" w:hanging="0"/>
              <w:jc w:val="left"/>
              <w:rPr/>
            </w:pPr>
            <w:r>
              <w:rPr/>
              <w:t> </w:t>
            </w:r>
          </w:p>
        </w:tc>
      </w:tr>
      <w:tr>
        <w:trPr/>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9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283"/>
              <w:jc w:val="left"/>
              <w:rPr>
                <w:sz w:val="20"/>
              </w:rPr>
            </w:pPr>
            <w:r>
              <w:rPr>
                <w:sz w:val="20"/>
              </w:rPr>
              <w:t>#</w:t>
            </w:r>
          </w:p>
        </w:tc>
        <w:tc>
          <w:tcPr>
            <w:tcW w:w="9667" w:type="dxa"/>
            <w:tcBorders/>
            <w:vAlign w:val="center"/>
          </w:tcPr>
          <w:p>
            <w:pPr>
              <w:pStyle w:val="TableContents"/>
              <w:bidi w:val="0"/>
              <w:spacing w:before="0" w:after="283"/>
              <w:jc w:val="left"/>
              <w:rPr>
                <w:sz w:val="20"/>
              </w:rPr>
            </w:pPr>
            <w:r>
              <w:rPr>
                <w:sz w:val="20"/>
              </w:rPr>
              <w:t>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22" w:name="SIGNATURES"/>
      <w:bookmarkEnd w:id="2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2255"/>
        <w:gridCol w:w="320"/>
        <w:gridCol w:w="2510"/>
      </w:tblGrid>
      <w:tr>
        <w:trPr/>
        <w:tc>
          <w:tcPr>
            <w:tcW w:w="225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HARVARD BIOSCIENCE, INC.</w:t>
            </w:r>
          </w:p>
        </w:tc>
      </w:tr>
      <w:tr>
        <w:trPr/>
        <w:tc>
          <w:tcPr>
            <w:tcW w:w="2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2025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5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22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pPr>
            <w:r>
              <w:rPr/>
              <w:t>John Duke</w:t>
            </w:r>
          </w:p>
        </w:tc>
      </w:tr>
      <w:tr>
        <w:trPr/>
        <w:tc>
          <w:tcPr>
            <w:tcW w:w="22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22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5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MARK FROST  </w:t>
            </w:r>
          </w:p>
        </w:tc>
      </w:tr>
      <w:tr>
        <w:trPr/>
        <w:tc>
          <w:tcPr>
            <w:tcW w:w="22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Mark Frost</w:t>
            </w:r>
          </w:p>
        </w:tc>
      </w:tr>
      <w:tr>
        <w:trPr/>
        <w:tc>
          <w:tcPr>
            <w:tcW w:w="22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28</w:t>
      </w:r>
    </w:p>
    <w:p>
      <w:pPr>
        <w:pStyle w:val="TextBody"/>
        <w:bidi w:val="0"/>
        <w:spacing w:before="0" w:after="0"/>
        <w:ind w:left="160" w:right="0" w:hanging="0"/>
        <w:jc w:val="right"/>
        <w:rPr>
          <w:rFonts w:ascii="Times New Roman" w:hAnsi="Times New Roman"/>
          <w:b/>
          <w:caps w:val="false"/>
          <w:smallCaps w:val="false"/>
          <w:sz w:val="20"/>
        </w:rPr>
      </w:pPr>
      <w:bookmarkStart w:id="23" w:name="ex_845412.htm"/>
      <w:bookmarkStart w:id="24" w:name="ksex_845412"/>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Mark Frost,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Harvard Bioscience, Inc.</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850"/>
        <w:gridCol w:w="251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2025</w:t>
            </w:r>
          </w:p>
        </w:tc>
        <w:tc>
          <w:tcPr>
            <w:tcW w:w="2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FROST</w:t>
            </w:r>
          </w:p>
        </w:tc>
      </w:tr>
      <w:tr>
        <w:trPr/>
        <w:tc>
          <w:tcPr>
            <w:tcW w:w="185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Frost</w:t>
            </w:r>
          </w:p>
        </w:tc>
      </w:tr>
      <w:tr>
        <w:trPr/>
        <w:tc>
          <w:tcPr>
            <w:tcW w:w="185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5" w:name="ex_845413.htm"/>
      <w:bookmarkStart w:id="26" w:name="ksex_845413"/>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John Duke,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850"/>
        <w:gridCol w:w="194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2025</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185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Duke</w:t>
            </w:r>
          </w:p>
        </w:tc>
      </w:tr>
      <w:tr>
        <w:trPr/>
        <w:tc>
          <w:tcPr>
            <w:tcW w:w="185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7" w:name="ex_845414.htm"/>
      <w:bookmarkStart w:id="28" w:name="ksex_845414"/>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officer of Harvard Bioscience, Inc. (the “Company”) hereby certifies to his knowledge that the Company’s Quarterly Report on Form 10-Q for the quarterly period ended June 30, 2025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850"/>
        <w:gridCol w:w="300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2025</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FROST</w:t>
            </w:r>
          </w:p>
        </w:tc>
      </w:tr>
      <w:tr>
        <w:trPr/>
        <w:tc>
          <w:tcPr>
            <w:tcW w:w="185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Mark Frost</w:t>
            </w:r>
          </w:p>
        </w:tc>
      </w:tr>
      <w:tr>
        <w:trPr/>
        <w:tc>
          <w:tcPr>
            <w:tcW w:w="185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9" w:name="ex_845415.htm"/>
      <w:bookmarkStart w:id="30" w:name="ksex_845415"/>
      <w:bookmarkEnd w:id="29"/>
      <w:bookmarkEnd w:id="30"/>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officer of Harvard Bioscience, Inc. (the “Company”) hereby certifies to his knowledge that the Company’s Quarterly Report on Form 10-Q for the quarterly period ended June 30, 2025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030"/>
        <w:gridCol w:w="2435"/>
      </w:tblGrid>
      <w:tr>
        <w:trPr/>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2025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203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John Duke</w:t>
            </w:r>
          </w:p>
        </w:tc>
      </w:tr>
      <w:tr>
        <w:trPr/>
        <w:tc>
          <w:tcPr>
            <w:tcW w:w="203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23494/000117184325002149/exh_101.htm" TargetMode="External"/><Relationship Id="rId4" Type="http://schemas.openxmlformats.org/officeDocument/2006/relationships/hyperlink" Target="http://www.sec.gov/Archives/edgar/data/1123494/000117184325002149/exh_101.htm" TargetMode="External"/><Relationship Id="rId5" Type="http://schemas.openxmlformats.org/officeDocument/2006/relationships/hyperlink" Target="http://www.sec.gov/ix?doc=/Archives/edgar/data/1123494/000117184325002341/hbio20250417_def14a.htm" TargetMode="External"/><Relationship Id="rId6" Type="http://schemas.openxmlformats.org/officeDocument/2006/relationships/hyperlink" Target="http://www.sec.gov/ix?doc=/Archives/edgar/data/1123494/000117184325002341/hbio20250417_def14a.htm" TargetMode="External"/><Relationship Id="rId7" Type="http://schemas.openxmlformats.org/officeDocument/2006/relationships/hyperlink" Target="http://www.sec.gov/Archives/edgar/data/1123494/000117184325004508/exh_101.htm" TargetMode="External"/><Relationship Id="rId8" Type="http://schemas.openxmlformats.org/officeDocument/2006/relationships/hyperlink" Target="http://www.sec.gov/Archives/edgar/data/1123494/000117184325004508/exh_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16780</Words>
  <Characters>88878</Characters>
  <CharactersWithSpaces>107315</CharactersWithSpaces>
  <Paragraphs>6439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