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169545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4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3947795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163195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HARVARD BIOSCIENCE,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04-3306140</w:t>
            </w:r>
          </w:p>
        </w:tc>
      </w:t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(State or Other Jurisdiction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480" w:type="dxa"/>
            <w:vAlign w:val="bottom"/>
          </w:tcPr>
          <w:p>
            <w:pPr>
              <w:jc w:val="center"/>
              <w:ind w:right="3290"/>
              <w:spacing w:after="0"/>
              <w:rPr>
                <w:sz w:val="20"/>
                <w:szCs w:val="20"/>
                <w:color w:val="auto"/>
              </w:rPr>
            </w:pPr>
            <w:r>
              <w:rPr>
                <w:rFonts w:ascii="Arial" w:cs="Arial" w:eastAsia="Arial" w:hAnsi="Arial"/>
                <w:sz w:val="18"/>
                <w:szCs w:val="18"/>
                <w:b w:val="1"/>
                <w:bCs w:val="1"/>
                <w:color w:val="auto"/>
                <w:w w:val="93"/>
              </w:rPr>
              <w:t>84 October Hill Road, Holliston, MA</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01746</w:t>
            </w:r>
          </w:p>
        </w:tc>
      </w:tr>
      <w:tr>
        <w:trPr>
          <w:trHeight w:val="216"/>
        </w:trPr>
        <w:tc>
          <w:tcPr>
            <w:tcW w:w="6480" w:type="dxa"/>
            <w:vAlign w:val="bottom"/>
          </w:tcPr>
          <w:p>
            <w:pPr>
              <w:jc w:val="center"/>
              <w:ind w:right="33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6480" w:type="dxa"/>
            <w:vAlign w:val="bottom"/>
          </w:tcPr>
          <w:p>
            <w:pPr>
              <w:jc w:val="right"/>
              <w:ind w:right="1430"/>
              <w:spacing w:after="0"/>
              <w:rPr>
                <w:sz w:val="20"/>
                <w:szCs w:val="20"/>
                <w:color w:val="auto"/>
              </w:rPr>
            </w:pPr>
            <w:r>
              <w:rPr>
                <w:rFonts w:ascii="Arial" w:cs="Arial" w:eastAsia="Arial" w:hAnsi="Arial"/>
                <w:sz w:val="18"/>
                <w:szCs w:val="18"/>
                <w:b w:val="1"/>
                <w:bCs w:val="1"/>
                <w:color w:val="auto"/>
              </w:rPr>
              <w:t>(508) 893-8999</w:t>
            </w:r>
          </w:p>
        </w:tc>
        <w:tc>
          <w:tcPr>
            <w:tcW w:w="1480" w:type="dxa"/>
            <w:vAlign w:val="bottom"/>
          </w:tcPr>
          <w:p>
            <w:pPr>
              <w:spacing w:after="0"/>
              <w:rPr>
                <w:sz w:val="20"/>
                <w:szCs w:val="20"/>
                <w:color w:val="auto"/>
              </w:rPr>
            </w:pPr>
          </w:p>
        </w:tc>
      </w:tr>
      <w:tr>
        <w:trPr>
          <w:trHeight w:val="432"/>
        </w:trPr>
        <w:tc>
          <w:tcPr>
            <w:tcW w:w="64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4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146050</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49" w:lineRule="exact"/>
        <w:rPr>
          <w:sz w:val="24"/>
          <w:szCs w:val="24"/>
          <w:color w:val="auto"/>
        </w:rPr>
      </w:pPr>
    </w:p>
    <w:p>
      <w:pPr>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4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00"/>
          </w:cols>
          <w:pgMar w:left="240" w:top="530" w:right="259" w:bottom="533"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4">
            <w:col w:w="1620" w:space="220"/>
            <w:col w:w="5000" w:space="720"/>
            <w:col w:w="2140" w:space="720"/>
            <w:col w:w="980"/>
          </w:cols>
          <w:pgMar w:left="240" w:top="530" w:right="259" w:bottom="533"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5">
            <w:col w:w="1540" w:space="300"/>
            <w:col w:w="160" w:space="100"/>
            <w:col w:w="4740" w:space="720"/>
            <w:col w:w="2140" w:space="720"/>
            <w:col w:w="980"/>
          </w:cols>
          <w:pgMar w:left="240" w:top="530" w:right="259" w:bottom="533"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2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0" w:lineRule="exact"/>
        <w:rPr>
          <w:sz w:val="24"/>
          <w:szCs w:val="24"/>
          <w:color w:val="auto"/>
        </w:rPr>
      </w:pPr>
    </w:p>
    <w:tbl>
      <w:tblPr>
        <w:tblLayout w:type="fixed"/>
        <w:tblInd w:w="1170" w:type="dxa"/>
        <w:tblCellMar>
          <w:top w:w="0" w:type="dxa"/>
          <w:left w:w="0" w:type="dxa"/>
          <w:bottom w:w="0" w:type="dxa"/>
          <w:right w:w="0" w:type="dxa"/>
        </w:tblCellMar>
      </w:tblPr>
      <w:tr>
        <w:trPr>
          <w:trHeight w:val="230"/>
        </w:trPr>
        <w:tc>
          <w:tcPr>
            <w:tcW w:w="2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HBIO</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r>
    </w:tbl>
    <w:p>
      <w:pPr>
        <w:spacing w:after="0" w:line="2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2, 2019, there were 37,687,608 shares of common stock, par value $0.01 per share, outstanding.</w:t>
      </w: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30" w:right="259" w:bottom="53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rPr>
              <w:t>HARVARD BIOSCIENCE, INC.</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2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9"/>
              </w:rPr>
              <w:t>FORM 10-Q</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3"/>
              </w:rPr>
              <w:t>For the Quarter Ended March 31, 2019</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rPr>
              <w:t>INDEX</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3"/>
          </w:tcPr>
          <w:p>
            <w:pPr>
              <w:ind w:left="340"/>
              <w:spacing w:after="0"/>
              <w:rPr>
                <w:sz w:val="20"/>
                <w:szCs w:val="20"/>
                <w:color w:val="auto"/>
              </w:rPr>
            </w:pPr>
            <w:r>
              <w:rPr>
                <w:rFonts w:ascii="Arial" w:cs="Arial" w:eastAsia="Arial" w:hAnsi="Arial"/>
                <w:sz w:val="18"/>
                <w:szCs w:val="18"/>
                <w:b w:val="1"/>
                <w:bCs w:val="1"/>
                <w:color w:val="auto"/>
                <w:w w:val="78"/>
              </w:rPr>
              <w:t>Page</w:t>
            </w:r>
          </w:p>
        </w:tc>
      </w:tr>
      <w:tr>
        <w:trPr>
          <w:trHeight w:val="392"/>
        </w:trPr>
        <w:tc>
          <w:tcPr>
            <w:tcW w:w="2960" w:type="dxa"/>
            <w:vAlign w:val="bottom"/>
            <w:gridSpan w:val="1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 FINANCIAL INFORMATION</w:t>
              </w:r>
            </w:hyperlink>
          </w:p>
        </w:tc>
        <w:tc>
          <w:tcPr>
            <w:tcW w:w="474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24"/>
                <w:szCs w:val="24"/>
                <w:color w:val="auto"/>
              </w:rPr>
            </w:pPr>
          </w:p>
        </w:tc>
        <w:tc>
          <w:tcPr>
            <w:tcW w:w="1520" w:type="dxa"/>
            <w:vAlign w:val="bottom"/>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520" w:type="dxa"/>
            <w:vAlign w:val="bottom"/>
            <w:gridSpan w:val="3"/>
          </w:tcPr>
          <w:p>
            <w:pPr>
              <w:spacing w:after="0"/>
              <w:rPr>
                <w:sz w:val="24"/>
                <w:szCs w:val="24"/>
                <w:color w:val="auto"/>
              </w:rPr>
            </w:pPr>
          </w:p>
        </w:tc>
        <w:tc>
          <w:tcPr>
            <w:tcW w:w="474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March 31, 2019 and December 31, 2018 (unaudited)</w:t>
              </w:r>
            </w:hyperlink>
          </w:p>
        </w:tc>
        <w:tc>
          <w:tcPr>
            <w:tcW w:w="4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Operations and Comprehensive Income (Loss) for the Three Months Ended March 31, 2019 and 2018</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5940" w:type="dxa"/>
            <w:vAlign w:val="bottom"/>
            <w:tcBorders>
              <w:top w:val="single" w:sz="8" w:color="0000EE"/>
            </w:tcBorders>
            <w:gridSpan w:val="10"/>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jc w:val="center"/>
              <w:ind w:left="3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gridSpan w:val="1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Stockholders' Equity for the Three Months Ended March 31, 2019</w:t>
              </w:r>
            </w:hyperlink>
          </w:p>
        </w:tc>
        <w:tc>
          <w:tcPr>
            <w:tcW w:w="880" w:type="dxa"/>
            <w:vAlign w:val="bottom"/>
          </w:tcPr>
          <w:p>
            <w:pPr>
              <w:ind w:left="40"/>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2040" w:type="dxa"/>
            <w:vAlign w:val="bottom"/>
            <w:gridSpan w:val="3"/>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gridSpan w:val="1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 of Stockholders' Equity for the Three Months Ended March 31, 2018</w:t>
              </w:r>
            </w:hyperlink>
          </w:p>
        </w:tc>
        <w:tc>
          <w:tcPr>
            <w:tcW w:w="880" w:type="dxa"/>
            <w:vAlign w:val="bottom"/>
          </w:tcPr>
          <w:p>
            <w:pPr>
              <w:ind w:left="40"/>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2040" w:type="dxa"/>
            <w:vAlign w:val="bottom"/>
            <w:gridSpan w:val="3"/>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40" w:type="dxa"/>
            <w:vAlign w:val="bottom"/>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for the Three Months Ended March 31, 2019 and 2018 (unaudited)</w:t>
              </w:r>
            </w:hyperlink>
          </w:p>
        </w:tc>
        <w:tc>
          <w:tcPr>
            <w:tcW w:w="1960" w:type="dxa"/>
            <w:vAlign w:val="bottom"/>
            <w:gridSpan w:val="2"/>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Unaudited Consolidated Financial Statements</w:t>
              </w:r>
            </w:hyperlink>
          </w:p>
        </w:tc>
        <w:tc>
          <w:tcPr>
            <w:tcW w:w="282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280" w:type="dxa"/>
            <w:vAlign w:val="bottom"/>
            <w:gridSpan w:val="2"/>
          </w:tcPr>
          <w:p>
            <w:pPr>
              <w:spacing w:after="0"/>
              <w:rPr>
                <w:sz w:val="24"/>
                <w:szCs w:val="24"/>
                <w:color w:val="auto"/>
              </w:rPr>
            </w:pPr>
          </w:p>
        </w:tc>
        <w:tc>
          <w:tcPr>
            <w:tcW w:w="6780" w:type="dxa"/>
            <w:vAlign w:val="bottom"/>
            <w:gridSpan w:val="13"/>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Management’s Discussion and Analysis of Financial Condition and Results of Operations</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28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32">
              <w:r>
                <w:rPr>
                  <w:rFonts w:ascii="Arial" w:cs="Arial" w:eastAsia="Arial" w:hAnsi="Arial"/>
                  <w:sz w:val="15"/>
                  <w:szCs w:val="15"/>
                  <w:color w:val="0000EE"/>
                  <w:w w:val="71"/>
                </w:rPr>
                <w:t>32</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280" w:type="dxa"/>
            <w:vAlign w:val="bottom"/>
            <w:gridSpan w:val="2"/>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5000" w:type="dxa"/>
            <w:vAlign w:val="bottom"/>
            <w:gridSpan w:val="7"/>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2">
              <w:r>
                <w:rPr>
                  <w:rFonts w:ascii="Arial" w:cs="Arial" w:eastAsia="Arial" w:hAnsi="Arial"/>
                  <w:sz w:val="15"/>
                  <w:szCs w:val="15"/>
                  <w:color w:val="0000EE"/>
                  <w:w w:val="71"/>
                </w:rPr>
                <w:t>32</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758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 OTHER INFORMATION</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800" w:type="dxa"/>
            <w:vAlign w:val="bottom"/>
            <w:tcBorders>
              <w:top w:val="single" w:sz="8" w:color="0000EE"/>
            </w:tcBorders>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9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3">
              <w:r>
                <w:rPr>
                  <w:rFonts w:ascii="Arial" w:cs="Arial" w:eastAsia="Arial" w:hAnsi="Arial"/>
                  <w:sz w:val="15"/>
                  <w:szCs w:val="15"/>
                  <w:color w:val="0000EE"/>
                  <w:w w:val="71"/>
                </w:rPr>
                <w:t>33</w:t>
              </w:r>
            </w:hyperlink>
          </w:p>
        </w:tc>
        <w:tc>
          <w:tcPr>
            <w:tcW w:w="140" w:type="dxa"/>
            <w:vAlign w:val="bottom"/>
          </w:tcPr>
          <w:p>
            <w:pPr>
              <w:spacing w:after="0"/>
              <w:rPr>
                <w:sz w:val="24"/>
                <w:szCs w:val="24"/>
                <w:color w:val="auto"/>
              </w:rPr>
            </w:pPr>
          </w:p>
        </w:tc>
      </w:tr>
      <w:tr>
        <w:trPr>
          <w:trHeight w:val="412"/>
        </w:trPr>
        <w:tc>
          <w:tcPr>
            <w:tcW w:w="12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5860" w:type="dxa"/>
            <w:vAlign w:val="bottom"/>
            <w:gridSpan w:val="9"/>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3">
              <w:r>
                <w:rPr>
                  <w:rFonts w:ascii="Arial" w:cs="Arial" w:eastAsia="Arial" w:hAnsi="Arial"/>
                  <w:sz w:val="15"/>
                  <w:szCs w:val="15"/>
                  <w:color w:val="0000EE"/>
                  <w:w w:val="71"/>
                </w:rPr>
                <w:t>33</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758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14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for doubtful accounts of $341 and $332, respectively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receivables and other assets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Amortizable intangible assets,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Other indefinite lived intangible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171,336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Current portion, long-term debt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operating lease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Other liabilities - current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installments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Deferred income tax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 term liabilities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par value $0.01 per share, 80,000,000 shares authorized; 45,433,115 and 45,124,309 shares issued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and 37,687,608 and 37,378,802 shares outstanding, 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226,547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Treasury stock at cost, 7,745,507 common shares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171,336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6"/>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28,202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16,154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2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16,120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exchange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from discontinued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 (benefit)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r>
      <w:tr>
        <w:trPr>
          <w:trHeight w:val="210"/>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(5,245)</w:t>
            </w:r>
          </w:p>
        </w:tc>
      </w:t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r>
      <w:tr>
        <w:trPr>
          <w:trHeight w:val="210"/>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r>
      <w:tr>
        <w:trPr>
          <w:trHeight w:val="42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r>
      <w:tr>
        <w:trPr>
          <w:trHeight w:val="210"/>
        </w:trPr>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r>
      <w:tr>
        <w:trPr>
          <w:trHeight w:val="223"/>
        </w:trPr>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(Loss) earnings per share: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loss per common share from continuing operations</w:t>
            </w:r>
          </w:p>
        </w:tc>
        <w:tc>
          <w:tcPr>
            <w:tcW w:w="1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earnings per common share from discontinued operations</w:t>
            </w:r>
          </w:p>
        </w:tc>
        <w:tc>
          <w:tcPr>
            <w:tcW w:w="1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loss per common share</w:t>
            </w:r>
          </w:p>
        </w:tc>
        <w:tc>
          <w:tcPr>
            <w:tcW w:w="14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common share from continuing operations</w:t>
            </w:r>
          </w:p>
        </w:tc>
        <w:tc>
          <w:tcPr>
            <w:tcW w:w="1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earnings per common share from discontinued operations</w:t>
            </w:r>
          </w:p>
        </w:tc>
        <w:tc>
          <w:tcPr>
            <w:tcW w:w="14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loss per common share</w:t>
            </w:r>
          </w:p>
        </w:tc>
        <w:tc>
          <w:tcPr>
            <w:tcW w:w="14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14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Derivatives qualifying as hedges, net of tax:</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Loss on derivative instruments designated and qualifying as cash flow hedges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14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4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at December 31, 2018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Stock option exercises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Vesting of restricted stock</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Shares withheld for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Stock compensation expense</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226,547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(Loss) Income</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at December 31, 2017</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Stock option exercises</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Vesting of restricted stock</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Shares withheld for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compensation expense</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Other comprehensive income</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43,409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220,020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6"/>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(2,370)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Stock compensation expense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Gain on sale of Denville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catalog costs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Provision for allowance for doubtful accounts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accounts receivable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(Increase) decrease in inventories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other receivables and other assets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(Decrease) increase in trade accounts payable</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in accrued income taxes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520"/>
              <w:spacing w:after="0"/>
              <w:rPr>
                <w:sz w:val="20"/>
                <w:szCs w:val="20"/>
                <w:color w:val="auto"/>
              </w:rPr>
            </w:pPr>
            <w:r>
              <w:rPr>
                <w:rFonts w:ascii="Arial" w:cs="Arial" w:eastAsia="Arial" w:hAnsi="Arial"/>
                <w:sz w:val="18"/>
                <w:szCs w:val="18"/>
                <w:color w:val="auto"/>
              </w:rPr>
              <w:t>(Decrease) increase in 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increase in deferred revenue</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Decrease in other liabilities</w:t>
            </w:r>
          </w:p>
        </w:tc>
        <w:tc>
          <w:tcPr>
            <w:tcW w:w="1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catalog costs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net of cash sold</w:t>
            </w:r>
          </w:p>
        </w:tc>
        <w:tc>
          <w:tcPr>
            <w:tcW w:w="14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Cash flows (used in) provided by financing activities: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debt issuance costs</w:t>
            </w: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taxes paid for) net proceeds from issuance of common stock</w:t>
            </w:r>
          </w:p>
        </w:tc>
        <w:tc>
          <w:tcPr>
            <w:tcW w:w="1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(Decrease) increase in cash and cash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30"/>
        </w:trPr>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5,733</w:t>
            </w:r>
          </w:p>
        </w:tc>
      </w:tr>
      <w:tr>
        <w:trPr>
          <w:trHeight w:val="223"/>
        </w:trPr>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5,991</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6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Cash paid (refunded) for income taxes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left="1100" w:hanging="1092"/>
        <w:spacing w:after="0"/>
        <w:tabs>
          <w:tab w:leader="none" w:pos="11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unaudited consolidated financial statements of Harvard Bioscience, Inc. and its wholly-owned subsidiaries (collectively, Harvard Bioscience or the Company) as of March 31, 2019 and for the three months ended March 31, 2019 and 2018 have been prepared by the Company pursuant to the rules and regulations of the Securities and Exchange Commission (SEC). Certain information and footnote disclosures normally included in financial statements prepared in accordance with U.S. generally accepted accounting principles (U.S. GAAP) have been condensed or omitted pursuant to such rules and regulations. The December 31, 2018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2018, which was filed with the SEC on March 18, 2019.</w:t>
      </w:r>
    </w:p>
    <w:p>
      <w:pPr>
        <w:spacing w:after="0" w:line="16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2019, results of operations and comprehensive income (loss) for the three months ended March 31, 2019 and 2018 and cash flows for the three months ended March 31, 2019 and 2018, as applicable, have been made. The results of operations for the three months ended March 31, 2019 are not necessarily indicative of the operating results for the full fiscal year or any future periods.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Prior Period Financial Statement Correction of Immaterial Error</w:t>
      </w:r>
    </w:p>
    <w:p>
      <w:pPr>
        <w:spacing w:after="0" w:line="225" w:lineRule="exact"/>
        <w:rPr>
          <w:sz w:val="20"/>
          <w:szCs w:val="20"/>
          <w:color w:val="auto"/>
        </w:rPr>
      </w:pPr>
    </w:p>
    <w:p>
      <w:pPr>
        <w:ind w:right="180" w:firstLine="486"/>
        <w:spacing w:after="0" w:line="270" w:lineRule="auto"/>
        <w:rPr>
          <w:sz w:val="20"/>
          <w:szCs w:val="20"/>
          <w:color w:val="auto"/>
        </w:rPr>
      </w:pPr>
      <w:r>
        <w:rPr>
          <w:rFonts w:ascii="Arial" w:cs="Arial" w:eastAsia="Arial" w:hAnsi="Arial"/>
          <w:sz w:val="17"/>
          <w:szCs w:val="17"/>
          <w:color w:val="auto"/>
        </w:rPr>
        <w:t xml:space="preserve">During the quarter ended March 31, 2019, the Company identified an immaterial misclassification error in the Company’s consolidated balance sheet as of December 31, 2018. The immaterial misclassification understated current portion, long term debt and overstated long term debt, less current installments. This misclassification, in the amount of approximately $4.0 million, related to the classification of the Company’s excess cash flow payment made to its lenders during the quarter ended March 31, 2019 as long term instead of current on its consolidated balance sheet at December 31, 2018. The misclassification had no impact on total reported debt. Refer to footnote 14 for further details. The Company assessed the materiality of this error on the financial statements for prior periods in accordance with the SEC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Accounting Standards Codification (ASC) 250,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and concluded that it was not material to any prior annual or interim periods. The Company recorded an adjustment to decrease long term debt, less current installments and increase current portion, long term debt in the consolidated balance sheet at December 31, 2018 with no impact on total reported debt.</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As disclosed in Note 5, on January 22, 2018, the Company sold substantially all the assets of its operating subsidiary, Denville Scientific, Inc. (Denville). The sale of Denville represented a strategic shift that had a major effect on the Company’s operations and financial results. As such and pursuant to Accounting Standards Codification (ASC) 205-20 –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Denville for the three months ended March 31, 2018 have been presented in discontinued operations in the consolidated statements of operations. These reclassifications and adjustments had no effect on total amounts within the consolidated balance sheet, consolidated statements of operations and comprehensive income (loss), consolidated statements of cash flows for any of the periods presented.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those set forth in Note 2 to the consolidated financial statements included in the Company’s Annual Report on Form 10-K for the year ended December 31, 2018, which was filed with the SEC on March 18, 2019. Except for the accounting for leases as noted below there have been no material changes in the company’s significant accounting policies during the three months ended March 31, 2019.</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 xml:space="preserve">The Company accounts for its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 line basis over the lease term.</w:t>
      </w:r>
    </w:p>
    <w:p>
      <w:pPr>
        <w:spacing w:after="0" w:line="18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March 31, 2019, 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ectPr>
          <w:pgSz w:w="11900" w:h="16838" w:orient="portrait"/>
          <w:cols w:equalWidth="0" w:num="1">
            <w:col w:w="11420"/>
          </w:cols>
          <w:pgMar w:left="240" w:top="226"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operating lease ROU asset also includes any lease payments made and excludes lease incentives. Lease expense for lease payments is recognized on a straight-line basis over the lease term.</w:t>
      </w:r>
    </w:p>
    <w:p>
      <w:pPr>
        <w:spacing w:after="0" w:line="16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has lease agreements with lease and non-lease components, which are generally accounted for separately. Additionally, for its leases, the Company applies a portfolio approach to effectively account for the operating lease ROU assets and liabilities.</w:t>
      </w:r>
    </w:p>
    <w:p>
      <w:pPr>
        <w:spacing w:after="0" w:line="383" w:lineRule="exact"/>
        <w:rPr>
          <w:sz w:val="20"/>
          <w:szCs w:val="20"/>
          <w:color w:val="auto"/>
        </w:rPr>
      </w:pPr>
    </w:p>
    <w:p>
      <w:pPr>
        <w:ind w:left="1100" w:hanging="1092"/>
        <w:spacing w:after="0"/>
        <w:tabs>
          <w:tab w:leader="none" w:pos="11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amends the impairment model by requiring entities to use a forward-looking approach based on expected losses rather than incurred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November 2018, the FASB issued ASU No. 2018-19, Codification Improvements to Topic 326, Financial Instruments—Credit Losses, which provided additional implementation guidance on the previously issued ASU. Management has not yet completed its assessment of the impact of the new standard on the Company’s Consolidated Financial Statements. Currently, the Company believes that the most notable impact of this ASU will relate to its processes around the assessment of the adequacy of its allowance for doubtful accounts on trade accounts receivable and the recognition of credit losses.</w:t>
      </w:r>
    </w:p>
    <w:p>
      <w:pPr>
        <w:spacing w:after="0" w:line="166" w:lineRule="exact"/>
        <w:rPr>
          <w:sz w:val="20"/>
          <w:szCs w:val="20"/>
          <w:color w:val="auto"/>
        </w:rPr>
      </w:pPr>
    </w:p>
    <w:p>
      <w:pPr>
        <w:ind w:right="340" w:firstLine="441"/>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which amends the hedge accounting recognition and presentation requirements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The Company adopted this guidance as of January 1, 2019, and it did not have a material impact on its consolidated financial position, results of operations and cash flows.</w:t>
      </w:r>
    </w:p>
    <w:p>
      <w:pPr>
        <w:spacing w:after="0" w:line="189"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In February 2016, the FASB issued Accounting Standards Update (ASU) 2016-02, </w:t>
      </w:r>
      <w:r>
        <w:rPr>
          <w:rFonts w:ascii="Arial" w:cs="Arial" w:eastAsia="Arial" w:hAnsi="Arial"/>
          <w:sz w:val="16"/>
          <w:szCs w:val="16"/>
          <w:i w:val="1"/>
          <w:iCs w:val="1"/>
          <w:color w:val="auto"/>
        </w:rPr>
        <w:t>Leases</w:t>
      </w:r>
      <w:r>
        <w:rPr>
          <w:rFonts w:ascii="Arial" w:cs="Arial" w:eastAsia="Arial" w:hAnsi="Arial"/>
          <w:sz w:val="16"/>
          <w:szCs w:val="16"/>
          <w:color w:val="auto"/>
        </w:rPr>
        <w:t>, which is intended to improve financial reporting about leasing transactions. The update requires a lessee to record on its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elected to utilize a practical expedient in its method of adoption of the standard and adopted the guidance as of January 1, 2019.</w:t>
      </w:r>
    </w:p>
    <w:p>
      <w:pPr>
        <w:spacing w:after="0" w:line="2" w:lineRule="exact"/>
        <w:rPr>
          <w:sz w:val="20"/>
          <w:szCs w:val="20"/>
          <w:color w:val="auto"/>
        </w:rPr>
      </w:pPr>
    </w:p>
    <w:p>
      <w:pPr>
        <w:ind w:right="40" w:firstLine="45"/>
        <w:spacing w:after="0" w:line="270" w:lineRule="auto"/>
        <w:rPr>
          <w:sz w:val="20"/>
          <w:szCs w:val="20"/>
          <w:color w:val="auto"/>
        </w:rPr>
      </w:pPr>
      <w:r>
        <w:rPr>
          <w:rFonts w:ascii="Arial" w:cs="Arial" w:eastAsia="Arial" w:hAnsi="Arial"/>
          <w:sz w:val="17"/>
          <w:szCs w:val="17"/>
          <w:color w:val="auto"/>
        </w:rPr>
        <w:t>Under this expedient, which is a “current-period adjustment method,” the Company applied ASC 842 as of January 2019 and recognized operating lease liabilities of $11.7 million and right of use assets of $9.4 million for all leases with lease terms of more than 12 months. There was no impact to retained earnings as of that date. In addition, the Company adopted the guidance by electing the following practical expedients: (1) the Company did not reassess whether any expired or existing contracts contained leases, (2) the Company did not reassess the lease classification for any expired or existing leases, and (3) the Company excluded variable payments from the lease contract consideration and recorded those as incurred. The Company’s future commitments under lease obligations and additional disclosures are summarized in Note 12.</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100" w:hanging="1092"/>
        <w:spacing w:after="0"/>
        <w:tabs>
          <w:tab w:leader="none" w:pos="11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9"/>
              </w:rPr>
              <w:t>currency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4"/>
              </w:rPr>
              <w:t>Derivatives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1"/>
              </w:rPr>
              <w:t>qualifying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Defined benefit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w w:val="91"/>
              </w:rPr>
              <w:t>(in thousands)</w:t>
            </w:r>
          </w:p>
        </w:tc>
        <w:tc>
          <w:tcPr>
            <w:tcW w:w="4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adjustments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hedges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pension plans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Amounts reclassified from AOCI</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w:t>
            </w:r>
          </w:p>
        </w:tc>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Acquisition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60" w:type="dxa"/>
            <w:vAlign w:val="bottom"/>
            <w:gridSpan w:val="2"/>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January 31, 2018, the Company acquired all of the issued and outstanding shares of Data Sciences International, Inc. (DSI), a Delaware corporation, for approximately $71.1 million. The Company funded the acquisition from its existing cash balances, excess proceeds from the Denville Transaction discussed in Note 5, and proceeds from the Financing Agreement discussed in Note 14.</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purchase price for this acquisition was allocated to tangible and intangible net assets acquired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(in</w:t>
            </w:r>
          </w:p>
        </w:tc>
      </w:tr>
      <w:tr>
        <w:trPr>
          <w:trHeight w:val="230"/>
        </w:trPr>
        <w:tc>
          <w:tcPr>
            <w:tcW w:w="6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9"/>
              </w:rPr>
              <w:t>thousands)</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34,010</w:t>
            </w:r>
          </w:p>
        </w:tc>
      </w:tr>
      <w:tr>
        <w:trPr>
          <w:trHeight w:val="230"/>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w:t>
            </w:r>
          </w:p>
        </w:tc>
      </w:tr>
      <w:tr>
        <w:trPr>
          <w:trHeight w:val="21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22,061</w:t>
            </w:r>
          </w:p>
        </w:tc>
      </w:t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21,865</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Amortizable intangible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3,524</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9,837</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10"/>
        </w:trPr>
        <w:tc>
          <w:tcPr>
            <w:tcW w:w="6380" w:type="dxa"/>
            <w:vAlign w:val="bottom"/>
          </w:tcPr>
          <w:p>
            <w:pPr>
              <w:ind w:left="180"/>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40,318</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r>
      <w:tr>
        <w:trPr>
          <w:trHeight w:val="210"/>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goodwill and intangible assets, net of tax</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49,063</w:t>
            </w:r>
          </w:p>
        </w:tc>
      </w:tr>
      <w:tr>
        <w:trPr>
          <w:trHeight w:val="223"/>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71,124</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Tangible assets and liabilities assumed, as referenced above,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Cash acquired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2,576</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11,512</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3,574</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assets, net</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63"/>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Tangible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34,010</w:t>
            </w:r>
          </w:p>
        </w:tc>
      </w:tr>
      <w:tr>
        <w:trPr>
          <w:trHeight w:val="197"/>
        </w:trPr>
        <w:tc>
          <w:tcPr>
            <w:tcW w:w="6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6,001</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including customer advances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230"/>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 term liabilities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r>
      <w:tr>
        <w:trPr>
          <w:trHeight w:val="223"/>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11,949</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635"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635"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Company finalized the purchase price allocation for DSI as of December 31, 2018. The weighted-average amortization periods for definite-lived intangible assets acquired was 9.4 years for tradenames, 8.2 years for developed technology, 12.4 years for customer relationships and 7.4 years for in-process research and development assets. The weighted average amortization period for all definite-lived intangible assets acquired was 9.3 years.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recorded as a result of the acquisition of DSI is not deductible for tax purposes.</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results of operations for DSI have been included in the Company’s consolidated financial statements from the date of acquisition. The revenues of DSI included in the Company’s consolidated statement of operations from the date of acquisition to March 31, 2018 were approximately $7.6 million. The net loss of DSI included in the Company’s consolidated statement of operations for the same period was approximately $0.4 million. Included in the net loss for the three months ended March 31, 2018 was a $1.5 million charge recognized in cost of revenues related to purchase accounting inventory fair value step up amortization. The total inventory fair value step up was valued at $3.8 million and was recognized into cost of revenues over one inventory turn, or approximately five and a half months. Also included in the net loss of DSI for that period was $0.7 million of intangible asset amortization expense.</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following consolidated pro forma information is based on the assumption that the acquisition of DSI occurred on January 1, 2017.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184"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6"/>
              </w:rPr>
              <w:t>(in thousands)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30,071</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bl>
    <w:p>
      <w:pPr>
        <w:spacing w:after="0" w:line="20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Direct acquisition costs recorded in other expense, net in the Company’s consolidated statements of operations were $0 and $2.6 million for the three months ended March 31, 2019 and 2018,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100" w:hanging="1092"/>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On January 22, 2018, the Company sold substantially all the assets of its wholly owned subsidiary, Denville, for approximately $20.0 million, which includes a $3.0 million earn-out provision (the Denville Transaction). Upon the closing of the transaction, the Company received $15.7 million. The $3.0 million earn-out provision represents consideration that is contingent on Denville achieving certain performance metrics over a period of two years.</w:t>
      </w:r>
    </w:p>
    <w:p>
      <w:pPr>
        <w:spacing w:after="0" w:line="147" w:lineRule="exact"/>
        <w:rPr>
          <w:sz w:val="20"/>
          <w:szCs w:val="20"/>
          <w:color w:val="auto"/>
        </w:rPr>
      </w:pPr>
    </w:p>
    <w:p>
      <w:pPr>
        <w:jc w:val="both"/>
        <w:ind w:right="300" w:firstLine="441"/>
        <w:spacing w:after="0" w:line="277" w:lineRule="auto"/>
        <w:rPr>
          <w:sz w:val="20"/>
          <w:szCs w:val="20"/>
          <w:color w:val="auto"/>
        </w:rPr>
      </w:pPr>
      <w:r>
        <w:rPr>
          <w:rFonts w:ascii="Arial" w:cs="Arial" w:eastAsia="Arial" w:hAnsi="Arial"/>
          <w:sz w:val="18"/>
          <w:szCs w:val="18"/>
          <w:color w:val="auto"/>
        </w:rPr>
        <w:t>The following table is a reconciliation of the major line items of income from discontinued operations presented within the Company’s consolidated statements of operations for the three months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4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4420" w:type="dxa"/>
            <w:vAlign w:val="bottom"/>
          </w:tcPr>
          <w:p>
            <w:pPr>
              <w:spacing w:after="0"/>
              <w:rPr>
                <w:sz w:val="18"/>
                <w:szCs w:val="18"/>
                <w:color w:val="auto"/>
              </w:rPr>
            </w:pPr>
          </w:p>
        </w:tc>
        <w:tc>
          <w:tcPr>
            <w:tcW w:w="2440" w:type="dxa"/>
            <w:vAlign w:val="bottom"/>
            <w:gridSpan w:val="5"/>
          </w:tcPr>
          <w:p>
            <w:pPr>
              <w:jc w:val="center"/>
              <w:spacing w:after="0"/>
              <w:rPr>
                <w:sz w:val="20"/>
                <w:szCs w:val="20"/>
                <w:color w:val="auto"/>
              </w:rPr>
            </w:pPr>
            <w:r>
              <w:rPr>
                <w:rFonts w:ascii="Arial" w:cs="Arial" w:eastAsia="Arial" w:hAnsi="Arial"/>
                <w:sz w:val="18"/>
                <w:szCs w:val="18"/>
                <w:color w:val="auto"/>
                <w:w w:val="89"/>
              </w:rPr>
              <w:t>(in thousands)</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and other expenses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disposal of discontinued operations</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r>
      <w:tr>
        <w:trPr>
          <w:trHeight w:val="182"/>
        </w:trPr>
        <w:tc>
          <w:tcPr>
            <w:tcW w:w="44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Income from discontinued operations before income</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0"/>
        </w:trPr>
        <w:tc>
          <w:tcPr>
            <w:tcW w:w="4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Total operating and investing cash flows for Denville in the Company’s consolidated statements of cash flows for the three months ended March 31, 2018, were immaterial There were no operating or investing cash flows for Denville in the Company’s consolidated statements of cash flows for the three months ended March 31, 2019.</w:t>
      </w:r>
    </w:p>
    <w:p>
      <w:pPr>
        <w:spacing w:after="0" w:line="177" w:lineRule="exact"/>
        <w:rPr>
          <w:sz w:val="20"/>
          <w:szCs w:val="20"/>
          <w:color w:val="auto"/>
        </w:rPr>
      </w:pPr>
    </w:p>
    <w:p>
      <w:pPr>
        <w:ind w:left="1100" w:hanging="1092"/>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Intangible assets consist of the following:</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w w:val="92"/>
              </w:rPr>
              <w:t>March 31, 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w w:val="88"/>
              </w:rPr>
              <w:t>December 31, 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Life</w:t>
            </w:r>
          </w:p>
        </w:tc>
        <w:tc>
          <w:tcPr>
            <w:tcW w:w="1020" w:type="dxa"/>
            <w:vAlign w:val="bottom"/>
          </w:tcPr>
          <w:p>
            <w:pPr>
              <w:ind w:left="120"/>
              <w:spacing w:after="0" w:line="194" w:lineRule="exact"/>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40" w:type="dxa"/>
            <w:vAlign w:val="bottom"/>
            <w:gridSpan w:val="5"/>
            <w:vMerge w:val="restart"/>
          </w:tcPr>
          <w:p>
            <w:pPr>
              <w:jc w:val="right"/>
              <w:ind w:right="5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Amortizable intangible assets:</w:t>
            </w:r>
          </w:p>
        </w:tc>
        <w:tc>
          <w:tcPr>
            <w:tcW w:w="220" w:type="dxa"/>
            <w:vAlign w:val="bottom"/>
          </w:tcPr>
          <w:p>
            <w:pPr>
              <w:spacing w:after="0"/>
              <w:rPr>
                <w:sz w:val="20"/>
                <w:szCs w:val="20"/>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Amortization</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technology</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41,285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41,268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(16,215)</w:t>
            </w:r>
          </w:p>
        </w:tc>
        <w:tc>
          <w:tcPr>
            <w:tcW w:w="122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1020" w:type="dxa"/>
            <w:vAlign w:val="bottom"/>
          </w:tcPr>
          <w:p>
            <w:pPr>
              <w:ind w:left="1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agreements/customer relationships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(9,509)</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7.2</w:t>
            </w:r>
          </w:p>
        </w:tc>
        <w:tc>
          <w:tcPr>
            <w:tcW w:w="1020" w:type="dxa"/>
            <w:vAlign w:val="bottom"/>
          </w:tcPr>
          <w:p>
            <w:pPr>
              <w:ind w:left="1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amortizable intangible assets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73,214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73,351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(28,819)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indefinite-lived intangible assets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goodwill and other indefinite-lived intangible</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58,603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58,536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gross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131,817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(a) Weighted average life as of March 31, 2019.</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three months ended March 31, 2019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(in thousands)</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57,304</w:t>
            </w:r>
          </w:p>
        </w:tc>
      </w:tr>
      <w:tr>
        <w:trPr>
          <w:trHeight w:val="230"/>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change in currency translation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57,375</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Intangible asset amortization expense from continuing operations was $1.4 million and $1.1 million for the three months ended March 31, 2019 and 2018, respectively. Amortization expense of existing amortizable intangible assets is currently estimated to be $5.6 million for the year ending December 31, 2019, $5.6 million for the year ending December 31, 2020, $5.6 million for the year ending December 31, 2021, $5.5 million for the year ending December 31, 2022 and $5.4 million for the year ending December 31, 2023.</w:t>
      </w:r>
    </w:p>
    <w:p>
      <w:pPr>
        <w:spacing w:after="0" w:line="183" w:lineRule="exact"/>
        <w:rPr>
          <w:sz w:val="20"/>
          <w:szCs w:val="20"/>
          <w:color w:val="auto"/>
        </w:rPr>
      </w:pPr>
    </w:p>
    <w:p>
      <w:pPr>
        <w:ind w:left="1100" w:hanging="1092"/>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31,</w:t>
            </w:r>
          </w:p>
        </w:tc>
      </w:tr>
      <w:tr>
        <w:trPr>
          <w:trHeight w:val="234"/>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4"/>
          </w:tcPr>
          <w:p>
            <w:pPr>
              <w:jc w:val="right"/>
              <w:ind w:right="630"/>
              <w:spacing w:after="0"/>
              <w:rPr>
                <w:sz w:val="20"/>
                <w:szCs w:val="20"/>
                <w:color w:val="auto"/>
              </w:rPr>
            </w:pPr>
            <w:r>
              <w:rPr>
                <w:rFonts w:ascii="Arial" w:cs="Arial" w:eastAsia="Arial" w:hAnsi="Arial"/>
                <w:sz w:val="18"/>
                <w:szCs w:val="18"/>
                <w:color w:val="auto"/>
              </w:rPr>
              <w:t>(in thousands)</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r>
      <w:tr>
        <w:trPr>
          <w:trHeight w:val="223"/>
        </w:trPr>
        <w:tc>
          <w:tcPr>
            <w:tcW w:w="44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26,557</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w:t>
            </w: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100" w:hanging="1092"/>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and December 31, 2018, property, plant and equipment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31,</w:t>
            </w:r>
          </w:p>
        </w:tc>
      </w:tr>
      <w:tr>
        <w:trPr>
          <w:trHeight w:val="234"/>
        </w:trPr>
        <w:tc>
          <w:tcPr>
            <w:tcW w:w="4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10"/>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4"/>
          </w:tcPr>
          <w:p>
            <w:pPr>
              <w:jc w:val="right"/>
              <w:ind w:right="630"/>
              <w:spacing w:after="0"/>
              <w:rPr>
                <w:sz w:val="20"/>
                <w:szCs w:val="20"/>
                <w:color w:val="auto"/>
              </w:rPr>
            </w:pPr>
            <w:r>
              <w:rPr>
                <w:rFonts w:ascii="Arial" w:cs="Arial" w:eastAsia="Arial" w:hAnsi="Arial"/>
                <w:sz w:val="18"/>
                <w:szCs w:val="18"/>
                <w:color w:val="auto"/>
              </w:rPr>
              <w:t>(in thousands)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and leasehold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9,678</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23,336</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1100" w:hanging="1092"/>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part of the acquisitions of Multi Channel Systems MCS GmbH (MCS) and Triangle BioSystems, Inc. (TBSI) in 2014, the Company signed lease agreements with the former owners of the acquired companies. The principals of such former owners of MCS and TBSI were employees of the Company as of March 31, 2019 and 2018. Pursuant to a lease agreement, the Company made rent payments of approximately $78 thousand and $79 thousand to the former owners of MCS for the three months ended March 31, 2019 and 2018, respectively. The Company made rent payments of approximately $11 thousand to the former owner of TBSI for both the three months ended March 31, 2019 and 2018.</w:t>
      </w:r>
    </w:p>
    <w:p>
      <w:pPr>
        <w:spacing w:after="0" w:line="169" w:lineRule="exact"/>
        <w:rPr>
          <w:sz w:val="20"/>
          <w:szCs w:val="20"/>
          <w:color w:val="auto"/>
        </w:rPr>
      </w:pPr>
    </w:p>
    <w:p>
      <w:pPr>
        <w:ind w:left="1100" w:hanging="1092"/>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Beginning</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(Payments)\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Credits</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Additions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Balance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80" w:type="dxa"/>
            <w:vAlign w:val="bottom"/>
            <w:gridSpan w:val="2"/>
          </w:tcPr>
          <w:p>
            <w:pPr>
              <w:jc w:val="right"/>
              <w:ind w:right="69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391</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100" w:hanging="1092"/>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pension plans for substantially all of its employees. These defined benefit pension plans have been closed to new employees since 2014, as well as closed to the future accrual of benefits for existing employees. The components of the Company’s defined benefit pension expense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040" w:type="dxa"/>
            <w:vAlign w:val="bottom"/>
            <w:gridSpan w:val="4"/>
          </w:tcPr>
          <w:p>
            <w:pPr>
              <w:jc w:val="center"/>
              <w:ind w:left="316"/>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r>
      <w:tr>
        <w:trPr>
          <w:trHeight w:val="234"/>
        </w:trPr>
        <w:tc>
          <w:tcPr>
            <w:tcW w:w="4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r>
      <w:tr>
        <w:trPr>
          <w:trHeight w:val="210"/>
        </w:trPr>
        <w:tc>
          <w:tcPr>
            <w:tcW w:w="4420" w:type="dxa"/>
            <w:vAlign w:val="bottom"/>
          </w:tcPr>
          <w:p>
            <w:pPr>
              <w:spacing w:after="0"/>
              <w:rPr>
                <w:sz w:val="18"/>
                <w:szCs w:val="18"/>
                <w:color w:val="auto"/>
              </w:rPr>
            </w:pPr>
          </w:p>
        </w:tc>
        <w:tc>
          <w:tcPr>
            <w:tcW w:w="2040" w:type="dxa"/>
            <w:vAlign w:val="bottom"/>
            <w:gridSpan w:val="4"/>
          </w:tcPr>
          <w:p>
            <w:pPr>
              <w:jc w:val="center"/>
              <w:ind w:left="296"/>
              <w:spacing w:after="0"/>
              <w:rPr>
                <w:sz w:val="20"/>
                <w:szCs w:val="20"/>
                <w:color w:val="auto"/>
              </w:rPr>
            </w:pPr>
            <w:r>
              <w:rPr>
                <w:rFonts w:ascii="Arial" w:cs="Arial" w:eastAsia="Arial" w:hAnsi="Arial"/>
                <w:sz w:val="18"/>
                <w:szCs w:val="18"/>
                <w:color w:val="auto"/>
                <w:w w:val="89"/>
              </w:rPr>
              <w:t>(in thousands)</w:t>
            </w:r>
          </w:p>
        </w:tc>
        <w:tc>
          <w:tcPr>
            <w:tcW w:w="4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(182)</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(204)</w:t>
            </w:r>
          </w:p>
        </w:tc>
      </w:tr>
      <w:tr>
        <w:trPr>
          <w:trHeight w:val="23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amortization loss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 (income)</w:t>
            </w: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For the three months ended March 31, 2019 and 2018, the Company contributed $0.2 million, for both periods, to its defined benefit pension plans. The Company expects to contribute at $0.5 million to its defined benefit pension plans during the remainder of 2019.</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Company had an underfunded pension liability of approximately $0.9 million as of March 31, 2019 and December 31, 2018 included in the other long term liabilities line item in the consolidated balance sheets.</w:t>
      </w:r>
    </w:p>
    <w:p>
      <w:pPr>
        <w:spacing w:after="0" w:line="383" w:lineRule="exact"/>
        <w:rPr>
          <w:sz w:val="20"/>
          <w:szCs w:val="20"/>
          <w:color w:val="auto"/>
        </w:rPr>
      </w:pPr>
    </w:p>
    <w:p>
      <w:pPr>
        <w:ind w:left="1100" w:hanging="1092"/>
        <w:spacing w:after="0"/>
        <w:tabs>
          <w:tab w:leader="none" w:pos="11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Company has noncancelable operating leases for office, manufacturing facilities, warehouse space, automobiles and equipment expiring at various dates through 2023 and thereafter. As discussed in Footnote 1, the Company adopted ASC 842 as of January 1, 2019, using a current period adjustment method. In accordance with this method, the Company recognized a right of use asset of $9.4 million and an operating lease liability of $11.7 million as of January 1, 2019. As a result of using the current period adjustment method, the lease expense for three months ended March 31, 2019 and 2018 was recognized under ASC 842, and ASC 840, the previous standard,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lease expense for the three months ended March 31, 2019 are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Short term lease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549"/>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4549"/>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454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ind w:left="271"/>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690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 w:lineRule="exact"/>
        <w:rPr>
          <w:sz w:val="20"/>
          <w:szCs w:val="20"/>
          <w:color w:val="auto"/>
        </w:rPr>
      </w:pPr>
    </w:p>
    <w:p>
      <w:pPr>
        <w:ind w:left="1191" w:hanging="1191"/>
        <w:spacing w:after="0"/>
        <w:tabs>
          <w:tab w:leader="none" w:pos="11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523</w:t>
      </w:r>
    </w:p>
    <w:p>
      <w:pPr>
        <w:spacing w:after="0" w:line="9" w:lineRule="exact"/>
        <w:rPr>
          <w:rFonts w:ascii="Arial" w:cs="Arial" w:eastAsia="Arial" w:hAnsi="Arial"/>
          <w:sz w:val="18"/>
          <w:szCs w:val="18"/>
          <w:color w:val="auto"/>
        </w:rPr>
      </w:pPr>
    </w:p>
    <w:p>
      <w:pPr>
        <w:ind w:left="1271"/>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-267970</wp:posOffset>
            </wp:positionV>
            <wp:extent cx="434784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jc w:val="center"/>
        <w:ind w:right="344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-116205</wp:posOffset>
            </wp:positionV>
            <wp:extent cx="434784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38" w:lineRule="exact"/>
        <w:rPr>
          <w:sz w:val="20"/>
          <w:szCs w:val="20"/>
          <w:color w:val="auto"/>
        </w:rPr>
      </w:pPr>
    </w:p>
    <w:p>
      <w:pPr>
        <w:ind w:left="1191" w:hanging="1191"/>
        <w:spacing w:after="0"/>
        <w:tabs>
          <w:tab w:leader="none" w:pos="11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90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90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9" w:space="720"/>
            <w:col w:w="6091"/>
          </w:cols>
          <w:pgMar w:left="240" w:top="226"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the Company's operating leases was as follows</w:t>
      </w:r>
    </w:p>
    <w:p>
      <w:pPr>
        <w:spacing w:after="0" w:line="233"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9690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the Company's operating leases was as follows:</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43478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long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5247"/>
        <w:spacing w:after="0"/>
        <w:rPr>
          <w:sz w:val="20"/>
          <w:szCs w:val="20"/>
          <w:color w:val="auto"/>
        </w:rPr>
      </w:pPr>
      <w:r>
        <w:rPr>
          <w:rFonts w:ascii="Arial" w:cs="Arial" w:eastAsia="Arial" w:hAnsi="Arial"/>
          <w:sz w:val="18"/>
          <w:szCs w:val="18"/>
          <w:b w:val="1"/>
          <w:bCs w:val="1"/>
          <w:color w:val="auto"/>
        </w:rPr>
        <w:t>March 31, 2019</w:t>
      </w:r>
    </w:p>
    <w:p>
      <w:pPr>
        <w:spacing w:after="0" w:line="27" w:lineRule="exact"/>
        <w:rPr>
          <w:sz w:val="20"/>
          <w:szCs w:val="20"/>
          <w:color w:val="auto"/>
        </w:rPr>
      </w:pPr>
    </w:p>
    <w:p>
      <w:pPr>
        <w:jc w:val="center"/>
        <w:ind w:right="5247"/>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29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 w:lineRule="exact"/>
        <w:rPr>
          <w:sz w:val="20"/>
          <w:szCs w:val="20"/>
          <w:color w:val="auto"/>
        </w:rPr>
      </w:pPr>
    </w:p>
    <w:p>
      <w:pPr>
        <w:ind w:left="1053" w:hanging="1053"/>
        <w:spacing w:after="0"/>
        <w:tabs>
          <w:tab w:leader="none" w:pos="1053" w:val="left"/>
        </w:tabs>
        <w:numPr>
          <w:ilvl w:val="0"/>
          <w:numId w:val="16"/>
        </w:numPr>
        <w:rPr>
          <w:rFonts w:ascii="Arial" w:cs="Arial" w:eastAsia="Arial" w:hAnsi="Arial"/>
          <w:sz w:val="15"/>
          <w:szCs w:val="15"/>
          <w:color w:val="auto"/>
        </w:rPr>
      </w:pPr>
      <w:r>
        <w:rPr>
          <w:rFonts w:ascii="Arial" w:cs="Arial" w:eastAsia="Arial" w:hAnsi="Arial"/>
          <w:sz w:val="15"/>
          <w:szCs w:val="15"/>
          <w:color w:val="auto"/>
        </w:rPr>
        <w:t>9,106</w:t>
      </w:r>
    </w:p>
    <w:p>
      <w:pPr>
        <w:spacing w:after="0" w:line="245" w:lineRule="exact"/>
        <w:rPr>
          <w:sz w:val="20"/>
          <w:szCs w:val="20"/>
          <w:color w:val="auto"/>
        </w:rPr>
      </w:pPr>
    </w:p>
    <w:p>
      <w:pPr>
        <w:ind w:left="1053" w:hanging="1053"/>
        <w:spacing w:after="0"/>
        <w:tabs>
          <w:tab w:leader="none" w:pos="1053" w:val="left"/>
        </w:tabs>
        <w:numPr>
          <w:ilvl w:val="0"/>
          <w:numId w:val="17"/>
        </w:numPr>
        <w:rPr>
          <w:rFonts w:ascii="Arial" w:cs="Arial" w:eastAsia="Arial" w:hAnsi="Arial"/>
          <w:sz w:val="15"/>
          <w:szCs w:val="15"/>
          <w:color w:val="auto"/>
        </w:rPr>
      </w:pPr>
      <w:r>
        <w:rPr>
          <w:rFonts w:ascii="Arial" w:cs="Arial" w:eastAsia="Arial" w:hAnsi="Arial"/>
          <w:sz w:val="15"/>
          <w:szCs w:val="15"/>
          <w:color w:val="auto"/>
        </w:rPr>
        <w:t>2,297</w:t>
      </w:r>
    </w:p>
    <w:p>
      <w:pPr>
        <w:spacing w:after="0" w:line="57" w:lineRule="exact"/>
        <w:rPr>
          <w:rFonts w:ascii="Arial" w:cs="Arial" w:eastAsia="Arial" w:hAnsi="Arial"/>
          <w:sz w:val="15"/>
          <w:szCs w:val="15"/>
          <w:color w:val="auto"/>
        </w:rPr>
      </w:pPr>
    </w:p>
    <w:p>
      <w:pPr>
        <w:ind w:left="1053"/>
        <w:spacing w:after="0"/>
        <w:rPr>
          <w:rFonts w:ascii="Arial" w:cs="Arial" w:eastAsia="Arial" w:hAnsi="Arial"/>
          <w:sz w:val="15"/>
          <w:szCs w:val="15"/>
          <w:color w:val="auto"/>
        </w:rPr>
      </w:pPr>
      <w:r>
        <w:rPr>
          <w:rFonts w:ascii="Arial" w:cs="Arial" w:eastAsia="Arial" w:hAnsi="Arial"/>
          <w:sz w:val="15"/>
          <w:szCs w:val="15"/>
          <w:color w:val="auto"/>
        </w:rPr>
        <w:t>9,062</w:t>
      </w:r>
    </w:p>
    <w:p>
      <w:pPr>
        <w:spacing w:after="0" w:line="70" w:lineRule="exact"/>
        <w:rPr>
          <w:sz w:val="20"/>
          <w:szCs w:val="20"/>
          <w:color w:val="auto"/>
        </w:rPr>
      </w:pPr>
    </w:p>
    <w:p>
      <w:pPr>
        <w:ind w:left="973" w:hanging="973"/>
        <w:spacing w:after="0"/>
        <w:tabs>
          <w:tab w:leader="none" w:pos="973" w:val="left"/>
        </w:tabs>
        <w:numPr>
          <w:ilvl w:val="0"/>
          <w:numId w:val="18"/>
        </w:numPr>
        <w:rPr>
          <w:rFonts w:ascii="Arial" w:cs="Arial" w:eastAsia="Arial" w:hAnsi="Arial"/>
          <w:sz w:val="15"/>
          <w:szCs w:val="15"/>
          <w:color w:val="auto"/>
        </w:rPr>
      </w:pPr>
      <w:r>
        <w:rPr>
          <w:rFonts w:ascii="Arial" w:cs="Arial" w:eastAsia="Arial" w:hAnsi="Arial"/>
          <w:sz w:val="15"/>
          <w:szCs w:val="15"/>
          <w:color w:val="auto"/>
        </w:rPr>
        <w:t>11,359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1029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907" w:space="720"/>
            <w:col w:w="6793"/>
          </w:cols>
          <w:pgMar w:left="240" w:top="226" w:right="2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5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8.6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500" w:type="dxa"/>
            <w:vAlign w:val="bottom"/>
          </w:tcPr>
          <w:p>
            <w:pPr>
              <w:ind w:left="1500"/>
              <w:spacing w:after="0"/>
              <w:rPr>
                <w:sz w:val="20"/>
                <w:szCs w:val="20"/>
                <w:color w:val="auto"/>
              </w:rPr>
            </w:pPr>
            <w:r>
              <w:rPr>
                <w:rFonts w:ascii="Arial" w:cs="Arial" w:eastAsia="Arial" w:hAnsi="Arial"/>
                <w:sz w:val="18"/>
                <w:szCs w:val="18"/>
                <w:color w:val="auto"/>
              </w:rPr>
              <w:t>9.2%</w:t>
            </w:r>
          </w:p>
        </w:tc>
      </w:tr>
      <w:tr>
        <w:trPr>
          <w:trHeight w:val="216"/>
        </w:trPr>
        <w:tc>
          <w:tcPr>
            <w:tcW w:w="43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Rent payments for continuing operations were approximately $0.5 million for the three months ended March 31, 2018. Future minimum lease payments for operating leases, with initial or remaining terms in excess of one year at March 31, 2019,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49"/>
              <w:spacing w:after="0"/>
              <w:rPr>
                <w:sz w:val="20"/>
                <w:szCs w:val="20"/>
                <w:color w:val="auto"/>
              </w:rPr>
            </w:pPr>
            <w:r>
              <w:rPr>
                <w:rFonts w:ascii="Arial" w:cs="Arial" w:eastAsia="Arial" w:hAnsi="Arial"/>
                <w:sz w:val="18"/>
                <w:szCs w:val="18"/>
                <w:b w:val="1"/>
                <w:bCs w:val="1"/>
                <w:color w:val="auto"/>
                <w:w w:val="91"/>
              </w:rPr>
              <w:t>Operating</w:t>
            </w:r>
          </w:p>
        </w:tc>
        <w:tc>
          <w:tcPr>
            <w:tcW w:w="456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49"/>
              <w:spacing w:after="0"/>
              <w:rPr>
                <w:sz w:val="20"/>
                <w:szCs w:val="20"/>
                <w:color w:val="auto"/>
              </w:rPr>
            </w:pPr>
            <w:r>
              <w:rPr>
                <w:rFonts w:ascii="Arial" w:cs="Arial" w:eastAsia="Arial" w:hAnsi="Arial"/>
                <w:sz w:val="18"/>
                <w:szCs w:val="18"/>
                <w:b w:val="1"/>
                <w:bCs w:val="1"/>
                <w:color w:val="auto"/>
                <w:w w:val="81"/>
              </w:rPr>
              <w:t>Leases</w:t>
            </w:r>
          </w:p>
        </w:tc>
        <w:tc>
          <w:tcPr>
            <w:tcW w:w="456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49"/>
              <w:spacing w:after="0"/>
              <w:rPr>
                <w:sz w:val="20"/>
                <w:szCs w:val="20"/>
                <w:color w:val="auto"/>
              </w:rPr>
            </w:pPr>
            <w:r>
              <w:rPr>
                <w:rFonts w:ascii="Arial" w:cs="Arial" w:eastAsia="Arial" w:hAnsi="Arial"/>
                <w:sz w:val="18"/>
                <w:szCs w:val="18"/>
                <w:color w:val="auto"/>
                <w:w w:val="89"/>
              </w:rPr>
              <w:t>(in thousands)</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2,268</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1,813</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560" w:type="dxa"/>
            <w:vAlign w:val="bottom"/>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4560" w:type="dxa"/>
            <w:vAlign w:val="bottom"/>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4560" w:type="dxa"/>
            <w:vAlign w:val="bottom"/>
          </w:tcPr>
          <w:p>
            <w:pPr>
              <w:spacing w:after="0"/>
              <w:rPr>
                <w:sz w:val="18"/>
                <w:szCs w:val="18"/>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4560" w:type="dxa"/>
            <w:vAlign w:val="bottom"/>
          </w:tcPr>
          <w:p>
            <w:pPr>
              <w:spacing w:after="0"/>
              <w:rPr>
                <w:sz w:val="19"/>
                <w:szCs w:val="19"/>
                <w:color w:val="auto"/>
              </w:rPr>
            </w:pP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456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949"/>
              <w:spacing w:after="0"/>
              <w:rPr>
                <w:sz w:val="20"/>
                <w:szCs w:val="20"/>
                <w:color w:val="auto"/>
              </w:rPr>
            </w:pPr>
            <w:r>
              <w:rPr>
                <w:rFonts w:ascii="Arial" w:cs="Arial" w:eastAsia="Arial" w:hAnsi="Arial"/>
                <w:sz w:val="22"/>
                <w:szCs w:val="22"/>
                <w:color w:val="auto"/>
              </w:rPr>
              <w:t>15</w:t>
            </w:r>
          </w:p>
        </w:tc>
        <w:tc>
          <w:tcPr>
            <w:tcW w:w="4560" w:type="dxa"/>
            <w:vAlign w:val="bottom"/>
          </w:tcPr>
          <w:p>
            <w:pPr>
              <w:spacing w:after="0"/>
              <w:rPr>
                <w:sz w:val="24"/>
                <w:szCs w:val="24"/>
                <w:color w:val="auto"/>
              </w:rPr>
            </w:pPr>
          </w:p>
        </w:tc>
      </w:tr>
      <w:tr>
        <w:trPr>
          <w:trHeight w:val="68"/>
        </w:trPr>
        <w:tc>
          <w:tcPr>
            <w:tcW w:w="53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26"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ind w:left="1100" w:hanging="1092"/>
        <w:spacing w:after="0"/>
        <w:tabs>
          <w:tab w:leader="none" w:pos="11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The Company has 80.0 million shares of common stock authorized for issuance. As of March 31, 2019, the Company had 37.7 million shares of common stock issued and outstanding.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March 31, 2019, the Company had no preferred stock issued or outstanding.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As of March 31, 2019, 1,050,000 shares of common stock are authorized for issuance, of which 890,762 shares were issued. There were no shares issued under the ESPP during the three months ended March 31, 2019 and 2018, respectively.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Option and Equity Incentive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right="520" w:firstLine="441"/>
        <w:spacing w:after="0" w:line="264" w:lineRule="auto"/>
        <w:rPr>
          <w:sz w:val="20"/>
          <w:szCs w:val="20"/>
          <w:color w:val="auto"/>
        </w:rPr>
      </w:pPr>
      <w:r>
        <w:rPr>
          <w:rFonts w:ascii="Arial" w:cs="Arial" w:eastAsia="Arial" w:hAnsi="Arial"/>
          <w:sz w:val="18"/>
          <w:szCs w:val="18"/>
          <w:color w:val="auto"/>
        </w:rPr>
        <w:t>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On May 24, 2018, the Compensation Committee of the Board of Directors of the Company approved and granted deferred stock awards of Market Condition RSUs (the 2018 Market Condition RSUs) to certain members of the Company’s management team under the Third A&amp;R Plan. The vesting of the 2018 Market Condition RSUs is based on a graded-vesting schedule (one third at the end of each year for three years) and linked to the achievement of a relative total shareholder return of the Company’s common stock from May 24, 2018 to the earlier of (i) May 24, 2019 or (ii) upon a change of control (measured relative to the NASDAQ Biotechnology index and based on the 20-day trading average price before each such date). As of March 31, 2019, the target number of these restricted stock units that may be earned is 94,444 shares; the maximum amount is 150% of the target number.</w:t>
      </w:r>
    </w:p>
    <w:p>
      <w:pPr>
        <w:spacing w:after="0" w:line="165"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On March 7, 2019, the Compensation Committee of the Board of Directors of the Company approved and granted deferred stock awards of Market Condition RSUs (the 2019 Market Condition RSUs) to certain members of the Company’s management team under the Third A&amp;R Plan. The vesting of the 2019 Market Condition RSUs is based on a graded-vesting schedule (one third at the end of each year for three years) and linked to the achievement of a relative total shareholder return of the Company’s common stock from March 7, 2019 to the earlier of (i) March 7, 2020 or (ii) upon a change of control (measured relative to the NASDAQ Biotechnology index and based on the 20-day trading average price before each such date). As of March 31, 2019, the target number of these restricted stock units that may be earned is 75,514 shares; the maximum amount is 150% of the target number.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 based awards as they occur, with no adjustment for estimated forfeitures.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Stock option and restricted stock unit activity under the Company’s Third A&amp;R Plan for the three months ended March 31,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rPr>
              <w:t>Stock Options</w:t>
            </w:r>
          </w:p>
        </w:tc>
        <w:tc>
          <w:tcPr>
            <w:tcW w:w="2960" w:type="dxa"/>
            <w:vAlign w:val="bottom"/>
            <w:gridSpan w:val="5"/>
          </w:tcPr>
          <w:p>
            <w:pPr>
              <w:ind w:left="560"/>
              <w:spacing w:after="0"/>
              <w:rPr>
                <w:sz w:val="20"/>
                <w:szCs w:val="20"/>
                <w:color w:val="auto"/>
              </w:rPr>
            </w:pPr>
            <w:r>
              <w:rPr>
                <w:rFonts w:ascii="Arial" w:cs="Arial" w:eastAsia="Arial" w:hAnsi="Arial"/>
                <w:sz w:val="18"/>
                <w:szCs w:val="18"/>
                <w:b w:val="1"/>
                <w:bCs w:val="1"/>
                <w:color w:val="auto"/>
              </w:rPr>
              <w:t>Restricted Stock Units</w:t>
            </w: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Condition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1,956,732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1,233,762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116,944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559,909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383,827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75,514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 / 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2,439,141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1,082,205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169,958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The weighted average fair value of the options granted under the Third A&amp;R Plan during the three months ended March 31, 2019 was $1.58. There were no options granted under the Third A&amp;R Plan during the three months ended March 31, 2018. The following assumptions were used to estimate the fair value, using the Black-Scholes option pricing model, of stock options granted during the three months ended March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5160" w:type="dxa"/>
            <w:vAlign w:val="bottom"/>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5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9"/>
              </w:rPr>
              <w:t>2019</w:t>
            </w:r>
          </w:p>
        </w:tc>
        <w:tc>
          <w:tcPr>
            <w:tcW w:w="600" w:type="dxa"/>
            <w:vAlign w:val="bottom"/>
            <w:tcBorders>
              <w:bottom w:val="single" w:sz="8" w:color="auto"/>
            </w:tcBorders>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rPr>
              <w:t>2.44</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weighted average fair value of the 2019 Market Condition RSUs which were granted under the Third A&amp;R Plan during the three months ended March 31, 2019 was $4.16. There were no Market Condition RSUs granted under the Third A&amp;R Plan during the three months ended March 31, 2018. The following assumptions were used to estimate the fair value, using a Monte-Carlo valuation simulation, of the Market Condition RSUs granted during the three months ended March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26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26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52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Dividend yield</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The Company used historical volatility to calculate the expected volatility for each grant as of the grant date. Historical volatility was determined by calculating the mean reversion of the daily adjusted closing stock price. The risk-free interest rate assumption is based upon observed U.S. Treasury bill interest rates (risk-free) appropriate for the term of the Company’s stock options and Market Condition RSUs. The expected holding period of stock options represents the period of time options are expected to be outstanding and is based on historical experience. The vesting period ranges from one to four years and the contractual life is ten years. The correlation coefficient, used to value the Market Condition RSUs, represents the way in which entities move in relation to the NASDAQ Biotechnology index as a whole.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Stock-based compensation expense related to stock options, restricted stock units, Market Condition RSUs and the ESPP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 was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440" w:type="dxa"/>
            <w:vAlign w:val="bottom"/>
            <w:gridSpan w:val="5"/>
          </w:tcPr>
          <w:p>
            <w:pPr>
              <w:jc w:val="center"/>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800" w:type="dxa"/>
            <w:vAlign w:val="bottom"/>
            <w:tcBorders>
              <w:bottom w:val="single" w:sz="8" w:color="auto"/>
            </w:tcBorders>
          </w:tcPr>
          <w:p>
            <w:pPr>
              <w:jc w:val="right"/>
              <w:ind w:right="63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591</w:t>
            </w:r>
          </w:p>
        </w:tc>
        <w:tc>
          <w:tcPr>
            <w:tcW w:w="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37,644,684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35,462,989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3"/>
              </w:rPr>
              <w:t>Effect of assumed conversion of employee and director stock options, restricted</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 units and Market Condition RSUs</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37,644,684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35,462,989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3,691,304 and 4,899,228 shares of common stock for the three months ended March 31, 2019 and 2018, respectively, as the impact of these shares would be anti-dilutive.</w:t>
      </w:r>
    </w:p>
    <w:p>
      <w:pPr>
        <w:spacing w:after="0" w:line="177" w:lineRule="exact"/>
        <w:rPr>
          <w:sz w:val="20"/>
          <w:szCs w:val="20"/>
          <w:color w:val="auto"/>
        </w:rPr>
      </w:pPr>
    </w:p>
    <w:p>
      <w:pPr>
        <w:ind w:left="1100" w:hanging="1092"/>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7"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 On August 16, 2018, the Company and Cerberus Business Finance, LLC entered into a First Amendment to the Financing Agreement, which such amendment modified certain provisions related to the borrowing base and reporting, among other things.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Financing Agreement provided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w:t>
      </w:r>
    </w:p>
    <w:p>
      <w:pPr>
        <w:spacing w:after="0" w:line="17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Company’s delivery of its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the Company’s “excess cash flow” prepayment obligations on a dollar-for-dollar basis for such fiscal year.</w:t>
      </w:r>
    </w:p>
    <w:p>
      <w:pPr>
        <w:spacing w:after="0" w:line="178"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w:t>
      </w:r>
    </w:p>
    <w:p>
      <w:pPr>
        <w:spacing w:after="0" w:line="18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also contains customary events of default. As of March 31, 2019, the Company was in compliance with all financial covenants contained in the Financing Agreement, was subject to covenant and working capital borrowing restrictions and had available borrowing capacity under its Financing Agreement of $14.5 million.</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As of March 31, 2019 and December 31, 2018, the Company had borrowings net of debt issuance costs of $56.3 million and $60.8 million respectively, outstanding. The carrying value of the debt approximates fair value because the interest rate under the obligation approximates market rates of interest available to the Company for similar instruments.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2019, the weighted effective interest rate, net of the impact of the Company’s interest rate swap, on its term loan was 8.87%.</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and December 31, 2018, the Company’s borrowings were comprised of:</w:t>
      </w:r>
    </w:p>
    <w:p>
      <w:pPr>
        <w:spacing w:after="0" w:line="221" w:lineRule="exact"/>
        <w:rPr>
          <w:sz w:val="20"/>
          <w:szCs w:val="20"/>
          <w:color w:val="auto"/>
        </w:rPr>
      </w:pPr>
    </w:p>
    <w:p>
      <w:pPr>
        <w:ind w:left="8880"/>
        <w:spacing w:after="0"/>
        <w:tabs>
          <w:tab w:leader="none" w:pos="1020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5"/>
          <w:szCs w:val="15"/>
          <w:b w:val="1"/>
          <w:bCs w:val="1"/>
          <w:color w:val="auto"/>
        </w:rPr>
        <w:t>December 31,</w:t>
      </w:r>
    </w:p>
    <w:p>
      <w:pPr>
        <w:spacing w:after="0" w:line="27" w:lineRule="exact"/>
        <w:rPr>
          <w:sz w:val="20"/>
          <w:szCs w:val="20"/>
          <w:color w:val="auto"/>
        </w:rPr>
      </w:pPr>
    </w:p>
    <w:p>
      <w:pPr>
        <w:ind w:left="910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ectPr>
          <w:pgSz w:w="11900" w:h="16838" w:orient="portrait"/>
          <w:cols w:equalWidth="0" w:num="1">
            <w:col w:w="11420"/>
          </w:cols>
          <w:pgMar w:left="240" w:top="226"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Term loan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Total debt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Current unamortized deferred financing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ind w:left="1100" w:hanging="1092"/>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(in thousands)</w:t>
            </w:r>
          </w:p>
        </w:tc>
        <w:tc>
          <w:tcPr>
            <w:tcW w:w="760" w:type="dxa"/>
            <w:vAlign w:val="bottom"/>
            <w:tcBorders>
              <w:top w:val="single" w:sz="8" w:color="auto"/>
            </w:tcBorders>
          </w:tcPr>
          <w:p>
            <w:pPr>
              <w:spacing w:after="0"/>
              <w:rPr>
                <w:sz w:val="20"/>
                <w:szCs w:val="20"/>
                <w:color w:val="auto"/>
              </w:rPr>
            </w:pPr>
          </w:p>
        </w:tc>
      </w:tr>
      <w:tr>
        <w:trPr>
          <w:trHeight w:val="411"/>
        </w:trPr>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57,817</w:t>
            </w:r>
          </w:p>
        </w:tc>
        <w:tc>
          <w:tcPr>
            <w:tcW w:w="100" w:type="dxa"/>
            <w:vAlign w:val="bottom"/>
          </w:tcPr>
          <w:p>
            <w:pPr>
              <w:spacing w:after="0"/>
              <w:rPr>
                <w:sz w:val="24"/>
                <w:szCs w:val="24"/>
                <w:color w:val="auto"/>
              </w:rPr>
            </w:pPr>
          </w:p>
        </w:tc>
        <w:tc>
          <w:tcPr>
            <w:tcW w:w="600" w:type="dxa"/>
            <w:vAlign w:val="bottom"/>
            <w:gridSpan w:val="2"/>
          </w:tcPr>
          <w:p>
            <w:pPr>
              <w:jc w:val="right"/>
              <w:ind w:right="4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62,400</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56,342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60,795</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(6,383)</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54,135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54,813</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860" w:space="720"/>
            <w:col w:w="2840"/>
          </w:cols>
          <w:pgMar w:left="240" w:top="226" w:right="239" w:bottom="1440" w:gutter="0" w:footer="0" w:header="0"/>
          <w:type w:val="continuous"/>
        </w:sectPr>
      </w:pPr>
    </w:p>
    <w:p>
      <w:pPr>
        <w:spacing w:after="0" w:line="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58"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or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93"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As disclosed in Note 14, on January 31, 2018, the Company entered into a Financing Agreement comprised of a $64.0 million term loan and up to a $25.0 million revolving line of credit. Shortly after entering into this Credit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amount of the Company’s derivative instruments as of March 31, 2019 was $33.0 million.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notional amount and fair value of the Company’s derivative instruments as of March 31, 2019 and December 31, 2018.</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w:t>
      </w:r>
    </w:p>
    <w:p>
      <w:pPr>
        <w:spacing w:after="0" w:line="27"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instruments under ASC 815</w:t>
      </w:r>
      <w:r>
        <w:rPr>
          <w:sz w:val="20"/>
          <w:szCs w:val="20"/>
          <w:color w:val="auto"/>
        </w:rPr>
        <w:tab/>
      </w:r>
      <w:r>
        <w:rPr>
          <w:rFonts w:ascii="Arial" w:cs="Arial" w:eastAsia="Arial" w:hAnsi="Arial"/>
          <w:sz w:val="15"/>
          <w:szCs w:val="15"/>
          <w:b w:val="1"/>
          <w:bCs w:val="1"/>
          <w:color w:val="auto"/>
        </w:rPr>
        <w:t>Balance sheet classification</w:t>
      </w:r>
    </w:p>
    <w:p>
      <w:pPr>
        <w:spacing w:after="0" w:line="9"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6"/>
          <w:szCs w:val="16"/>
          <w:color w:val="auto"/>
        </w:rPr>
        <w:t>Other assets (long 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hedging</w:t>
      </w:r>
    </w:p>
    <w:p>
      <w:pPr>
        <w:spacing w:after="0" w:line="27"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instruments under ASC 815</w:t>
      </w:r>
      <w:r>
        <w:rPr>
          <w:sz w:val="20"/>
          <w:szCs w:val="20"/>
          <w:color w:val="auto"/>
        </w:rPr>
        <w:tab/>
      </w:r>
      <w:r>
        <w:rPr>
          <w:rFonts w:ascii="Arial" w:cs="Arial" w:eastAsia="Arial" w:hAnsi="Arial"/>
          <w:sz w:val="15"/>
          <w:szCs w:val="15"/>
          <w:b w:val="1"/>
          <w:bCs w:val="1"/>
          <w:color w:val="auto"/>
        </w:rPr>
        <w:t>Balance sheet classification</w:t>
      </w:r>
    </w:p>
    <w:p>
      <w:pPr>
        <w:spacing w:after="0" w:line="9"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6"/>
          <w:szCs w:val="16"/>
          <w:color w:val="auto"/>
        </w:rPr>
        <w:t>Other assets (long 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8" w:lineRule="exact"/>
        <w:rPr>
          <w:sz w:val="20"/>
          <w:szCs w:val="20"/>
          <w:color w:val="auto"/>
        </w:rPr>
      </w:pPr>
    </w:p>
    <w:p>
      <w:pPr>
        <w:jc w:val="both"/>
        <w:ind w:left="440" w:right="240" w:hanging="202"/>
        <w:spacing w:after="0" w:line="624" w:lineRule="auto"/>
        <w:tabs>
          <w:tab w:leader="none" w:pos="4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 Note 16 for the fair value measurements related to these financial instruments. All of the Company’s derivative instruments are designated as hedging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Notional Amount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 (a)</w:t>
            </w:r>
          </w:p>
        </w:tc>
      </w:tr>
      <w:tr>
        <w:trPr>
          <w:trHeight w:val="412"/>
        </w:trPr>
        <w:tc>
          <w:tcPr>
            <w:tcW w:w="200" w:type="dxa"/>
            <w:vAlign w:val="bottom"/>
          </w:tcPr>
          <w:p>
            <w:pPr>
              <w:spacing w:after="0"/>
              <w:rPr>
                <w:sz w:val="24"/>
                <w:szCs w:val="24"/>
                <w:color w:val="auto"/>
              </w:rPr>
            </w:pPr>
          </w:p>
        </w:tc>
        <w:tc>
          <w:tcPr>
            <w:tcW w:w="378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(in thousands)</w:t>
            </w:r>
          </w:p>
        </w:tc>
      </w:tr>
      <w:tr>
        <w:trPr>
          <w:trHeight w:val="24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32,976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r>
      <w:tr>
        <w:trPr>
          <w:trHeight w:val="467"/>
        </w:trPr>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spacing w:after="0"/>
              <w:rPr>
                <w:sz w:val="24"/>
                <w:szCs w:val="24"/>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0"/>
              </w:rPr>
              <w:t>December 31, 2018</w:t>
            </w:r>
          </w:p>
        </w:tc>
      </w:tr>
      <w:tr>
        <w:trPr>
          <w:trHeight w:val="223"/>
        </w:trPr>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Notional Amount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Fair Value (a)</w:t>
            </w:r>
          </w:p>
        </w:tc>
      </w:tr>
      <w:tr>
        <w:trPr>
          <w:trHeight w:val="412"/>
        </w:trPr>
        <w:tc>
          <w:tcPr>
            <w:tcW w:w="200" w:type="dxa"/>
            <w:vAlign w:val="bottom"/>
          </w:tcPr>
          <w:p>
            <w:pPr>
              <w:spacing w:after="0"/>
              <w:rPr>
                <w:sz w:val="24"/>
                <w:szCs w:val="24"/>
                <w:color w:val="auto"/>
              </w:rPr>
            </w:pPr>
          </w:p>
        </w:tc>
        <w:tc>
          <w:tcPr>
            <w:tcW w:w="378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(in thousands)</w:t>
            </w:r>
          </w:p>
        </w:tc>
      </w:tr>
      <w:tr>
        <w:trPr>
          <w:trHeight w:val="24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34,090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275" w:lineRule="exact"/>
        <w:rPr>
          <w:sz w:val="20"/>
          <w:szCs w:val="20"/>
          <w:color w:val="auto"/>
        </w:rPr>
      </w:pPr>
    </w:p>
    <w:p>
      <w:pPr>
        <w:sectPr>
          <w:pgSz w:w="11900" w:h="16838" w:orient="portrait"/>
          <w:cols w:equalWidth="0" w:num="2">
            <w:col w:w="6720" w:space="720"/>
            <w:col w:w="398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19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three months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color w:val="auto"/>
              </w:rPr>
              <w:t>Derivatives in Hedging Relationships</w:t>
            </w:r>
          </w:p>
        </w:tc>
        <w:tc>
          <w:tcPr>
            <w:tcW w:w="5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Amount of gain (loss) recognized in OCI on derivative (effective portion)</w:t>
            </w:r>
          </w:p>
        </w:tc>
      </w:tr>
      <w:tr>
        <w:trPr>
          <w:trHeight w:val="234"/>
        </w:trPr>
        <w:tc>
          <w:tcPr>
            <w:tcW w:w="35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Three Months Ended March 31,</w:t>
            </w:r>
          </w:p>
        </w:tc>
        <w:tc>
          <w:tcPr>
            <w:tcW w:w="1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r>
      <w:tr>
        <w:trPr>
          <w:trHeight w:val="210"/>
        </w:trPr>
        <w:tc>
          <w:tcPr>
            <w:tcW w:w="3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2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reclassifications out of accumulated other comprehensive loss for the three months ended March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Amount reclassified from AOCI into</w:t>
            </w:r>
          </w:p>
        </w:tc>
        <w:tc>
          <w:tcPr>
            <w:tcW w:w="23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1100" w:type="dxa"/>
            <w:vAlign w:val="bottom"/>
          </w:tcPr>
          <w:p>
            <w:pPr>
              <w:spacing w:after="0"/>
              <w:rPr>
                <w:sz w:val="20"/>
                <w:szCs w:val="20"/>
                <w:color w:val="auto"/>
              </w:rPr>
            </w:pPr>
          </w:p>
        </w:tc>
        <w:tc>
          <w:tcPr>
            <w:tcW w:w="26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income (effective portion)</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amount</w:t>
            </w:r>
          </w:p>
        </w:tc>
      </w:tr>
      <w:tr>
        <w:trPr>
          <w:trHeight w:val="210"/>
        </w:trPr>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Three Months Ended March 31,</w:t>
            </w:r>
          </w:p>
        </w:tc>
        <w:tc>
          <w:tcPr>
            <w:tcW w:w="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reclassified from AOCI</w:t>
            </w:r>
          </w:p>
        </w:tc>
      </w:tr>
      <w:tr>
        <w:trPr>
          <w:trHeight w:val="223"/>
        </w:trPr>
        <w:tc>
          <w:tcPr>
            <w:tcW w:w="3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r>
      <w:tr>
        <w:trPr>
          <w:trHeight w:val="210"/>
        </w:trPr>
        <w:tc>
          <w:tcPr>
            <w:tcW w:w="3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2"/>
          </w:tcPr>
          <w:p>
            <w:pPr>
              <w:jc w:val="center"/>
              <w:ind w:right="450"/>
              <w:spacing w:after="0"/>
              <w:rPr>
                <w:sz w:val="20"/>
                <w:szCs w:val="20"/>
                <w:color w:val="auto"/>
              </w:rPr>
            </w:pPr>
            <w:r>
              <w:rPr>
                <w:rFonts w:ascii="Arial" w:cs="Arial" w:eastAsia="Arial" w:hAnsi="Arial"/>
                <w:sz w:val="18"/>
                <w:szCs w:val="18"/>
                <w:color w:val="auto"/>
                <w:w w:val="91"/>
              </w:rPr>
              <w:t>(in thousands)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1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r>
    </w:tbl>
    <w:p>
      <w:pPr>
        <w:spacing w:after="0" w:line="200" w:lineRule="exact"/>
        <w:rPr>
          <w:sz w:val="20"/>
          <w:szCs w:val="20"/>
          <w:color w:val="auto"/>
        </w:rPr>
      </w:pPr>
    </w:p>
    <w:p>
      <w:pPr>
        <w:spacing w:after="0" w:line="21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As of March 31, 2019, $93 thousand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177" w:lineRule="exact"/>
        <w:rPr>
          <w:sz w:val="20"/>
          <w:szCs w:val="20"/>
          <w:color w:val="auto"/>
        </w:rPr>
      </w:pPr>
    </w:p>
    <w:p>
      <w:pPr>
        <w:ind w:left="1100" w:hanging="1092"/>
        <w:spacing w:after="0"/>
        <w:tabs>
          <w:tab w:leader="none" w:pos="11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7"/>
          </w:tcPr>
          <w:p>
            <w:pPr>
              <w:ind w:left="440"/>
              <w:spacing w:after="0"/>
              <w:rPr>
                <w:sz w:val="20"/>
                <w:szCs w:val="20"/>
                <w:color w:val="auto"/>
              </w:rPr>
            </w:pPr>
            <w:r>
              <w:rPr>
                <w:rFonts w:ascii="Arial" w:cs="Arial" w:eastAsia="Arial" w:hAnsi="Arial"/>
                <w:sz w:val="18"/>
                <w:szCs w:val="18"/>
                <w:color w:val="auto"/>
                <w:w w:val="96"/>
              </w:rPr>
              <w:t>The following tables present the fair value hierarchy for those assets or liabilities measured at fair value on a recurring basis: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w w:val="95"/>
              </w:rPr>
              <w:t>Fair Value as of March 31, 2019</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458"/>
        </w:trPr>
        <w:tc>
          <w:tcPr>
            <w:tcW w:w="5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Fair Value as of December 31, 2018</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Level 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Pr>
          <w:p>
            <w:pPr>
              <w:jc w:val="right"/>
              <w:ind w:right="91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18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177" w:lineRule="exact"/>
        <w:rPr>
          <w:sz w:val="20"/>
          <w:szCs w:val="20"/>
          <w:color w:val="auto"/>
        </w:rPr>
      </w:pPr>
    </w:p>
    <w:p>
      <w:pPr>
        <w:ind w:left="1100" w:hanging="1092"/>
        <w:spacing w:after="0"/>
        <w:tabs>
          <w:tab w:leader="none" w:pos="11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from continuing operations originating from the following geographic areas for the three months ended March 31, 2019 and 2018 consist of:</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Instruments, equipment, software and accessories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Service, maintenance and warranty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Instruments, equipment, software and accessories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Service, maintenance and warranty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46310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3"/>
              </w:rPr>
              <w:t>Rest of the world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18,671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2,913</w:t>
            </w:r>
          </w:p>
        </w:tc>
        <w:tc>
          <w:tcPr>
            <w:tcW w:w="820" w:type="dxa"/>
            <w:vAlign w:val="bottom"/>
            <w:gridSpan w:val="2"/>
          </w:tcPr>
          <w:p>
            <w:pPr>
              <w:jc w:val="right"/>
              <w:ind w:right="53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2,044</w:t>
            </w:r>
          </w:p>
        </w:tc>
        <w:tc>
          <w:tcPr>
            <w:tcW w:w="4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26,757</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19,814</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7"/>
        </w:trPr>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8"/>
                <w:szCs w:val="18"/>
                <w:b w:val="1"/>
                <w:bCs w:val="1"/>
                <w:color w:val="auto"/>
              </w:rPr>
              <w:t>Three Months Ended March 31, 2018</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7"/>
              </w:rPr>
              <w:t>(in thousands)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United States</w:t>
            </w: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w w:val="93"/>
              </w:rPr>
              <w:t>Rest of the world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16,147</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820" w:type="dxa"/>
            <w:vAlign w:val="bottom"/>
            <w:gridSpan w:val="2"/>
          </w:tcPr>
          <w:p>
            <w:pPr>
              <w:jc w:val="right"/>
              <w:ind w:right="53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40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25,604</w:t>
            </w:r>
          </w:p>
        </w:tc>
      </w:tr>
      <w:tr>
        <w:trPr>
          <w:trHeight w:val="230"/>
        </w:trPr>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1,155</w:t>
            </w: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19"/>
                <w:szCs w:val="19"/>
                <w:color w:val="auto"/>
              </w:rPr>
            </w:pPr>
          </w:p>
        </w:tc>
        <w:tc>
          <w:tcPr>
            <w:tcW w:w="700" w:type="dxa"/>
            <w:vAlign w:val="bottom"/>
          </w:tcPr>
          <w:p>
            <w:pPr>
              <w:jc w:val="right"/>
              <w:ind w:right="53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2,261</w:t>
            </w:r>
          </w:p>
        </w:tc>
        <w:tc>
          <w:tcPr>
            <w:tcW w:w="120" w:type="dxa"/>
            <w:vAlign w:val="bottom"/>
            <w:gridSpan w:val="2"/>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26,759</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-1663065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-1379855</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3580" w:space="540"/>
            <w:col w:w="7300"/>
          </w:cols>
          <w:pgMar w:left="240" w:top="226" w:right="239" w:bottom="1440" w:gutter="0" w:footer="0" w:header="0"/>
          <w:type w:val="continuous"/>
        </w:sectPr>
      </w:pPr>
    </w:p>
    <w:p>
      <w:pPr>
        <w:spacing w:after="0" w:line="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March 31, 2019 and December 31, 2018, the Company had approximately $3.7 million and $3.8 million, respectively, in deferred revenue comprised of revenue deferred from service contracts and revenue deferred from advance payments.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Changes in deferred revenue from service contracts and advance payments from customers during the three months ended March 31, 2019 and 2018 were as follows: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2018</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Recognition of deferred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foreign currency translation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2019</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Three Months Ended March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(in thousands)</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Customer</w:t>
            </w: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Service Contracts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Advances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1,659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-736600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-462280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-179705</wp:posOffset>
            </wp:positionV>
            <wp:extent cx="72466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226" w:right="2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 2018</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Customer</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Service Contracts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Advances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Recognition of deferred revenue</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ectPr>
          <w:pgSz w:w="11900" w:h="16838" w:orient="portrait"/>
          <w:cols w:equalWidth="0" w:num="1">
            <w:col w:w="11420"/>
          </w:cols>
          <w:pgMar w:left="240" w:top="22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right="1340" w:hanging="179"/>
        <w:spacing w:after="0" w:line="254" w:lineRule="auto"/>
        <w:rPr>
          <w:sz w:val="20"/>
          <w:szCs w:val="20"/>
          <w:color w:val="auto"/>
        </w:rPr>
      </w:pPr>
      <w:r>
        <w:rPr>
          <w:rFonts w:ascii="Arial" w:cs="Arial" w:eastAsia="Arial" w:hAnsi="Arial"/>
          <w:sz w:val="18"/>
          <w:szCs w:val="18"/>
          <w:color w:val="auto"/>
        </w:rPr>
        <w:t>Balance, beginning of period Bad debt expense (recoveries) Charged to allowance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434784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434784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right="840" w:firstLine="180"/>
        <w:spacing w:after="0" w:line="276" w:lineRule="auto"/>
        <w:rPr>
          <w:sz w:val="20"/>
          <w:szCs w:val="20"/>
          <w:color w:val="auto"/>
        </w:rPr>
      </w:pPr>
      <w:r>
        <w:rPr>
          <w:rFonts w:ascii="Arial" w:cs="Arial" w:eastAsia="Arial" w:hAnsi="Arial"/>
          <w:sz w:val="18"/>
          <w:szCs w:val="18"/>
          <w:color w:val="auto"/>
        </w:rPr>
        <w:t>Effect of foreign currency translation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434784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5" w:lineRule="exact"/>
        <w:rPr>
          <w:sz w:val="20"/>
          <w:szCs w:val="20"/>
          <w:color w:val="auto"/>
        </w:rPr>
      </w:pPr>
    </w:p>
    <w:p>
      <w:pPr>
        <w:ind w:left="1100" w:hanging="1092"/>
        <w:spacing w:after="0"/>
        <w:tabs>
          <w:tab w:leader="none" w:pos="11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580"/>
        <w:spacing w:after="0"/>
        <w:rPr>
          <w:sz w:val="20"/>
          <w:szCs w:val="20"/>
          <w:color w:val="auto"/>
        </w:rPr>
      </w:pPr>
      <w:r>
        <w:rPr>
          <w:rFonts w:ascii="Arial" w:cs="Arial" w:eastAsia="Arial" w:hAnsi="Arial"/>
          <w:sz w:val="18"/>
          <w:szCs w:val="18"/>
          <w:b w:val="1"/>
          <w:bCs w:val="1"/>
          <w:color w:val="auto"/>
        </w:rPr>
        <w:t>Three Months Ended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519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7" w:lineRule="exact"/>
        <w:rPr>
          <w:sz w:val="20"/>
          <w:szCs w:val="20"/>
          <w:color w:val="auto"/>
        </w:rPr>
      </w:pPr>
    </w:p>
    <w:p>
      <w:pPr>
        <w:jc w:val="center"/>
        <w:ind w:right="458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24"/>
        </w:trPr>
        <w:tc>
          <w:tcPr>
            <w:tcW w:w="240" w:type="dxa"/>
            <w:vAlign w:val="bottom"/>
          </w:tcPr>
          <w:p>
            <w:pPr>
              <w:spacing w:after="0"/>
              <w:rPr>
                <w:sz w:val="19"/>
                <w:szCs w:val="19"/>
                <w:color w:val="auto"/>
              </w:rPr>
            </w:pPr>
          </w:p>
        </w:tc>
        <w:tc>
          <w:tcPr>
            <w:tcW w:w="2200" w:type="dxa"/>
            <w:vAlign w:val="bottom"/>
            <w:gridSpan w:val="4"/>
          </w:tcPr>
          <w:p>
            <w:pPr>
              <w:jc w:val="right"/>
              <w:ind w:right="630"/>
              <w:spacing w:after="0"/>
              <w:rPr>
                <w:sz w:val="20"/>
                <w:szCs w:val="20"/>
                <w:color w:val="auto"/>
              </w:rPr>
            </w:pPr>
            <w:r>
              <w:rPr>
                <w:rFonts w:ascii="Arial" w:cs="Arial" w:eastAsia="Arial" w:hAnsi="Arial"/>
                <w:sz w:val="18"/>
                <w:szCs w:val="18"/>
                <w:color w:val="auto"/>
              </w:rPr>
              <w:t>(in thousands)</w:t>
            </w:r>
          </w:p>
        </w:tc>
      </w:tr>
      <w:tr>
        <w:trPr>
          <w:trHeight w:val="404"/>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3700" w:space="720"/>
            <w:col w:w="7000"/>
          </w:cols>
          <w:pgMar w:left="240" w:top="226" w:right="239" w:bottom="1440" w:gutter="0" w:footer="0" w:header="0"/>
          <w:type w:val="continuous"/>
        </w:sectPr>
      </w:pPr>
    </w:p>
    <w:p>
      <w:pPr>
        <w:spacing w:after="0" w:line="29"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Income tax expense from continuing operations was approximately $0.6 million for both the three months ended March 31, 2019 and 2018, respectively. The effective tax rate on continuing operations was (32.1)% for the three months ended March 31, 2019 compared with (11.5)% for the same period in 2018.</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difference between the Company’s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and, in 2018, certain non-deductible acquisition costs.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For the three months ended March 31, 2019, no income tax expense or benefit was recorded for discontinued operations. In the same period in 2018, income tax benefit for discontinued operations was $0.8 million.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Exchange Act). The forward-looking statements are principally, but not exclusively, contained in “Item 2: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and our plans, objectives, expectations and intentions that are not historical facts. In some cases, you can identify forward-looking statements by terms such as “may,” “will,” “should,” “could,” “would,” “seek,” “expects,” “plans,” “aim,” “anticipates,” “believes,” “estimates,” “projects,” “predicts,” “intends,” “think,” “potential,” “objectives,” “optimistic,” “strategy,” “goals,” “sees,” “new,” “guidance,” “future,” “continue,” “drive,” “growth,” “long-term,” “projects,” “develop,” “possible,” “emerging,” “opportunity,” “pursue”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Factors that may cause our actual results to differ materially from those in the forward-looking statements include reductions in customers’ research budgets or government funding; domestic and global economic conditions; economic, political and other risks associated with international revenues and operations; newly enacted U.S. government tax reform; currency exchange rate fluctuations; economic and political conditions generally and those affecting pharmaceutical and biotechnology industries; the seasonal nature of purchasing in Europe; our failure to expand into foreign countries and international markets; our inability to manage our growth; competition from our competitors; failure or inadequacy of the our information technology structure; impact of difficulties implementing our enterprise resource planning systems; information security incidents or cybersecurity breaches; our failure to identify potential acquisition candidates and successfully close such acquisitions with favorable pricing or integrate acquired businesses or technologies; unanticipated costs relating to acquisitions and known and unknown costs arising in connection with our consolidation of business functions and any restructuring initiatives; </w:t>
      </w:r>
      <w:r>
        <w:rPr>
          <w:rFonts w:ascii="Arial" w:cs="Arial" w:eastAsia="Arial" w:hAnsi="Arial"/>
          <w:sz w:val="16"/>
          <w:szCs w:val="16"/>
          <w:color w:val="auto"/>
        </w:rPr>
        <w:t>f</w:t>
      </w:r>
      <w:r>
        <w:rPr>
          <w:rFonts w:ascii="Arial" w:cs="Arial" w:eastAsia="Arial" w:hAnsi="Arial"/>
          <w:sz w:val="16"/>
          <w:szCs w:val="16"/>
          <w:i w:val="1"/>
          <w:iCs w:val="1"/>
          <w:color w:val="auto"/>
        </w:rPr>
        <w:t>ailure of any banking institution in which we deposit our funds or its failure to provide services; our substantial debt and our ability to meet the financial covenants contained in our credit facility; our failure to raise or generate capital necessary to implement our acquisition and expansion strategy; the failure of Biostage to indemnify us for any liabilities associated with Biostage’s business; impact of any impairment of our goodwill or intangible assets; our ability to retain key personnel; failure or inadequacy or our information technology structure; rising commodity and precious metals costs; our ability to protect our intellectual property and operate without infringing on others’ intellectual property; exposure to product and other liability claims; global stock market volatility, currency exchange rate fluctuations and regulatory changes caused by the United Kingdom’s likely exit from the European Union; plus other factors described under the heading “Item 1A. Risk Factors” in our Annual Report on Form 10-K for the year ended December 31, 2018, or described in our other public filings. Our results may also be affected by factors of which we are not currently aware. We may not update these forward-looking statements, even though our situation may change in the future, unless we have obligations under the federal securities laws to update and disclose material developments related to previously disclosed information.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Harvard Bioscience, Inc., a Delaware corporation, is a global developer, manufacturer, marketer and provider of a broad range of scientific instruments, systems, software and services used to advance life science for basic research, drug discovery, physiologic monitoring, clinical and environmental testing. Our products and services are sold to thousands of researchers in over 100 countries through our global sales organization, websites, catalogs, and through distributors including Thermo Fisher Scientific Inc., VWR and other specialized distributors. We have sales and manufacturing operations in the United States, the United Kingdom, Germany, Sweden, Spain, France, Canada, Italy and China.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We are pursuing a strategy to grow the business organically as well as through strategic, accretive acquisitions, including five acquisitions since the fourth quarter of 2014. 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profit margins.</w:t>
      </w:r>
    </w:p>
    <w:p>
      <w:pPr>
        <w:spacing w:after="0" w:line="178"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We have also conducted a multi-year restructuring program to reduce costs, align global functions and consolidate facilities to optimize our global footprint, divest non-core businesses and to reinvest in key areas such as sales and marketing and new product development through R&amp;D. As part of these efforts, during the first quarter of 2018, we sold substantially all the assets of our wholly-owned subsidiary, Denville Scientific, Inc. (Denville) for approximately $20.0 million, which included a $3.0 million earn-out provision. Denville was a laboratory products supplier that was no longer core to our vision.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Our vision is to be a world leading life science company that excels in meeting the needs of our customers by providing a wide breadth of innovative products and solutions, while providing exemplary customer service. Our business strategy is to grow our top-line and bottom-line, and build shareholder value through a commitment to:</w:t>
      </w:r>
    </w:p>
    <w:p>
      <w:pPr>
        <w:spacing w:after="0" w:line="181" w:lineRule="exact"/>
        <w:rPr>
          <w:sz w:val="20"/>
          <w:szCs w:val="20"/>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excellence;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organic growth;</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operational efficiencies;</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product development; and</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previously described above, on January 22, 2018, we sold substantially all the assets of our operating subsidiary, Denville. The sale of Denville represented a strategic shift that had a major effect on our operations and financial results. As such and pursuant to the accounting standards, the operating results of Denville for the three months ended March 31, 2018 have been presented in discontinued operations in the consolidated statements of operations. Therefore the amounts and percentages discussed below exclude the revenues and expenses of Denville unless otherwise described.</w:t>
      </w:r>
    </w:p>
    <w:p>
      <w:pPr>
        <w:spacing w:after="0" w:line="15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generate revenues by selling apparatus, instruments, devices, systems, software, services, and consumables through our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sales force, websites and catalogs. Our websites and catalogs serve as the primary sales tools for our various product lines.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68% and 53% of our revenues for the three months ended March 31, 2019 and 2018, respectively.</w:t>
      </w:r>
    </w:p>
    <w:p>
      <w:pPr>
        <w:spacing w:after="0" w:line="189"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Our products and services also include wireless monitors, data acquisition and analysis products and software, and ancillary services including post-contract customer support, training and installation.</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use distributors for both our catalog products and our higher priced products, as well as for sales in locations where we do not have subsidiaries or where we have existing distributors in place from acquired businesses. For the three months ended March 31, 2019 and 2018, approximately 32% and 47% of our total revenues from continuing operations, respectively, were derived from sales to distributors.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For the three months ended March 31, 2019 and 2018, approximately 84% and 86% of our revenues from continuing operations, respectively, were derived from products we manufacture and approximately 16% and 14%, respectively, were derived from complementary products we distribute in order to provide the researcher with a single source for all equipment needed to conduct a particular experiment.</w:t>
      </w:r>
    </w:p>
    <w:p>
      <w:pPr>
        <w:spacing w:after="0" w:line="181"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For the three months ended March 31, 2019 and 2018, approximately 30% and 36% of our revenues from continuing operations, respectively, were derived from sales made by our non-United States operations.</w:t>
      </w:r>
    </w:p>
    <w:p>
      <w:pPr>
        <w:spacing w:after="0" w:line="170"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165"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functions. We also incur costs for travel, trade shows, demonstration equipment, public relations and marketing materials, consisting primarily of the printing and distribution of our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5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consists primarily of salaries and other related costs for personnel 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66"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 includes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9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i w:val="1"/>
          <w:iCs w:val="1"/>
          <w:color w:val="auto"/>
        </w:rPr>
        <w:t xml:space="preserve">Stock-based compensation expenses. </w:t>
      </w:r>
      <w:r>
        <w:rPr>
          <w:rFonts w:ascii="Arial" w:cs="Arial" w:eastAsia="Arial" w:hAnsi="Arial"/>
          <w:sz w:val="18"/>
          <w:szCs w:val="18"/>
          <w:color w:val="auto"/>
        </w:rPr>
        <w:t>Stock-based compensation expense for the three months ended March 31, 2019 and 2018 was $0.6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 respectively. These amounts include stock-based compensation related to discontinued operations of $0 and $0.2 million, respectively. The stock-based compensation expense related to stock options, restricted stock units, restricted stock units with a market condition and the employee stock purchase plan and was recorded as a component of cost of revenues, sales and marketing expenses, general and administrative expenses, research and development expenses, and income (loss) from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2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Dollar</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4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Change</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gridSpan w:val="3"/>
          </w:tcPr>
          <w:p>
            <w:pPr>
              <w:jc w:val="right"/>
              <w:ind w:right="770"/>
              <w:spacing w:after="0"/>
              <w:rPr>
                <w:sz w:val="20"/>
                <w:szCs w:val="20"/>
                <w:color w:val="auto"/>
              </w:rPr>
            </w:pPr>
            <w:r>
              <w:rPr>
                <w:rFonts w:ascii="Arial" w:cs="Arial" w:eastAsia="Arial" w:hAnsi="Arial"/>
                <w:sz w:val="18"/>
                <w:szCs w:val="18"/>
                <w:color w:val="auto"/>
              </w:rPr>
              <w:t>(dollars in thousands)</w:t>
            </w:r>
          </w:p>
        </w:tc>
        <w:tc>
          <w:tcPr>
            <w:tcW w:w="13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28,202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26,759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1,443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Cost of revenues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12,048</w:t>
            </w:r>
          </w:p>
        </w:tc>
        <w:tc>
          <w:tcPr>
            <w:tcW w:w="4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13,490</w:t>
            </w:r>
          </w:p>
        </w:tc>
        <w:tc>
          <w:tcPr>
            <w:tcW w:w="3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(1,442)</w:t>
            </w: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6,306</w:t>
            </w:r>
          </w:p>
        </w:tc>
        <w:tc>
          <w:tcPr>
            <w:tcW w:w="4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5,646</w:t>
            </w:r>
          </w:p>
        </w:tc>
        <w:tc>
          <w:tcPr>
            <w:tcW w:w="36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660</w:t>
            </w: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5,649</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5,384</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2,735</w:t>
            </w:r>
          </w:p>
        </w:tc>
        <w:tc>
          <w:tcPr>
            <w:tcW w:w="4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2,402</w:t>
            </w:r>
          </w:p>
        </w:tc>
        <w:tc>
          <w:tcPr>
            <w:tcW w:w="36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333</w:t>
            </w: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1,430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1,103</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expense, net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1,828</w:t>
            </w:r>
          </w:p>
        </w:tc>
        <w:tc>
          <w:tcPr>
            <w:tcW w:w="48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3,979</w:t>
            </w:r>
          </w:p>
        </w:tc>
        <w:tc>
          <w:tcPr>
            <w:tcW w:w="3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(2,151)</w:t>
            </w:r>
          </w:p>
        </w:tc>
        <w:tc>
          <w:tcPr>
            <w:tcW w:w="13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1,786</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(1,786)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Unless otherwise described, the amounts and percentages in the table above and those amounts and percentages discussed below exclude the revenues and expenses of Denville.</w:t>
      </w:r>
    </w:p>
    <w:p>
      <w:pPr>
        <w:sectPr>
          <w:pgSz w:w="11900" w:h="16838" w:orient="portrait"/>
          <w:cols w:equalWidth="0" w:num="1">
            <w:col w:w="11420"/>
          </w:cols>
          <w:pgMar w:left="240" w:top="226" w:right="2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Revenues for the three months ended March 31, 2019 were $28.2 million, an increase of approximately 5.4%, or $1.4 million, compared to revenues of $26.8 million for the three months ended March 31, 2018.</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increase in revenues reflects three months of revenues from DSI in the quarter, whereas the prior comparable period had two months of DSI revenues.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Reconciliation of Changes In Revenues Compared to the Same Period of the Prior Year</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w w:val="92"/>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Organic and DSI change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change</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United States dollar at exchange rates that fluctuate from the beginning of such period. We evaluate our results of operations on both a reported and a foreign currency-neutral basis, which excludes the impact of fluctuations in foreign currency exchange rates. We believe that disclosing this non-GAAP financial information provides investors with an enhanced understanding of the underlying operations of the business. This non-GAAP financial information is used by our management to internally evaluate our operating results. The non-GAAP financial information provided in the table above should be considered in addition to, not as a substitute for, the financial information provided and presented in accordance with accounting principles generally accepted in the United States, or GAAP and may be different than other companies’ non-GAAP financial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Cost of revenues were $12.0 million for the three months ended March 31, 2019, a decrease of $1.5 million, or 10.7%, compared with $13.5 million for the three months ended March 31, 2018. The decrease in cost of revenues was primarily due to a $1.5 million charge recognized in cost of revenues related to a purchase accounting inventory fair value step up due to the DSI acquisition for the three months ended March 31, 2018. Gross profit margin as a percentage of revenues increased to 57.3% for the three months ended March 31, 2019 compared with 49.6% for 2018. The increase in gross profit margin is primarily attributable to the effect of three months of higher margin products following the acquisition of DSI, as compared to two months in the prior year, as well as the effect of the aforementioned $1.5 million charge in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Sales and marketing expenses increased $0.7 million or 11.7% to $6.3 million for the three months ended March 31, 2019 compared to $5.6 million during the same period in 2018. The increase in sales and marketing expenses was primarily due to the impact of three months of DSI expenses compared to two months in the prior year.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General and administrative expenses were $5.6 million for the three months ended March 31, 2019, an increase of $0.2 million, or 4.9%, compared with $5.4 million for the three months ended March 31, 2018. The increase in these expenses was primarily attributable to the impact of three months of expenses for DSI compared to two months in the prior year, as well as an approximately $0.4 million long term receivable write-off during the three months ended March 31, 2019. These increases were partially offset by a decrease in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Research and development expenses were $2.7 million for the three months ended March 31, 2019, an increase of $0.3 million, or 13.9%, compared with $2.4 million for the three months ended March 31, 2018. The increase in these expenses was primarily attributable to the impact of three months of expenses for DSI compared to two months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Amortization of intangible asset expenses was $1.4 million and $1.1 million for the three months ended March 31, 2019 and 2018, respectively. The increase in amortization expense was primarily due to the impact of three months of amortization expenses for DSI compared to two months in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Other expense, net, from continuing operations was $1.8 million and $4.0 million for the three months ended March 31, 2019 and 2018, respectively. The decrease in other expense, net was primarily due to a decrease in transaction costs offset by an increase in interest expense, and changes in currency fluctuation gains or losses. The three months ended March 31, 2018 included approximately $2.8 million in transaction costs that were incurred in connection with the DSI acquisition and the Denville disposition. Included in other expense, net for three months ended March 31, 2019 and 2018 was interest expense of $1.4 million and $0.9 million, respectively. The increase in interest expense was primarily due three months of interest on a higher debt balance during the first quarter of 2019 as compared to two months of interest on the higher debt balance in the same period in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Income tax expense from continuing operations was approximately $0.6 million for both the three months ended March 31, 2019 and 2018, respectively.</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difference between our effective tax rates in 2019 and 2018 compared to the U.S. statutory tax rate of 21% is primarily due to the mix of year-to-date and forecasted income or losses in the U.S. and foreign tax jurisdictions, the impact of different tax rates in certain foreign jurisdictions, the impact of the inclusion of foreign income in U.S. taxable income under the GILTI (Global Intangible Low-Taxed Income) tax rules, limitations on interest expense deductions and, in 2018, certain non-deductible acquisition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25"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Discontinued operations resulted in income of $0 for the three months ended March 31, 2019 and $1.8 million for the same period in the prior year. On January 22, 2018, we sold substantially all the assets of Denville, for approximately $20.0 million, which includes a $3.0 million earn-out provision (the Denville Transaction). The results of Denville were presented in discontinued operations for the three months ended March 31,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bank borrowings, and the issuance of common stock. Our liquidity requirements arise primarily from investing activities, including funding of acquisitions, and other capital expenditures.</w:t>
      </w:r>
    </w:p>
    <w:p>
      <w:pPr>
        <w:spacing w:after="0" w:line="147"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On January 22, 2018, we sold the operations of Denville, and received approximately $15.7 million, net of cash on hand. Simultaneously, we retired the existing debt balances of approximately $11.9 million. On January 31, 2018, we entered into a financing agreement, which comprised of a $64.0 million term loan and up to a $25.0 million line of credit. Finally, on January 31, 2018, we acquired DSI for approximately $67.4 million, net of cash acquired.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As of March 31, 2019, we held cash and cash equivalents from continuing operations of $5.0 million, compared with $8.2 million at December 31, 2018. As of March 31, 2019 and December 31, 2018, we had $56.3 million and $60.8 million of borrowings outstanding under our credit facility, net of deferred financing costs, respectively. Total debt, net of cash and cash equivalents was $51.3 million at March 31, 2019, compared to $52.6 million at December 31, 2018. In addition, we had an underfunded United Kingdom pension liability of approximately $0.9 million at March 31, 2019 and December 31, 2018, respectively.</w:t>
      </w:r>
    </w:p>
    <w:p>
      <w:pPr>
        <w:spacing w:after="0" w:line="188"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As of March 31, 2019 and December 31, 2018, cash and cash equivalents held by our foreign subsidiaries was $2.6 million and $3.2 million, respectively. During 2017, we changed our indefinite reinvestment assertion to provide that all foreign cash balances above the level required for local operating expenses would be repatriated to the U.S. in tax years after 2017. We maintain this modified assertion at March 31, 2019.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foreign subsidiaries would be immaterial in both 2019 and 2018.</w:t>
      </w:r>
    </w:p>
    <w:p>
      <w:pPr>
        <w:spacing w:after="0" w:line="174"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color w:val="auto"/>
        </w:rPr>
        <w:t>Condensed Cash Flow Statements</w:t>
      </w:r>
    </w:p>
    <w:p>
      <w:pPr>
        <w:spacing w:after="0" w:line="27" w:lineRule="exact"/>
        <w:rPr>
          <w:sz w:val="20"/>
          <w:szCs w:val="20"/>
          <w:color w:val="auto"/>
        </w:rPr>
      </w:pPr>
    </w:p>
    <w:p>
      <w:pPr>
        <w:jc w:val="center"/>
        <w:ind w:right="22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(2,370)</w:t>
            </w:r>
          </w:p>
        </w:tc>
        <w:tc>
          <w:tcPr>
            <w:tcW w:w="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adjustments to operating cash flows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Changes in assets and liabilities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net of cash sold</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investing activities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(Repayments of)/proceeds from issuance of debt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(3,143)</w:t>
            </w:r>
          </w:p>
        </w:tc>
        <w:tc>
          <w:tcPr>
            <w:tcW w:w="80" w:type="dxa"/>
            <w:vAlign w:val="bottom"/>
          </w:tcPr>
          <w:p>
            <w:pPr>
              <w:spacing w:after="0"/>
              <w:rPr>
                <w:sz w:val="21"/>
                <w:szCs w:val="21"/>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Our operating activities provided cash of $2.0 million and $0.4 million for the three months ended March 31, 2019 and 2018, respectively. The increase in net cash flow from operations was primarily due to the decrease in net loss.</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Our investing activities used cash of $0.2 million and $52.2 million for the three months ended March 31, 2019 and 2018, respectively. Investing activities during the three months ended March 31, 2019 primarily consisted of cash used for purchases of property, plant and equipment. Investing activities during the three months ended March 31, 2018 primarily consisted of $67.4 million paid for the acquisition of DSI and $15.7 million received from the disposition of Denville. We spent $0.1 million and $0.5 million on capital expenditures during the three months ended March 31, 2019 and 2018,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Our financing activities have historically consisted of borrowings and repayments under our revolving credit facility and term loans, payments of debt issuance costs and the issuance of common stock. During the three months ended March 31, 2019, financing activities used cash of $5.0 million, compared with $51.2 million of cash provided by financing activities for the three months ended March 31, 2018. During the three months ended March 31, 2019, we repaid $4.6 million of debt, including approximately $4.0 million in an excess cash flow payment, and ended the quarter with $56.3 million of borrowings, net of deferred financing costs of $1.5 million. During the three months ended March 31, 2018 we borrowed $67.0 million, repaid $14.0 million of debt and ended the quarter with $63.0 million of borrowings, net of deferred financing costs of $1.9 million. Net cash paid for tax withholdings from the issuance from common stock, related to the vesting of restricted stock units was $0.4 million for the three months ended March 31, 2019. Net cash proceeds from the issuance of common stock for the three months ended March 31, 2018 was $0.2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January 22, 2018, in connection with the closing of the sale of Denville, we terminated the Third Amended and Restated Credit Agreement (the Credit Agreement), dated as of May 1, 2017, among us, Brown Brothers Harriman &amp; Co. and each of the other lenders party thereto, and Bank of America, as administrative agent. All outstanding amounts under the agreement were repaid in full using a portion of the proceeds of the Denville sale. At the time of repayment, there was approximately $11.9 million of borrowings outstanding.</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January 31, 2018, we entered into a financing agreement by and among us and certain of our subsidiaries, as borrowers (collectively, the Borrower), certain of our subsidiaries thereto, as guarantors, various lenders from time to time party thereto (the Lenders), and Cerberus Business Finance, LLC, as collateral agent and administrative agent for the Lenders (the Financing Agreement). On August 16, 2018, we and Cerberus Business Finance, LLC entered into a First Amendment to the Financing Agreement, which such amendment modified certain provisions relating to the borrowing base and reporting, among other things.</w:t>
      </w:r>
    </w:p>
    <w:p>
      <w:pPr>
        <w:spacing w:after="0" w:line="18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Financing Agreement provides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have a maturity of five years. At the closing date of the Financing Agreement, we had approximately $14.5 million of available borrowing capacity under the revolving line of credit.</w:t>
      </w:r>
    </w:p>
    <w:p>
      <w:pPr>
        <w:spacing w:after="0" w:line="17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delivery of our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our “excess cash flow” prepayment obligations on a dollar-for-dollar basis for such fiscal year.</w:t>
      </w:r>
    </w:p>
    <w:p>
      <w:pPr>
        <w:spacing w:after="0" w:line="19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our and certain of our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18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LIBOR rate plus 6.25%. The loans are also subject to a 1.25% interest rate floor for LIBOR loans and a 4.25% interest rate floor for base rate loans.</w:t>
      </w:r>
    </w:p>
    <w:p>
      <w:pPr>
        <w:spacing w:after="0" w:line="181"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The Financing Agreement contains customary representations and warranties and affirmative covenants applicable to us and our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modifications of organizational documents, material contracts, affiliated practice agreements and certain debt agreements. The Financing Agreement also contains customary events of default.</w:t>
      </w:r>
    </w:p>
    <w:p>
      <w:pPr>
        <w:spacing w:after="0" w:line="173"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As of March 31, 2019 and December 31, 2018, we had borrowings net of debt issuance costs of $56.3 million and $60.8 million respectively, outstanding. The carrying value of the debt approximates fair value because the interest rate under the obligation approximates market rates of interest available to us for similar instruments. As of March 31, 2019, we were in compliance with all financial covenants contained in the Financing Agreement, were subject to covenant and working capital borrowing restrictions and had available borrowing capacity under our Financing Agreement of $14.5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the weighted effective interest rate, net of the impact of our interest rate swap, on our Term Loan was 8.87%.</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that involves risks and uncertainties, and actual results could vary as a result of a number of factors. Based on our current operations and current operating plans, we expect that our available cash, cash generated from current operations and debt capacity will be sufficient to finance current operations and capital expenditures for the next 12 months and beyond. We may however need to incur additional debt or raise equity capital for our business. Additional capital raising activities will dilute the ownership interests of existing stockholders to the extent we raise capital by issuing equity securities and we cannot guarantee that we will be successful in raising additional capital on favorable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The critical accounting policies underlying the accompanying unaudited consolidated financial statements are those set forth in Part II, Item 7 included in our Annual Report on Form 10-K for the fiscal year ended December 31, 2018, which was filed with the SEC on March 18,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24" w:lineRule="exact"/>
        <w:rPr>
          <w:sz w:val="20"/>
          <w:szCs w:val="20"/>
          <w:color w:val="auto"/>
        </w:rPr>
      </w:pPr>
    </w:p>
    <w:p>
      <w:pPr>
        <w:ind w:right="620" w:firstLine="486"/>
        <w:spacing w:after="0" w:line="264" w:lineRule="auto"/>
        <w:rPr>
          <w:sz w:val="20"/>
          <w:szCs w:val="20"/>
          <w:color w:val="auto"/>
        </w:rPr>
      </w:pPr>
      <w:r>
        <w:rPr>
          <w:rFonts w:ascii="Arial" w:cs="Arial" w:eastAsia="Arial" w:hAnsi="Arial"/>
          <w:sz w:val="18"/>
          <w:szCs w:val="18"/>
          <w:color w:val="auto"/>
        </w:rPr>
        <w:t>During the three months ended March 31, 2019, changes in foreign currency exchange rates resulted in an unfavorable translation effect on our consolidated revenues and on our consolidated net loss. Changes in foreign currency exchange rates resulted in an unfavorable effect on revenues of approximately $0.8 million and a favorable effect on expenses of approximately $0.6 million.</w:t>
      </w:r>
    </w:p>
    <w:p>
      <w:pPr>
        <w:spacing w:after="0" w:line="18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gain associated with the translation of foreign equity into U.S. dollars included as a component of comprehensive gain (loss) during the three months ended March 31, 2019, was approximately $4.0 thousand, compared to a gain of $1.5 million for the three months ended March 31, 2018.</w:t>
      </w:r>
    </w:p>
    <w:p>
      <w:pPr>
        <w:spacing w:after="0" w:line="124"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In addition, currency exchange rate fluctuations included as a component of net loss resulted in approximately $0.2 million and $0.3 million in currency losses during the three months ended March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amends the impairment model by requiring entities to use a forward-looking approach based on expected losses rather than incurred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In November 2018, the FASB issued ASU No. 2018-19, Codification Improvements to Topic 326, Financial Instruments—Credit Losses, which provided additional implementation guidance on the previously issued ASU. We have not yet completed its assessment of the impact of the new standard on our consolidated financial statements. Currently, we believe that the most notable impact of this ASU will relate to its processes around the assessment of the adequacy of our allowance for doubtful accounts on trade accounts receivable and the recognition of credit losses.</w:t>
      </w:r>
    </w:p>
    <w:p>
      <w:pPr>
        <w:spacing w:after="0" w:line="17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Disclosure Framework—Changes to the Disclosure Requirements for Defined Benefit Plans</w:t>
      </w:r>
      <w:r>
        <w:rPr>
          <w:rFonts w:ascii="Arial" w:cs="Arial" w:eastAsia="Arial" w:hAnsi="Arial"/>
          <w:sz w:val="18"/>
          <w:szCs w:val="18"/>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We have not yet completed our assessment of the impact of the new standard on our consolidated financial statements.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which amends the hedge accounting recognition and presentation requirements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We adopted this guidance as of January 1, 2019, and it did not have a material impact on our consolidated financial position, results of operations and cash flows.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is intended to improve financial reporting about leasing transactions. The update requires a lessee to record on its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We elected to utilize a practical expedient in our method of adoption of the standard and adopted the guidance as of January 1, 2019. Under this expedient, which is a “current-period adjustment method,” we applied ASC 842 as of January 2019 and recognized operating lease liabilities of $11.7 million and right of use assets of $9.4 million. There was no impact to retained earnings as of that date. In addition, we adopted the guidance by electing the following practical expedients: (1) we did not reassess whether any expired or existing contracts contained leases, and (2) we did not reassess the lease classification for any expired or existing leases. Our future commitments under lease obligations and additional disclosures are summarized in Note 12.</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March 31, 2019, we had $56.3 million outstanding under our Financing Agreement, net of deferred financing costs.</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noted above under the heading “Borrowing Arrangements”, on January 22, 2018, we terminated the Credit Agreement, and on January 31, 2018, entered into the Financing Agreement. As a result of terminating the Credit Agreement, we unwound our previously existing swap agreement and received an immaterial amount of proceeds. On February 16, 2018, we entered into a new interest rate swap contract with PNC bank with a notional amount of $36.0 million and a termination date of January 31, 2023 in order to hedge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93"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As of March 31, 2019, the weighted effective interest rates, net of the impact of our interest rate swaps, on our Term Loan was 8.87%. Assuming no other changes which would affect the margin of the interest rate, the estimated effect of interest rate fluctuations on outstanding borrowings under our Financing Agreement as of March 31, 2019 is quantified and summarized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Interest expense</w:t>
            </w: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If compared to the rate as of March 31, 2019</w:t>
            </w: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increase</w:t>
            </w:r>
          </w:p>
        </w:tc>
      </w:tr>
      <w:tr>
        <w:trPr>
          <w:trHeight w:val="210"/>
        </w:trPr>
        <w:tc>
          <w:tcPr>
            <w:tcW w:w="9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rates increase by 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Interest rates increase by 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2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Controls and Procedures.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Principal Financial Officer, to allow timely decisions regarding required disclosures.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required by Rules 13a-15(e) and 15d-15(e) under the Exchange Act, our management, under the supervision and with the participation of our Chief Executive Officer and Principal Financial Officer, conducted an evaluation of the effectiveness of the design and operation of our disclosure controls and procedures as of March 31, 2019. Our disclosure controls and procedures are designed to provide reasonable assurance that information required to be disclosed by us in the reports that we file or submit under the Exchange Act is recorded, processed, summarized and reported within the time periods specified in the SEC’s rules and forms, and our management necessarily was required to apply its judgment in evaluating and implementing our disclosure controls and procedures. Based upon the evaluation described above, our management concluded that our disclosure controls and procedures for the periods covered by this report were effective, as of the end of the period covered by this Quarterly Report on Form 10-Q, in providing reasonable assurance that information required to be disclosed by us in the reports that we file or submit under the Exchange Act is accumulated and communicated to our management, including our Chief Executive Officer and Principal Financial Officer, to allow timely decisions regarding required disclosures, and is recorded, processed, summarized and reported within the time periods specified in the SEC’s rules and forms.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reviewed our internal control over financial reporting at March 31, 2019. As a result of the acquisition of Data Sciences International, Inc. (“DSI”) in January 2018, we continue to integrate certain business processes and systems of DSI. Accordingly, certain changes have been made and will continue to be made to our internal controls over financial reporting until such time as this integration is complete. There were no other changes in our internal controls over financial reporting identified in an evaluation thereof that occurred during the three months ended March 31, 2019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To our knowledge, and except to the extent additional factual information disclosed in this Quarterly Report on Form 10-Q relates to such risk factors, there has been no material changes in the risk factors described in “Item 1A. Risk Factors” in our Annual Report on Form 10-K for the year ended December 31, 2018, which was filed with the SEC on March 18, 2019.</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Exhibit</w:t>
            </w:r>
          </w:p>
        </w:tc>
        <w:tc>
          <w:tcPr>
            <w:tcW w:w="2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3"/>
              </w:rPr>
              <w:t>Index</w:t>
            </w:r>
          </w:p>
        </w:tc>
        <w:tc>
          <w:tcPr>
            <w:tcW w:w="10140" w:type="dxa"/>
            <w:vAlign w:val="bottom"/>
            <w:gridSpan w:val="6"/>
            <w:vMerge w:val="restart"/>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Chief Financial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gridSpan w:val="2"/>
          </w:tcPr>
          <w:p>
            <w:pPr>
              <w:spacing w:after="0" w:line="170" w:lineRule="exact"/>
              <w:rPr>
                <w:rFonts w:ascii="Arial" w:cs="Arial" w:eastAsia="Arial" w:hAnsi="Arial"/>
                <w:sz w:val="18"/>
                <w:szCs w:val="18"/>
                <w:color w:val="0000EE"/>
              </w:rPr>
            </w:pPr>
            <w:hyperlink w:anchor="page3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tcPr>
          <w:p>
            <w:pPr>
              <w:spacing w:after="0"/>
              <w:rPr>
                <w:sz w:val="14"/>
                <w:szCs w:val="14"/>
                <w:color w:val="auto"/>
              </w:rPr>
            </w:pPr>
          </w:p>
        </w:tc>
        <w:tc>
          <w:tcPr>
            <w:tcW w:w="10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tcPr>
          <w:p>
            <w:pPr>
              <w:spacing w:after="0"/>
              <w:rPr>
                <w:sz w:val="17"/>
                <w:szCs w:val="17"/>
                <w:color w:val="auto"/>
              </w:rPr>
            </w:pPr>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gridSpan w:val="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tcPr>
          <w:p>
            <w:pPr>
              <w:spacing w:after="0"/>
              <w:rPr>
                <w:sz w:val="17"/>
                <w:szCs w:val="17"/>
                <w:color w:val="auto"/>
              </w:rPr>
            </w:pPr>
          </w:p>
        </w:tc>
        <w:tc>
          <w:tcPr>
            <w:tcW w:w="10140" w:type="dxa"/>
            <w:vAlign w:val="bottom"/>
            <w:gridSpan w:val="6"/>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Chief Executive Officer of Harvard Bioscience, Inc., pursuant to Rules 13a-14(a) and 15d-14(a),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140" w:type="dxa"/>
            <w:vAlign w:val="bottom"/>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of Harvard Bioscience, Inc.,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of the Sarbanes-Oxley Act of 2002.</w:t>
              </w:r>
            </w:hyperlink>
          </w:p>
        </w:tc>
        <w:tc>
          <w:tcPr>
            <w:tcW w:w="754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40" w:type="dxa"/>
            <w:vAlign w:val="bottom"/>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of Harvard Bioscience, Inc.,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of the Sarbanes-Oxley Act of 2002.</w:t>
              </w:r>
            </w:hyperlink>
          </w:p>
        </w:tc>
        <w:tc>
          <w:tcPr>
            <w:tcW w:w="7580" w:type="dxa"/>
            <w:vAlign w:val="bottom"/>
            <w:tcBorders>
              <w:top w:val="single" w:sz="8" w:color="0000EE"/>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60" w:hanging="49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tbl>
      <w:tblPr>
        <w:tblLayout w:type="fixed"/>
        <w:tblInd w:w="69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JEFFREY A. DUCHEMIN</w:t>
            </w:r>
          </w:p>
        </w:tc>
      </w:tr>
      <w:tr>
        <w:trPr>
          <w:trHeight w:val="191"/>
        </w:trPr>
        <w:tc>
          <w:tcPr>
            <w:tcW w:w="340" w:type="dxa"/>
            <w:vAlign w:val="bottom"/>
          </w:tcPr>
          <w:p>
            <w:pPr>
              <w:spacing w:after="0"/>
              <w:rPr>
                <w:sz w:val="16"/>
                <w:szCs w:val="16"/>
                <w:color w:val="auto"/>
              </w:rPr>
            </w:pPr>
          </w:p>
        </w:tc>
        <w:tc>
          <w:tcPr>
            <w:tcW w:w="4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Jeffrey A. Duchemin</w:t>
            </w:r>
          </w:p>
        </w:tc>
      </w:tr>
      <w:tr>
        <w:trPr>
          <w:trHeight w:val="234"/>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8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KAMALAM UNNINAYAR</w:t>
            </w:r>
          </w:p>
        </w:tc>
      </w:tr>
      <w:tr>
        <w:trPr>
          <w:trHeight w:val="191"/>
        </w:trPr>
        <w:tc>
          <w:tcPr>
            <w:tcW w:w="340" w:type="dxa"/>
            <w:vAlign w:val="bottom"/>
          </w:tcPr>
          <w:p>
            <w:pPr>
              <w:spacing w:after="0"/>
              <w:rPr>
                <w:sz w:val="16"/>
                <w:szCs w:val="16"/>
                <w:color w:val="auto"/>
              </w:rPr>
            </w:pPr>
          </w:p>
        </w:tc>
        <w:tc>
          <w:tcPr>
            <w:tcW w:w="4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Kamalam Unninayar</w:t>
            </w:r>
          </w:p>
        </w:tc>
      </w:tr>
      <w:tr>
        <w:trPr>
          <w:trHeight w:val="234"/>
        </w:trPr>
        <w:tc>
          <w:tcPr>
            <w:tcW w:w="34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9820" w:type="dxa"/>
            <w:vAlign w:val="bottom"/>
            <w:gridSpan w:val="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Chief Financial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302 of the Sarbanes-Oxley Act of 2002.</w:t>
              </w:r>
            </w:hyperlink>
          </w:p>
        </w:tc>
        <w:tc>
          <w:tcPr>
            <w:tcW w:w="624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2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Chief Executive Officer of Harvard Bioscience, Inc., pursuant to Rules 13a-14(a) and 15d-14(a),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Section 302 of the Sarbanes-Oxley Act of 2002.</w:t>
              </w:r>
            </w:hyperlink>
          </w:p>
        </w:tc>
        <w:tc>
          <w:tcPr>
            <w:tcW w:w="630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420" w:type="dxa"/>
            <w:vAlign w:val="bottom"/>
          </w:tcPr>
          <w:p>
            <w:pPr>
              <w:spacing w:after="0"/>
              <w:rPr>
                <w:sz w:val="24"/>
                <w:szCs w:val="24"/>
                <w:color w:val="auto"/>
              </w:rPr>
            </w:pPr>
          </w:p>
        </w:tc>
        <w:tc>
          <w:tcPr>
            <w:tcW w:w="9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of Harvard Bioscience, Inc., pursuant to 18 U.S.C. Section 1350, as adopted pursuant to Section</w:t>
              </w:r>
            </w:hyperlink>
          </w:p>
        </w:tc>
        <w:tc>
          <w:tcPr>
            <w:tcW w:w="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906 of the Sarbanes-Oxley Act of 2002.</w:t>
              </w:r>
            </w:hyperlink>
          </w:p>
        </w:tc>
        <w:tc>
          <w:tcPr>
            <w:tcW w:w="6940" w:type="dxa"/>
            <w:vAlign w:val="bottom"/>
            <w:gridSpan w:val="5"/>
          </w:tcPr>
          <w:p>
            <w:pPr>
              <w:spacing w:after="0"/>
              <w:rPr>
                <w:sz w:val="17"/>
                <w:szCs w:val="17"/>
                <w:color w:val="auto"/>
              </w:rPr>
            </w:pPr>
          </w:p>
        </w:tc>
      </w:tr>
      <w:tr>
        <w:trPr>
          <w:trHeight w:val="412"/>
        </w:trPr>
        <w:tc>
          <w:tcPr>
            <w:tcW w:w="84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820" w:type="dxa"/>
            <w:vAlign w:val="bottom"/>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of Harvard Bioscience, Inc., pursuant to 18 U.S.C. Section 1350, as adopted pursuant to Section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906 of the Sarbanes-Oxley Act of 2002.</w:t>
              </w:r>
            </w:hyperlink>
          </w:p>
        </w:tc>
      </w:tr>
      <w:tr>
        <w:trPr>
          <w:trHeight w:val="453"/>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8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960" w:type="dxa"/>
            <w:vAlign w:val="bottom"/>
            <w:gridSpan w:val="6"/>
          </w:tcPr>
          <w:p>
            <w:pPr>
              <w:spacing w:after="0"/>
              <w:rPr>
                <w:sz w:val="24"/>
                <w:szCs w:val="24"/>
                <w:color w:val="auto"/>
              </w:rPr>
            </w:pPr>
          </w:p>
        </w:tc>
      </w:tr>
      <w:tr>
        <w:trPr>
          <w:trHeight w:val="432"/>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Kam Unninayar, certify that:</w:t>
      </w:r>
    </w:p>
    <w:p>
      <w:pPr>
        <w:spacing w:after="0" w:line="21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KAMALAM UNNINAYAR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Kamalam Unninayar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A. Duchemin,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449"/>
        <w:spacing w:after="0" w:line="264" w:lineRule="auto"/>
        <w:tabs>
          <w:tab w:leader="none" w:pos="6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60" w:firstLine="449"/>
        <w:spacing w:after="0" w:line="264" w:lineRule="auto"/>
        <w:tabs>
          <w:tab w:leader="none" w:pos="6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20" w:firstLine="449"/>
        <w:spacing w:after="0" w:line="277" w:lineRule="auto"/>
        <w:tabs>
          <w:tab w:leader="none" w:pos="6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40" w:firstLine="449"/>
        <w:spacing w:after="0" w:line="264" w:lineRule="auto"/>
        <w:tabs>
          <w:tab w:leader="none" w:pos="6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 w:firstLine="449"/>
        <w:spacing w:after="0" w:line="277" w:lineRule="auto"/>
        <w:tabs>
          <w:tab w:leader="none" w:pos="6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80" w:firstLine="449"/>
        <w:spacing w:after="0" w:line="277" w:lineRule="auto"/>
        <w:tabs>
          <w:tab w:leader="none" w:pos="6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Jeffrey A. Duchemin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her knowledge that the Company’s Quarterly Report on Form 10-Q for the quarterly period ended March 31,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Kamalam Unninayar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Kamalam Unninayar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right="220" w:firstLine="441"/>
        <w:spacing w:after="0" w:line="284" w:lineRule="auto"/>
        <w:rPr>
          <w:sz w:val="20"/>
          <w:szCs w:val="20"/>
          <w:color w:val="auto"/>
        </w:rPr>
      </w:pPr>
      <w:r>
        <w:rPr>
          <w:rFonts w:ascii="Arial" w:cs="Arial" w:eastAsia="Arial" w:hAnsi="Arial"/>
          <w:sz w:val="16"/>
          <w:szCs w:val="16"/>
          <w:color w:val="auto"/>
        </w:rPr>
        <w:t>The undersigned officer of Harvard Bioscience, Inc. (the Company) hereby certifies to his knowledge that the Company’s Quarterly Report on Form 10-Q for the quarterly period ended March 31, 2019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w:t>
      </w:r>
    </w:p>
    <w:p>
      <w:pPr>
        <w:spacing w:after="0" w:line="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May 8, 2019</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DUCHEMIN</w:t>
            </w:r>
          </w:p>
        </w:tc>
      </w:tr>
      <w:tr>
        <w:trPr>
          <w:trHeight w:val="195"/>
        </w:trPr>
        <w:tc>
          <w:tcPr>
            <w:tcW w:w="59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 Jeffrey A. Duchemin</w:t>
            </w:r>
          </w:p>
        </w:tc>
      </w:tr>
      <w:tr>
        <w:trPr>
          <w:trHeight w:val="230"/>
        </w:trPr>
        <w:tc>
          <w:tcPr>
            <w:tcW w:w="59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7"/>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3"/>
    </w:lvl>
  </w:abstractNum>
  <w:abstractNum w:abstractNumId="19">
    <w:nsid w:val="79838CB2"/>
    <w:multiLevelType w:val="hybridMultilevel"/>
    <w:lvl w:ilvl="0">
      <w:lvlJc w:val="left"/>
      <w:lvlText w:val="%1."/>
      <w:numFmt w:val="decimal"/>
      <w:start w:val="14"/>
    </w:lvl>
  </w:abstractNum>
  <w:abstractNum w:abstractNumId="20">
    <w:nsid w:val="4353D0CD"/>
    <w:multiLevelType w:val="hybridMultilevel"/>
    <w:lvl w:ilvl="0">
      <w:lvlJc w:val="left"/>
      <w:lvlText w:val="%1."/>
      <w:numFmt w:val="decimal"/>
      <w:start w:val="1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6"/>
    </w:lvl>
  </w:abstractNum>
  <w:abstractNum w:abstractNumId="23">
    <w:nsid w:val="54E49EB4"/>
    <w:multiLevelType w:val="hybridMultilevel"/>
    <w:lvl w:ilvl="0">
      <w:lvlJc w:val="left"/>
      <w:lvlText w:val="%1."/>
      <w:numFmt w:val="decimal"/>
      <w:start w:val="17"/>
    </w:lvl>
  </w:abstractNum>
  <w:abstractNum w:abstractNumId="24">
    <w:nsid w:val="71F32454"/>
    <w:multiLevelType w:val="hybridMultilevel"/>
    <w:lvl w:ilvl="0">
      <w:lvlJc w:val="left"/>
      <w:lvlText w:val="%1."/>
      <w:numFmt w:val="decimal"/>
      <w:start w:val="18"/>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2019-12-28T12:36:02Z</dcterms:created>
  <dcterms:modified xsi:type="dcterms:W3CDTF">2019-12-28T12:36:02Z</dcterms:modified>
</cp:coreProperties>
</file>