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
          <w:sz w:val="20"/>
        </w:rPr>
      </w:pPr>
      <w:bookmarkStart w:id="0" w:name="fs8_060526.htm"/>
      <w:bookmarkStart w:id="1" w:name="ksfs8_060526"/>
      <w:bookmarkEnd w:id="0"/>
      <w:bookmarkEnd w:id="1"/>
      <w:r>
        <w:rPr>
          <w:b/>
          <w:sz w:val="20"/>
        </w:rPr>
        <w:t>As filed with the Securities and Exchange Commission on June 10, 2026</w:t>
      </w:r>
    </w:p>
    <w:p>
      <w:pPr>
        <w:pStyle w:val="TextBody"/>
        <w:bidi w:val="0"/>
        <w:spacing w:before="0" w:after="283"/>
        <w:jc w:val="left"/>
        <w:rPr/>
      </w:pPr>
      <w:r>
        <w:rPr/>
        <w:t> </w:t>
      </w:r>
    </w:p>
    <w:p>
      <w:pPr>
        <w:pStyle w:val="TextBody"/>
        <w:bidi w:val="0"/>
        <w:spacing w:before="0" w:after="0"/>
        <w:jc w:val="right"/>
        <w:rPr>
          <w:b/>
          <w:sz w:val="20"/>
        </w:rPr>
      </w:pPr>
      <w:r>
        <w:rPr>
          <w:b/>
          <w:sz w:val="20"/>
        </w:rPr>
        <w:t>Registration No. 333-_____</w:t>
      </w:r>
    </w:p>
    <w:p>
      <w:pPr>
        <w:pStyle w:val="TextBody"/>
        <w:bidi w:val="0"/>
        <w:spacing w:before="0" w:after="0"/>
        <w:ind w:left="0" w:right="0" w:hanging="0"/>
        <w:jc w:val="right"/>
        <w:rPr/>
      </w:pPr>
      <w: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jc w:val="center"/>
        <w:rPr>
          <w:b/>
          <w:sz w:val="20"/>
        </w:rPr>
      </w:pPr>
      <w:r>
        <w:rPr>
          <w:b/>
          <w:sz w:val="20"/>
        </w:rPr>
        <w:t>UNITED STATES</w:t>
      </w:r>
    </w:p>
    <w:p>
      <w:pPr>
        <w:pStyle w:val="TextBody"/>
        <w:bidi w:val="0"/>
        <w:spacing w:before="0" w:after="283"/>
        <w:jc w:val="left"/>
        <w:rPr/>
      </w:pPr>
      <w:r>
        <w:rPr/>
        <w:t> </w:t>
      </w:r>
    </w:p>
    <w:p>
      <w:pPr>
        <w:pStyle w:val="TextBody"/>
        <w:bidi w:val="0"/>
        <w:jc w:val="center"/>
        <w:rPr>
          <w:b/>
          <w:sz w:val="20"/>
        </w:rPr>
      </w:pPr>
      <w:r>
        <w:rPr>
          <w:b/>
          <w:sz w:val="20"/>
        </w:rPr>
        <w:t>SECURITIES AND EXCHANGE COMMISSION</w:t>
      </w:r>
    </w:p>
    <w:p>
      <w:pPr>
        <w:pStyle w:val="TextBody"/>
        <w:bidi w:val="0"/>
        <w:spacing w:before="0" w:after="283"/>
        <w:jc w:val="left"/>
        <w:rPr/>
      </w:pPr>
      <w:r>
        <w:rPr/>
        <w:t> </w:t>
      </w:r>
    </w:p>
    <w:p>
      <w:pPr>
        <w:pStyle w:val="TextBody"/>
        <w:bidi w:val="0"/>
        <w:jc w:val="center"/>
        <w:rPr>
          <w:b/>
          <w:sz w:val="20"/>
        </w:rPr>
      </w:pPr>
      <w:r>
        <w:rPr>
          <w:b/>
          <w:sz w:val="20"/>
        </w:rPr>
        <w:t>WASHINGTON, D.C. 20549</w:t>
      </w:r>
    </w:p>
    <w:p>
      <w:pPr>
        <w:pStyle w:val="TextBody"/>
        <w:bidi w:val="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center"/>
        <w:rPr>
          <w:b/>
          <w:sz w:val="20"/>
        </w:rPr>
      </w:pPr>
      <w:r>
        <w:rPr>
          <w:b/>
          <w:sz w:val="20"/>
        </w:rPr>
        <w:t>FORM S-8</w:t>
      </w:r>
    </w:p>
    <w:p>
      <w:pPr>
        <w:pStyle w:val="TextBody"/>
        <w:bidi w:val="0"/>
        <w:spacing w:before="0" w:after="283"/>
        <w:jc w:val="left"/>
        <w:rPr/>
      </w:pPr>
      <w:r>
        <w:rPr/>
        <w:t> </w:t>
      </w:r>
    </w:p>
    <w:p>
      <w:pPr>
        <w:pStyle w:val="TextBody"/>
        <w:bidi w:val="0"/>
        <w:jc w:val="center"/>
        <w:rPr>
          <w:b/>
          <w:sz w:val="20"/>
        </w:rPr>
      </w:pPr>
      <w:r>
        <w:rPr>
          <w:b/>
          <w:sz w:val="20"/>
        </w:rPr>
        <w:t>REGISTRATION STATEMENT UNDER THE SECURITIES ACT OF 1933</w:t>
      </w:r>
    </w:p>
    <w:p>
      <w:pPr>
        <w:pStyle w:val="TextBody"/>
        <w:bidi w:val="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center"/>
        <w:rPr>
          <w:b/>
          <w:sz w:val="20"/>
        </w:rPr>
      </w:pPr>
      <w:r>
        <w:rPr>
          <w:b/>
          <w:sz w:val="20"/>
        </w:rPr>
        <w:t>HARVARD BIOSCIENCE, INC.</w:t>
      </w:r>
    </w:p>
    <w:p>
      <w:pPr>
        <w:pStyle w:val="TextBody"/>
        <w:bidi w:val="0"/>
        <w:spacing w:before="0" w:after="283"/>
        <w:jc w:val="left"/>
        <w:rPr/>
      </w:pPr>
      <w:r>
        <w:rPr/>
        <w:t> </w:t>
      </w:r>
    </w:p>
    <w:p>
      <w:pPr>
        <w:pStyle w:val="TextBody"/>
        <w:bidi w:val="0"/>
        <w:jc w:val="center"/>
        <w:rPr>
          <w:b/>
          <w:sz w:val="20"/>
        </w:rPr>
      </w:pPr>
      <w:r>
        <w:rPr>
          <w:b/>
          <w:sz w:val="20"/>
        </w:rPr>
        <w:t>(Exact Name of Registrant as Specified in Its Charter)</w:t>
      </w:r>
    </w:p>
    <w:p>
      <w:pPr>
        <w:pStyle w:val="TextBody"/>
        <w:bidi w:val="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jc w:val="center"/>
        <w:rPr/>
      </w:pPr>
      <w:r>
        <w:rPr/>
        <w:t> </w:t>
      </w:r>
    </w:p>
    <w:tbl>
      <w:tblPr>
        <w:tblW w:w="4630" w:type="dxa"/>
        <w:jc w:val="center"/>
        <w:tblInd w:w="0" w:type="dxa"/>
        <w:tblLayout w:type="fixed"/>
        <w:tblCellMar>
          <w:top w:w="0" w:type="dxa"/>
          <w:left w:w="0" w:type="dxa"/>
          <w:bottom w:w="0" w:type="dxa"/>
          <w:right w:w="0" w:type="dxa"/>
        </w:tblCellMar>
      </w:tblPr>
      <w:tblGrid>
        <w:gridCol w:w="2660"/>
        <w:gridCol w:w="1970"/>
      </w:tblGrid>
      <w:tr>
        <w:trPr/>
        <w:tc>
          <w:tcPr>
            <w:tcW w:w="2660" w:type="dxa"/>
            <w:tcBorders/>
            <w:vAlign w:val="center"/>
          </w:tcPr>
          <w:p>
            <w:pPr>
              <w:pStyle w:val="TableContents"/>
              <w:bidi w:val="0"/>
              <w:spacing w:before="43" w:after="20"/>
              <w:ind w:left="43" w:right="43" w:hanging="0"/>
              <w:jc w:val="center"/>
              <w:rPr/>
            </w:pPr>
            <w:r>
              <w:rPr/>
              <w:t> </w:t>
            </w:r>
            <w:r>
              <w:rPr>
                <w:b/>
                <w:sz w:val="20"/>
              </w:rPr>
              <w:t>Delaware</w:t>
            </w:r>
          </w:p>
        </w:tc>
        <w:tc>
          <w:tcPr>
            <w:tcW w:w="1970" w:type="dxa"/>
            <w:tcBorders/>
            <w:vAlign w:val="center"/>
          </w:tcPr>
          <w:p>
            <w:pPr>
              <w:pStyle w:val="TableContents"/>
              <w:bidi w:val="0"/>
              <w:spacing w:before="0" w:after="283"/>
              <w:jc w:val="center"/>
              <w:rPr>
                <w:b/>
                <w:sz w:val="20"/>
              </w:rPr>
            </w:pPr>
            <w:r>
              <w:rPr>
                <w:b/>
                <w:sz w:val="20"/>
              </w:rPr>
              <w:t>04-3306140</w:t>
            </w:r>
          </w:p>
        </w:tc>
      </w:tr>
      <w:tr>
        <w:trPr/>
        <w:tc>
          <w:tcPr>
            <w:tcW w:w="2660" w:type="dxa"/>
            <w:tcBorders/>
            <w:vAlign w:val="center"/>
          </w:tcPr>
          <w:p>
            <w:pPr>
              <w:pStyle w:val="TableContents"/>
              <w:bidi w:val="0"/>
              <w:spacing w:before="43" w:after="43"/>
              <w:ind w:left="43" w:right="43" w:hanging="0"/>
              <w:jc w:val="center"/>
              <w:rPr>
                <w:b/>
                <w:sz w:val="20"/>
              </w:rPr>
            </w:pPr>
            <w:r>
              <w:rPr>
                <w:b/>
                <w:sz w:val="20"/>
              </w:rPr>
              <w:t>(State or other jurisdiction of</w:t>
            </w:r>
          </w:p>
          <w:p>
            <w:pPr>
              <w:pStyle w:val="TableContents"/>
              <w:bidi w:val="0"/>
              <w:spacing w:before="0" w:after="20"/>
              <w:jc w:val="center"/>
              <w:rPr>
                <w:b/>
                <w:sz w:val="20"/>
              </w:rPr>
            </w:pPr>
            <w:r>
              <w:rPr>
                <w:b/>
                <w:sz w:val="20"/>
              </w:rPr>
              <w:t>incorporation or organization)</w:t>
            </w:r>
          </w:p>
        </w:tc>
        <w:tc>
          <w:tcPr>
            <w:tcW w:w="1970" w:type="dxa"/>
            <w:tcBorders/>
            <w:vAlign w:val="center"/>
          </w:tcPr>
          <w:p>
            <w:pPr>
              <w:pStyle w:val="TableContents"/>
              <w:bidi w:val="0"/>
              <w:spacing w:before="43" w:after="43"/>
              <w:ind w:left="43" w:right="43" w:hanging="0"/>
              <w:jc w:val="center"/>
              <w:rPr>
                <w:b/>
                <w:sz w:val="20"/>
              </w:rPr>
            </w:pPr>
            <w:r>
              <w:rPr>
                <w:b/>
                <w:sz w:val="20"/>
              </w:rPr>
              <w:t>(I.R.S. Employer</w:t>
            </w:r>
          </w:p>
          <w:p>
            <w:pPr>
              <w:pStyle w:val="TableContents"/>
              <w:bidi w:val="0"/>
              <w:spacing w:before="0" w:after="20"/>
              <w:jc w:val="center"/>
              <w:rPr>
                <w:b/>
                <w:sz w:val="20"/>
              </w:rPr>
            </w:pPr>
            <w:r>
              <w:rPr>
                <w:b/>
                <w:sz w:val="20"/>
              </w:rPr>
              <w:t>Identification Number)</w:t>
            </w:r>
          </w:p>
        </w:tc>
      </w:tr>
    </w:tbl>
    <w:p>
      <w:pPr>
        <w:pStyle w:val="TextBody"/>
        <w:bidi w:val="0"/>
        <w:spacing w:before="0" w:after="283"/>
        <w:jc w:val="left"/>
        <w:rPr/>
      </w:pPr>
      <w:r>
        <w:rPr/>
        <w:t> </w:t>
      </w:r>
    </w:p>
    <w:p>
      <w:pPr>
        <w:pStyle w:val="TextBody"/>
        <w:bidi w:val="0"/>
        <w:jc w:val="center"/>
        <w:rPr>
          <w:b/>
          <w:sz w:val="20"/>
        </w:rPr>
      </w:pPr>
      <w:r>
        <w:rPr>
          <w:b/>
          <w:sz w:val="20"/>
        </w:rPr>
        <w:t>84 October Hill Road</w:t>
      </w:r>
    </w:p>
    <w:p>
      <w:pPr>
        <w:pStyle w:val="TextBody"/>
        <w:bidi w:val="0"/>
        <w:jc w:val="center"/>
        <w:rPr>
          <w:b/>
          <w:sz w:val="20"/>
        </w:rPr>
      </w:pPr>
      <w:r>
        <w:rPr>
          <w:b/>
          <w:sz w:val="20"/>
        </w:rPr>
        <w:t>Holliston, Massachusetts 01746</w:t>
      </w:r>
    </w:p>
    <w:p>
      <w:pPr>
        <w:pStyle w:val="TextBody"/>
        <w:bidi w:val="0"/>
        <w:jc w:val="center"/>
        <w:rPr>
          <w:b/>
          <w:sz w:val="20"/>
        </w:rPr>
      </w:pPr>
      <w:r>
        <w:rPr>
          <w:b/>
          <w:sz w:val="20"/>
        </w:rPr>
        <w:t>(508) 893-8999</w:t>
      </w:r>
    </w:p>
    <w:p>
      <w:pPr>
        <w:pStyle w:val="TextBody"/>
        <w:bidi w:val="0"/>
        <w:jc w:val="center"/>
        <w:rPr>
          <w:sz w:val="20"/>
        </w:rPr>
      </w:pPr>
      <w:r>
        <w:rPr>
          <w:sz w:val="20"/>
        </w:rPr>
        <w:t>(Address, including zip code, and telephone number, including area code, of registrant’s principal executive offices)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jc w:val="center"/>
        <w:rPr/>
      </w:pPr>
      <w:r>
        <w:rPr/>
        <w:t> </w:t>
      </w:r>
    </w:p>
    <w:p>
      <w:pPr>
        <w:pStyle w:val="TextBody"/>
        <w:bidi w:val="0"/>
        <w:ind w:left="1220" w:right="0" w:hanging="0"/>
        <w:jc w:val="center"/>
        <w:rPr>
          <w:b/>
          <w:sz w:val="20"/>
        </w:rPr>
      </w:pPr>
      <w:r>
        <w:rPr>
          <w:b/>
          <w:sz w:val="20"/>
        </w:rPr>
        <w:t>HARVARD BIOSCIENCE, INC. EMPLOYEE STOCK PURCHASE PLAN</w:t>
      </w:r>
    </w:p>
    <w:p>
      <w:pPr>
        <w:pStyle w:val="TextBody"/>
        <w:bidi w:val="0"/>
        <w:jc w:val="center"/>
        <w:rPr>
          <w:b/>
          <w:sz w:val="20"/>
        </w:rPr>
      </w:pPr>
      <w:r>
        <w:rPr>
          <w:b/>
          <w:sz w:val="20"/>
        </w:rPr>
        <w:t xml:space="preserve">And </w:t>
      </w:r>
    </w:p>
    <w:p>
      <w:pPr>
        <w:pStyle w:val="TextBody"/>
        <w:bidi w:val="0"/>
        <w:jc w:val="center"/>
        <w:rPr>
          <w:b/>
          <w:sz w:val="20"/>
        </w:rPr>
      </w:pPr>
      <w:r>
        <w:rPr>
          <w:b/>
          <w:sz w:val="20"/>
        </w:rPr>
        <w:t>AMENDED and RESTATED 2021 INCENTIVE PLAN</w:t>
      </w:r>
    </w:p>
    <w:p>
      <w:pPr>
        <w:pStyle w:val="TextBody"/>
        <w:bidi w:val="0"/>
        <w:jc w:val="center"/>
        <w:rPr>
          <w:b/>
          <w:sz w:val="20"/>
        </w:rPr>
      </w:pPr>
      <w:r>
        <w:rPr>
          <w:b/>
          <w:sz w:val="20"/>
        </w:rPr>
        <w:t>(Full Titles of the Plans)</w:t>
      </w:r>
    </w:p>
    <w:p>
      <w:pPr>
        <w:pStyle w:val="TextBody"/>
        <w:bidi w:val="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center"/>
        <w:rPr>
          <w:b/>
          <w:sz w:val="20"/>
        </w:rPr>
      </w:pPr>
      <w:r>
        <w:rPr>
          <w:b/>
          <w:sz w:val="20"/>
        </w:rPr>
        <w:t>John Duke, Chief Executive Officer</w:t>
      </w:r>
    </w:p>
    <w:p>
      <w:pPr>
        <w:pStyle w:val="TextBody"/>
        <w:bidi w:val="0"/>
        <w:jc w:val="center"/>
        <w:rPr>
          <w:b/>
          <w:sz w:val="20"/>
        </w:rPr>
      </w:pPr>
      <w:r>
        <w:rPr>
          <w:b/>
          <w:sz w:val="20"/>
        </w:rPr>
        <w:t>HARVARD BIOSCIENCE, INC.</w:t>
      </w:r>
    </w:p>
    <w:p>
      <w:pPr>
        <w:pStyle w:val="TextBody"/>
        <w:bidi w:val="0"/>
        <w:jc w:val="center"/>
        <w:rPr>
          <w:b/>
          <w:sz w:val="20"/>
        </w:rPr>
      </w:pPr>
      <w:r>
        <w:rPr>
          <w:b/>
          <w:sz w:val="20"/>
        </w:rPr>
        <w:t>84 October Hill Road</w:t>
      </w:r>
    </w:p>
    <w:p>
      <w:pPr>
        <w:pStyle w:val="TextBody"/>
        <w:bidi w:val="0"/>
        <w:jc w:val="center"/>
        <w:rPr>
          <w:b/>
          <w:sz w:val="20"/>
        </w:rPr>
      </w:pPr>
      <w:r>
        <w:rPr>
          <w:b/>
          <w:sz w:val="20"/>
        </w:rPr>
        <w:t>Holliston, Massachusetts 01746</w:t>
      </w:r>
    </w:p>
    <w:p>
      <w:pPr>
        <w:pStyle w:val="TextBody"/>
        <w:bidi w:val="0"/>
        <w:jc w:val="center"/>
        <w:rPr>
          <w:b/>
          <w:sz w:val="20"/>
        </w:rPr>
      </w:pPr>
      <w:r>
        <w:rPr>
          <w:b/>
          <w:sz w:val="20"/>
        </w:rPr>
        <w:t>(508) 893-8999</w:t>
      </w:r>
    </w:p>
    <w:p>
      <w:pPr>
        <w:pStyle w:val="TextBody"/>
        <w:bidi w:val="0"/>
        <w:jc w:val="center"/>
        <w:rPr>
          <w:b/>
          <w:sz w:val="20"/>
        </w:rPr>
      </w:pPr>
      <w:r>
        <w:rPr>
          <w:b/>
          <w:sz w:val="20"/>
        </w:rPr>
        <w:t>(Name, address, and telephone number, including area code, of agent for service)</w:t>
      </w:r>
    </w:p>
    <w:p>
      <w:pPr>
        <w:pStyle w:val="TextBody"/>
        <w:bidi w:val="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center"/>
        <w:rPr>
          <w:b/>
          <w:i/>
          <w:sz w:val="20"/>
        </w:rPr>
      </w:pPr>
      <w:r>
        <w:rPr>
          <w:b/>
          <w:i/>
          <w:sz w:val="20"/>
        </w:rPr>
        <w:t>With copies to:</w:t>
      </w:r>
    </w:p>
    <w:p>
      <w:pPr>
        <w:pStyle w:val="TextBody"/>
        <w:bidi w:val="0"/>
        <w:jc w:val="center"/>
        <w:rPr>
          <w:b/>
          <w:sz w:val="20"/>
        </w:rPr>
      </w:pPr>
      <w:r>
        <w:rPr>
          <w:b/>
          <w:sz w:val="20"/>
        </w:rPr>
        <w:t>Megan Gates</w:t>
      </w:r>
    </w:p>
    <w:p>
      <w:pPr>
        <w:pStyle w:val="TextBody"/>
        <w:bidi w:val="0"/>
        <w:jc w:val="center"/>
        <w:rPr>
          <w:b/>
          <w:sz w:val="20"/>
        </w:rPr>
      </w:pPr>
      <w:r>
        <w:rPr>
          <w:b/>
          <w:sz w:val="20"/>
        </w:rPr>
        <w:t>Covington &amp; Burling LLP</w:t>
      </w:r>
    </w:p>
    <w:p>
      <w:pPr>
        <w:pStyle w:val="TextBody"/>
        <w:bidi w:val="0"/>
        <w:jc w:val="center"/>
        <w:rPr>
          <w:b/>
          <w:sz w:val="20"/>
        </w:rPr>
      </w:pPr>
      <w:r>
        <w:rPr>
          <w:b/>
          <w:sz w:val="20"/>
        </w:rPr>
        <w:t xml:space="preserve">One International Place, Suite 1020 </w:t>
      </w:r>
    </w:p>
    <w:p>
      <w:pPr>
        <w:pStyle w:val="TextBody"/>
        <w:bidi w:val="0"/>
        <w:jc w:val="center"/>
        <w:rPr>
          <w:b/>
          <w:sz w:val="20"/>
        </w:rPr>
      </w:pPr>
      <w:r>
        <w:rPr>
          <w:b/>
          <w:sz w:val="20"/>
        </w:rPr>
        <w:t xml:space="preserve">Boston, Massachusetts 02110-2627 </w:t>
      </w:r>
    </w:p>
    <w:p>
      <w:pPr>
        <w:pStyle w:val="TextBody"/>
        <w:bidi w:val="0"/>
        <w:jc w:val="center"/>
        <w:rPr>
          <w:b/>
          <w:sz w:val="20"/>
        </w:rPr>
      </w:pPr>
      <w:r>
        <w:rPr>
          <w:b/>
          <w:sz w:val="20"/>
        </w:rPr>
        <w:t>Tel: (617) 603-8800</w:t>
      </w:r>
    </w:p>
    <w:p>
      <w:pPr>
        <w:pStyle w:val="TextBody"/>
        <w:bidi w:val="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jc w:val="center"/>
        <w:rPr/>
      </w:pPr>
      <w:r>
        <w:rPr/>
        <w:t> </w:t>
      </w:r>
    </w:p>
    <w:p>
      <w:pPr>
        <w:pStyle w:val="TextBody"/>
        <w:bidi w:val="0"/>
        <w:ind w:left="320" w:right="320" w:hanging="0"/>
        <w:jc w:val="left"/>
        <w:rPr>
          <w:sz w:val="20"/>
        </w:rPr>
      </w:pPr>
      <w:r>
        <w:rPr>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83"/>
        <w:jc w:val="left"/>
        <w:rPr/>
      </w:pPr>
      <w:r>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283"/>
        <w:jc w:val="left"/>
        <w:rPr/>
      </w:pPr>
      <w:r>
        <w:rPr/>
        <w:t> </w:t>
      </w:r>
    </w:p>
    <w:p>
      <w:pPr>
        <w:pStyle w:val="TextBody"/>
        <w:bidi w:val="0"/>
        <w:ind w:left="160" w:right="16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ind w:left="160" w:right="16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b/>
          <w:sz w:val="20"/>
        </w:rPr>
      </w:pPr>
      <w:r>
        <w:rPr>
          <w:b/>
          <w:sz w:val="20"/>
        </w:rPr>
        <w:t>EXPLANATORY NOTE AND INCORPORATION BY REFERENCE OF PRIOR REGISTRATION STATEMENTS</w:t>
      </w:r>
    </w:p>
    <w:p>
      <w:pPr>
        <w:pStyle w:val="TextBody"/>
        <w:bidi w:val="0"/>
        <w:spacing w:before="0" w:after="283"/>
        <w:jc w:val="left"/>
        <w:rPr/>
      </w:pPr>
      <w:r>
        <w:rPr/>
        <w:t> </w:t>
      </w:r>
    </w:p>
    <w:p>
      <w:pPr>
        <w:pStyle w:val="TextBody"/>
        <w:bidi w:val="0"/>
        <w:ind w:left="0" w:right="0" w:firstLine="441"/>
        <w:jc w:val="both"/>
        <w:rPr>
          <w:sz w:val="20"/>
        </w:rPr>
      </w:pPr>
      <w:r>
        <w:rPr>
          <w:sz w:val="20"/>
        </w:rPr>
        <w:t>This Registration Statement is filed by Harvard Bioscience, Inc. (the “Registrant”) for the purpose of registering, pursuant to General Instruction E to Form S-8: (i) 120,000 additional shares of the Registrant’s common stock, par value $0.01 per share (the “Common Stock”) under Amendment No. 6 to the Harvard Bioscience, Inc. Employee Stock Purchase Plan (as amended, the “ESPP”) and (ii) 400,000 additional shares of the Registrant’s Common Stock under the Amended and Restated 2021 Incentive Plan (as amended, the “2021 Plan”).</w:t>
      </w:r>
    </w:p>
    <w:p>
      <w:pPr>
        <w:pStyle w:val="TextBody"/>
        <w:bidi w:val="0"/>
        <w:ind w:left="0" w:right="0" w:firstLine="441"/>
        <w:jc w:val="both"/>
        <w:rPr/>
      </w:pPr>
      <w:r>
        <w:rPr/>
        <w:t> </w:t>
      </w:r>
    </w:p>
    <w:p>
      <w:pPr>
        <w:pStyle w:val="TextBody"/>
        <w:bidi w:val="0"/>
        <w:ind w:left="0" w:right="0" w:firstLine="441"/>
        <w:jc w:val="both"/>
        <w:rPr>
          <w:sz w:val="20"/>
        </w:rPr>
      </w:pPr>
      <w:r>
        <w:rPr>
          <w:sz w:val="20"/>
        </w:rPr>
        <w:t>On April 21, 2026, the Registrant filed with the Securities and Exchange Commission (the “Commission”) a definitive proxy statement that included proposals to, among other things, increase the number of shares available for issuance under the ESPP by 120,000 shares of Common Stock and increase the number of shares available for issuance under the 2021 Plan by 400,000 shares of Common Stock. The proposals to increase the numbers of shares available for issuance under the ESPP and 2021 Plan were approved by the Registrant’s stockholders on June 2, 2026. This Registration Statement registers the 120,000 additional shares of Common Stock available for issuance under the ESPP and 400,000 additional shares of Common Stock available for issuance under the 2021 Plan.</w:t>
      </w:r>
    </w:p>
    <w:p>
      <w:pPr>
        <w:pStyle w:val="TextBody"/>
        <w:bidi w:val="0"/>
        <w:ind w:left="0" w:right="0" w:firstLine="441"/>
        <w:jc w:val="both"/>
        <w:rPr/>
      </w:pPr>
      <w:r>
        <w:rPr/>
        <w:t> </w:t>
      </w:r>
    </w:p>
    <w:p>
      <w:pPr>
        <w:pStyle w:val="TextBody"/>
        <w:bidi w:val="0"/>
        <w:spacing w:before="0" w:after="283"/>
        <w:jc w:val="left"/>
        <w:rPr/>
      </w:pPr>
      <w:r>
        <w:rPr/>
        <w:t> </w:t>
      </w:r>
    </w:p>
    <w:p>
      <w:pPr>
        <w:pStyle w:val="TextBody"/>
        <w:bidi w:val="0"/>
        <w:ind w:left="0" w:right="0" w:firstLine="441"/>
        <w:jc w:val="both"/>
        <w:rPr>
          <w:sz w:val="20"/>
        </w:rPr>
      </w:pPr>
      <w:r>
        <w:rPr>
          <w:sz w:val="20"/>
        </w:rPr>
        <w:t>The additional 120,000 shares of Common Stock available for issuance under the ESPP and the additional 400,000 shares of Common Stock available for issuance under the 2021 Plan registered pursuant to this Registration Statement are the same class of shares as those included on registration statements on Form S-8, and post-effective amendments thereto, filed on January 17, 2001 (File No. 333-53848), June 15, 2001 (File No. 333-53848), June 7, 2013 (File No. 333-189175), June 5, 2017 (File No. 333-218497), May 30, 2019 (File No. 333-231825), May 19, 2021 (File No. 256295), and June 8, 2022 (File No. 333- 265487). The contents of all of these Registration Statements, including any amendments thereto or filings incorporated therein, are incorporated herein by reference, except as modified herein.</w:t>
      </w:r>
    </w:p>
    <w:p>
      <w:pPr>
        <w:pStyle w:val="TextBody"/>
        <w:bidi w:val="0"/>
        <w:spacing w:before="0" w:after="283"/>
        <w:jc w:val="left"/>
        <w:rPr/>
      </w:pPr>
      <w:r>
        <w:rPr/>
        <w:t> </w:t>
      </w:r>
    </w:p>
    <w:p>
      <w:pPr>
        <w:pStyle w:val="TextBody"/>
        <w:bidi w:val="0"/>
        <w:jc w:val="center"/>
        <w:rPr>
          <w:b/>
          <w:sz w:val="20"/>
        </w:rPr>
      </w:pPr>
      <w:r>
        <w:rPr>
          <w:b/>
          <w:sz w:val="20"/>
        </w:rPr>
        <w:t>PART II</w:t>
      </w:r>
    </w:p>
    <w:p>
      <w:pPr>
        <w:pStyle w:val="TextBody"/>
        <w:bidi w:val="0"/>
        <w:spacing w:before="0" w:after="283"/>
        <w:jc w:val="left"/>
        <w:rPr/>
      </w:pPr>
      <w:r>
        <w:rPr/>
        <w:t> </w:t>
      </w:r>
    </w:p>
    <w:p>
      <w:pPr>
        <w:pStyle w:val="TextBody"/>
        <w:bidi w:val="0"/>
        <w:jc w:val="center"/>
        <w:rPr>
          <w:b/>
          <w:sz w:val="20"/>
        </w:rPr>
      </w:pPr>
      <w:r>
        <w:rPr>
          <w:b/>
          <w:sz w:val="20"/>
        </w:rPr>
        <w:t>INFORMATION REQUIRED IN THE REGISTRATION STATEMENT</w:t>
      </w:r>
    </w:p>
    <w:p>
      <w:pPr>
        <w:pStyle w:val="TextBody"/>
        <w:bidi w:val="0"/>
        <w:spacing w:before="0" w:after="283"/>
        <w:jc w:val="left"/>
        <w:rPr/>
      </w:pPr>
      <w:r>
        <w:rPr/>
        <w:t> </w:t>
      </w:r>
    </w:p>
    <w:p>
      <w:pPr>
        <w:pStyle w:val="TextBody"/>
        <w:bidi w:val="0"/>
        <w:jc w:val="left"/>
        <w:rPr>
          <w:b/>
          <w:sz w:val="20"/>
        </w:rPr>
      </w:pPr>
      <w:r>
        <w:rPr>
          <w:b/>
          <w:sz w:val="20"/>
        </w:rPr>
        <w:t>Item 3. Incorporation of Documents by Reference.</w:t>
      </w:r>
    </w:p>
    <w:p>
      <w:pPr>
        <w:pStyle w:val="TextBody"/>
        <w:bidi w:val="0"/>
        <w:spacing w:before="0" w:after="283"/>
        <w:jc w:val="left"/>
        <w:rPr/>
      </w:pPr>
      <w:r>
        <w:rPr/>
        <w:t> </w:t>
      </w:r>
    </w:p>
    <w:p>
      <w:pPr>
        <w:pStyle w:val="TextBody"/>
        <w:bidi w:val="0"/>
        <w:ind w:left="0" w:right="0" w:firstLine="648"/>
        <w:jc w:val="both"/>
        <w:rPr>
          <w:sz w:val="20"/>
        </w:rPr>
      </w:pPr>
      <w:r>
        <w:rPr>
          <w:sz w:val="20"/>
        </w:rPr>
        <w:t>The Registrant is subject to the informational and reporting requirements of Sections 13(a), 14 and 15(d) of the Securities Exchange Act of 1934, as amended (the “Exchange Act”), and in accordance therewith files reports, proxy statements and other information with the Commission. The following documents, which are on file with the Commission, are hereby incorporated by reference in, and shall be deemed a part of, this Registration Statement (other than any such documents or portions thereof that are furnished under Item 2.02 or Item 7.01 of Form 8-K, unless otherwise indicated therein, including any exhibits included with such Items): </w:t>
      </w:r>
    </w:p>
    <w:p>
      <w:pPr>
        <w:pStyle w:val="TextBody"/>
        <w:bidi w:val="0"/>
        <w:jc w:val="left"/>
        <w:rPr>
          <w:color w:val="000000"/>
        </w:rPr>
      </w:pPr>
      <w:r>
        <w:rPr>
          <w:color w:val="000000"/>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color w:val="000000"/>
              </w:rPr>
            </w:pPr>
            <w:r>
              <w:rPr>
                <w:color w:val="000000"/>
              </w:rPr>
              <w:t>(a)</w:t>
            </w:r>
          </w:p>
        </w:tc>
        <w:tc>
          <w:tcPr>
            <w:tcW w:w="9912" w:type="dxa"/>
            <w:tcBorders/>
            <w:vAlign w:val="center"/>
          </w:tcPr>
          <w:p>
            <w:pPr>
              <w:pStyle w:val="TableContents"/>
              <w:bidi w:val="0"/>
              <w:spacing w:before="0" w:after="283"/>
              <w:jc w:val="left"/>
              <w:rPr/>
            </w:pPr>
            <w:r>
              <w:rPr>
                <w:color w:val="000000"/>
              </w:rPr>
              <w:t xml:space="preserve">The Registrant’s Annual Report on Form 10-K for the year ended December 31, 2025 filed with the Commission on </w:t>
            </w:r>
            <w:hyperlink r:id="rId2">
              <w:r>
                <w:rPr>
                  <w:rStyle w:val="InternetLink"/>
                  <w:color w:val="000080"/>
                </w:rPr>
                <w:t>March 13, 2026</w:t>
              </w:r>
            </w:hyperlink>
            <w:r>
              <w:rPr>
                <w:color w:val="000000"/>
              </w:rPr>
              <w:t>;</w:t>
            </w:r>
          </w:p>
        </w:tc>
      </w:tr>
    </w:tbl>
    <w:p>
      <w:pPr>
        <w:pStyle w:val="TextBody"/>
        <w:bidi w:val="0"/>
        <w:jc w:val="left"/>
        <w:rPr>
          <w:color w:val="000000"/>
        </w:rPr>
      </w:pPr>
      <w:r>
        <w:rPr>
          <w:color w:val="000000"/>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color w:val="000000"/>
              </w:rPr>
            </w:pPr>
            <w:r>
              <w:rPr>
                <w:color w:val="000000"/>
              </w:rPr>
              <w:t>(b)</w:t>
            </w:r>
          </w:p>
        </w:tc>
        <w:tc>
          <w:tcPr>
            <w:tcW w:w="9882" w:type="dxa"/>
            <w:tcBorders/>
            <w:vAlign w:val="center"/>
          </w:tcPr>
          <w:p>
            <w:pPr>
              <w:pStyle w:val="TableContents"/>
              <w:bidi w:val="0"/>
              <w:spacing w:before="0" w:after="283"/>
              <w:jc w:val="left"/>
              <w:rPr/>
            </w:pPr>
            <w:r>
              <w:rPr>
                <w:color w:val="000000"/>
              </w:rPr>
              <w:t xml:space="preserve">The Registrant’s Definitive Proxy Statement on Schedule 14A filed with the Commission on </w:t>
            </w:r>
            <w:hyperlink r:id="rId3">
              <w:r>
                <w:rPr>
                  <w:rStyle w:val="InternetLink"/>
                  <w:color w:val="000080"/>
                </w:rPr>
                <w:t>April 21, 2026</w:t>
              </w:r>
            </w:hyperlink>
            <w:r>
              <w:rPr>
                <w:color w:val="000000"/>
              </w:rPr>
              <w:t>;</w:t>
            </w:r>
          </w:p>
        </w:tc>
      </w:tr>
    </w:tbl>
    <w:p>
      <w:pPr>
        <w:pStyle w:val="TextBody"/>
        <w:bidi w:val="0"/>
        <w:jc w:val="left"/>
        <w:rPr>
          <w:color w:val="000000"/>
        </w:rPr>
      </w:pPr>
      <w:r>
        <w:rPr>
          <w:color w:val="000000"/>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color w:val="000000"/>
              </w:rPr>
            </w:pPr>
            <w:r>
              <w:rPr>
                <w:color w:val="000000"/>
              </w:rPr>
              <w:t>(c)</w:t>
            </w:r>
          </w:p>
        </w:tc>
        <w:tc>
          <w:tcPr>
            <w:tcW w:w="9911" w:type="dxa"/>
            <w:tcBorders/>
            <w:vAlign w:val="center"/>
          </w:tcPr>
          <w:p>
            <w:pPr>
              <w:pStyle w:val="TableContents"/>
              <w:bidi w:val="0"/>
              <w:spacing w:before="0" w:after="283"/>
              <w:jc w:val="left"/>
              <w:rPr/>
            </w:pPr>
            <w:r>
              <w:rPr>
                <w:color w:val="000000"/>
              </w:rPr>
              <w:t xml:space="preserve">The Registrant’s Quarterly Report on Form 10-Q for the quarter ended March 31, 2026 filed with the Commission on </w:t>
            </w:r>
            <w:hyperlink r:id="rId4">
              <w:r>
                <w:rPr>
                  <w:rStyle w:val="InternetLink"/>
                  <w:color w:val="000080"/>
                </w:rPr>
                <w:t>May 12, 2026</w:t>
              </w:r>
            </w:hyperlink>
            <w:r>
              <w:rPr>
                <w:color w:val="000000"/>
              </w:rPr>
              <w:t>;</w:t>
            </w:r>
          </w:p>
        </w:tc>
      </w:tr>
    </w:tbl>
    <w:p>
      <w:pPr>
        <w:pStyle w:val="TextBody"/>
        <w:bidi w:val="0"/>
        <w:ind w:left="1160" w:right="0" w:hanging="0"/>
        <w:jc w:val="left"/>
        <w:rPr>
          <w:color w:val="000000"/>
        </w:rPr>
      </w:pPr>
      <w:r>
        <w:rPr>
          <w:color w:val="000000"/>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color w:val="000000"/>
              </w:rPr>
            </w:pPr>
            <w:r>
              <w:rPr>
                <w:color w:val="000000"/>
              </w:rPr>
              <w:t>(d)</w:t>
            </w:r>
          </w:p>
        </w:tc>
        <w:tc>
          <w:tcPr>
            <w:tcW w:w="9914" w:type="dxa"/>
            <w:tcBorders/>
            <w:vAlign w:val="center"/>
          </w:tcPr>
          <w:p>
            <w:pPr>
              <w:pStyle w:val="TableContents"/>
              <w:bidi w:val="0"/>
              <w:spacing w:before="0" w:after="283"/>
              <w:jc w:val="left"/>
              <w:rPr/>
            </w:pPr>
            <w:r>
              <w:rPr>
                <w:color w:val="000000"/>
              </w:rPr>
              <w:t xml:space="preserve">The Registrant’s Current Reports on Form 8-K filed with the Commission on </w:t>
            </w:r>
            <w:hyperlink r:id="rId5">
              <w:r>
                <w:rPr>
                  <w:rStyle w:val="InternetLink"/>
                  <w:color w:val="000080"/>
                </w:rPr>
                <w:t>January 20, 2026</w:t>
              </w:r>
            </w:hyperlink>
            <w:r>
              <w:rPr>
                <w:color w:val="000000"/>
              </w:rPr>
              <w:t xml:space="preserve">, </w:t>
            </w:r>
            <w:hyperlink r:id="rId6">
              <w:r>
                <w:rPr>
                  <w:rStyle w:val="InternetLink"/>
                  <w:color w:val="000080"/>
                </w:rPr>
                <w:t>January 29, 2026</w:t>
              </w:r>
            </w:hyperlink>
            <w:r>
              <w:rPr>
                <w:color w:val="000000"/>
              </w:rPr>
              <w:t xml:space="preserve">, </w:t>
            </w:r>
            <w:hyperlink r:id="rId7">
              <w:r>
                <w:rPr>
                  <w:rStyle w:val="InternetLink"/>
                  <w:color w:val="000080"/>
                </w:rPr>
                <w:t>March 6, 2026</w:t>
              </w:r>
            </w:hyperlink>
            <w:r>
              <w:rPr>
                <w:color w:val="000000"/>
              </w:rPr>
              <w:t xml:space="preserve">, </w:t>
            </w:r>
            <w:hyperlink r:id="rId8">
              <w:r>
                <w:rPr>
                  <w:rStyle w:val="InternetLink"/>
                  <w:color w:val="000080"/>
                </w:rPr>
                <w:t>March 10, 2026</w:t>
              </w:r>
            </w:hyperlink>
            <w:r>
              <w:rPr>
                <w:color w:val="000000"/>
              </w:rPr>
              <w:t xml:space="preserve">, </w:t>
            </w:r>
            <w:hyperlink r:id="rId9">
              <w:r>
                <w:rPr>
                  <w:rStyle w:val="InternetLink"/>
                  <w:color w:val="000080"/>
                </w:rPr>
                <w:t>March 12, 2026</w:t>
              </w:r>
            </w:hyperlink>
            <w:r>
              <w:rPr>
                <w:color w:val="000000"/>
              </w:rPr>
              <w:t xml:space="preserve">, and </w:t>
            </w:r>
            <w:hyperlink r:id="rId10">
              <w:r>
                <w:rPr>
                  <w:rStyle w:val="InternetLink"/>
                  <w:color w:val="000080"/>
                </w:rPr>
                <w:t>June 2, 2026</w:t>
              </w:r>
            </w:hyperlink>
            <w:r>
              <w:rPr>
                <w:color w:val="000000"/>
              </w:rPr>
              <w:t>; and</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color w:val="000000"/>
              </w:rPr>
            </w:pPr>
            <w:r>
              <w:rPr>
                <w:color w:val="000000"/>
              </w:rPr>
              <w:t>(e)</w:t>
            </w:r>
          </w:p>
        </w:tc>
        <w:tc>
          <w:tcPr>
            <w:tcW w:w="9943" w:type="dxa"/>
            <w:tcBorders/>
            <w:vAlign w:val="center"/>
          </w:tcPr>
          <w:p>
            <w:pPr>
              <w:pStyle w:val="TableContents"/>
              <w:bidi w:val="0"/>
              <w:spacing w:before="0" w:after="283"/>
              <w:jc w:val="left"/>
              <w:rPr>
                <w:color w:val="000000"/>
              </w:rPr>
            </w:pPr>
            <w:r>
              <w:rPr>
                <w:color w:val="000000"/>
              </w:rPr>
              <w:t>The description of the Registrant’s Common Stock contained in the Registrant’s registration statement on Form 8-A (File No. 000-31923) filed with the Commission on November 9, 2000 under the Exchange Act, including any amendment or report filed for the purpose of updating such description.</w:t>
            </w:r>
          </w:p>
        </w:tc>
      </w:tr>
    </w:tbl>
    <w:p>
      <w:pPr>
        <w:pStyle w:val="TextBody"/>
        <w:bidi w:val="0"/>
        <w:ind w:left="0" w:right="0" w:firstLine="656"/>
        <w:jc w:val="left"/>
        <w:rPr/>
      </w:pPr>
      <w:r>
        <w:rPr/>
        <w:t> </w:t>
      </w:r>
    </w:p>
    <w:p>
      <w:pPr>
        <w:pStyle w:val="TextBody"/>
        <w:bidi w:val="0"/>
        <w:ind w:left="0" w:right="0" w:firstLine="648"/>
        <w:jc w:val="both"/>
        <w:rPr>
          <w:sz w:val="20"/>
        </w:rPr>
      </w:pPr>
      <w:r>
        <w:rPr>
          <w:sz w:val="20"/>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The Registrant is not, however, incorporating by reference any documents or portions thereof, whether specifically listed above or filed in the future, that are not deemed “filed” with the Commission, including any information furnished pursuant to Items 2.02 or 7.01 of Form 8-K or related exhibits furnished pursuant to Item 9.01 of Form 8-K.</w:t>
      </w:r>
    </w:p>
    <w:p>
      <w:pPr>
        <w:pStyle w:val="TextBody"/>
        <w:bidi w:val="0"/>
        <w:spacing w:before="0" w:after="283"/>
        <w:jc w:val="left"/>
        <w:rPr/>
      </w:pPr>
      <w:r>
        <w:rPr/>
        <w:t> </w:t>
      </w:r>
    </w:p>
    <w:p>
      <w:pPr>
        <w:pStyle w:val="TextBody"/>
        <w:bidi w:val="0"/>
        <w:ind w:left="0" w:right="0" w:firstLine="648"/>
        <w:jc w:val="both"/>
        <w:rPr>
          <w:sz w:val="20"/>
        </w:rPr>
      </w:pPr>
      <w:r>
        <w:rPr>
          <w:sz w:val="20"/>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 Under no circumstances will any information furnished under Items 2.02 or 7.01 of Form 8-K be deemed incorporated by reference unless such Current Report on Form 8-K expressly provides to the contrary.</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b/>
          <w:sz w:val="20"/>
        </w:rPr>
      </w:pPr>
      <w:r>
        <w:rPr>
          <w:b/>
          <w:sz w:val="20"/>
        </w:rPr>
        <w:t>EXHIBIT INDEX</w:t>
      </w:r>
    </w:p>
    <w:p>
      <w:pPr>
        <w:pStyle w:val="TextBody"/>
        <w:bidi w:val="0"/>
        <w:spacing w:before="0" w:after="283"/>
        <w:jc w:val="left"/>
        <w:rPr/>
      </w:pPr>
      <w:r>
        <w:rPr/>
        <w:t> </w:t>
      </w:r>
    </w:p>
    <w:tbl>
      <w:tblPr>
        <w:tblW w:w="9925" w:type="dxa"/>
        <w:jc w:val="left"/>
        <w:tblInd w:w="0" w:type="dxa"/>
        <w:tblLayout w:type="fixed"/>
        <w:tblCellMar>
          <w:top w:w="0" w:type="dxa"/>
          <w:left w:w="0" w:type="dxa"/>
          <w:bottom w:w="0" w:type="dxa"/>
          <w:right w:w="0" w:type="dxa"/>
        </w:tblCellMar>
      </w:tblPr>
      <w:tblGrid>
        <w:gridCol w:w="890"/>
        <w:gridCol w:w="9035"/>
      </w:tblGrid>
      <w:tr>
        <w:trPr/>
        <w:tc>
          <w:tcPr>
            <w:tcW w:w="890" w:type="dxa"/>
            <w:tcBorders/>
            <w:vAlign w:val="center"/>
          </w:tcPr>
          <w:p>
            <w:pPr>
              <w:pStyle w:val="TableContents"/>
              <w:bidi w:val="0"/>
              <w:jc w:val="left"/>
              <w:rPr>
                <w:b/>
              </w:rPr>
            </w:pPr>
            <w:r>
              <w:rPr>
                <w:b/>
              </w:rPr>
              <w:t>Exhibit</w:t>
            </w:r>
          </w:p>
          <w:p>
            <w:pPr>
              <w:pStyle w:val="TableContents"/>
              <w:bidi w:val="0"/>
              <w:spacing w:before="0" w:after="283"/>
              <w:jc w:val="left"/>
              <w:rPr>
                <w:b/>
              </w:rPr>
            </w:pPr>
            <w:r>
              <w:rPr>
                <w:b/>
              </w:rPr>
              <w:t>Number</w:t>
            </w:r>
          </w:p>
        </w:tc>
        <w:tc>
          <w:tcPr>
            <w:tcW w:w="9035" w:type="dxa"/>
            <w:tcBorders/>
            <w:vAlign w:val="center"/>
          </w:tcPr>
          <w:p>
            <w:pPr>
              <w:pStyle w:val="TableContents"/>
              <w:bidi w:val="0"/>
              <w:spacing w:before="0" w:after="283"/>
              <w:jc w:val="left"/>
              <w:rPr>
                <w:b/>
              </w:rPr>
            </w:pPr>
            <w:r>
              <w:rPr>
                <w:b/>
              </w:rPr>
              <w:t>Description</w:t>
            </w:r>
          </w:p>
        </w:tc>
      </w:tr>
      <w:tr>
        <w:trPr/>
        <w:tc>
          <w:tcPr>
            <w:tcW w:w="89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pPr>
            <w:r>
              <w:rPr>
                <w:sz w:val="20"/>
              </w:rPr>
              <w:t>4.1</w:t>
            </w:r>
            <w:r>
              <w:rPr>
                <w:position w:val="8"/>
                <w:sz w:val="19"/>
              </w:rPr>
              <w:t>(1)</w:t>
            </w:r>
          </w:p>
        </w:tc>
        <w:tc>
          <w:tcPr>
            <w:tcW w:w="9035" w:type="dxa"/>
            <w:tcBorders/>
            <w:vAlign w:val="center"/>
          </w:tcPr>
          <w:p>
            <w:pPr>
              <w:pStyle w:val="TableContents"/>
              <w:bidi w:val="0"/>
              <w:spacing w:before="0" w:after="283"/>
              <w:jc w:val="left"/>
              <w:rPr/>
            </w:pPr>
            <w:hyperlink r:id="rId11">
              <w:r>
                <w:rPr>
                  <w:rStyle w:val="InternetLink"/>
                </w:rPr>
                <w:t>Specimen certificate for shares of Common Stock, $0.01 par value, of Harvard Bioscience, Inc.</w:t>
              </w:r>
            </w:hyperlink>
          </w:p>
        </w:tc>
      </w:tr>
      <w:tr>
        <w:trPr/>
        <w:tc>
          <w:tcPr>
            <w:tcW w:w="890" w:type="dxa"/>
            <w:tcBorders/>
            <w:vAlign w:val="center"/>
          </w:tcPr>
          <w:p>
            <w:pPr>
              <w:pStyle w:val="TableContents"/>
              <w:bidi w:val="0"/>
              <w:spacing w:before="0" w:after="283"/>
              <w:jc w:val="left"/>
              <w:rPr/>
            </w:pPr>
            <w:r>
              <w:rPr>
                <w:sz w:val="20"/>
              </w:rPr>
              <w:t>4.2</w:t>
            </w:r>
            <w:r>
              <w:rPr>
                <w:position w:val="8"/>
                <w:sz w:val="19"/>
              </w:rPr>
              <w:t>(2)</w:t>
            </w:r>
          </w:p>
        </w:tc>
        <w:tc>
          <w:tcPr>
            <w:tcW w:w="9035" w:type="dxa"/>
            <w:tcBorders/>
            <w:vAlign w:val="center"/>
          </w:tcPr>
          <w:p>
            <w:pPr>
              <w:pStyle w:val="TableContents"/>
              <w:bidi w:val="0"/>
              <w:spacing w:before="0" w:after="283"/>
              <w:jc w:val="left"/>
              <w:rPr/>
            </w:pPr>
            <w:hyperlink r:id="rId12">
              <w:r>
                <w:rPr>
                  <w:rStyle w:val="InternetLink"/>
                </w:rPr>
                <w:t>Harvard Bioscience, Inc. Employee Stock Purchase Plan, as amended.</w:t>
              </w:r>
            </w:hyperlink>
          </w:p>
        </w:tc>
      </w:tr>
      <w:tr>
        <w:trPr/>
        <w:tc>
          <w:tcPr>
            <w:tcW w:w="890" w:type="dxa"/>
            <w:tcBorders/>
            <w:vAlign w:val="center"/>
          </w:tcPr>
          <w:p>
            <w:pPr>
              <w:pStyle w:val="TableContents"/>
              <w:bidi w:val="0"/>
              <w:spacing w:before="0" w:after="283"/>
              <w:jc w:val="left"/>
              <w:rPr/>
            </w:pPr>
            <w:r>
              <w:rPr>
                <w:sz w:val="20"/>
              </w:rPr>
              <w:t>4.3</w:t>
            </w:r>
            <w:r>
              <w:rPr>
                <w:position w:val="8"/>
                <w:sz w:val="19"/>
              </w:rPr>
              <w:t>(3)</w:t>
            </w:r>
          </w:p>
        </w:tc>
        <w:tc>
          <w:tcPr>
            <w:tcW w:w="9035" w:type="dxa"/>
            <w:tcBorders/>
            <w:vAlign w:val="center"/>
          </w:tcPr>
          <w:p>
            <w:pPr>
              <w:pStyle w:val="TableContents"/>
              <w:bidi w:val="0"/>
              <w:spacing w:before="0" w:after="283"/>
              <w:jc w:val="left"/>
              <w:rPr/>
            </w:pPr>
            <w:hyperlink r:id="rId13">
              <w:r>
                <w:rPr>
                  <w:rStyle w:val="InternetLink"/>
                </w:rPr>
                <w:t>Amended and Restated 2021 Incentive Plan</w:t>
              </w:r>
            </w:hyperlink>
          </w:p>
        </w:tc>
      </w:tr>
      <w:tr>
        <w:trPr/>
        <w:tc>
          <w:tcPr>
            <w:tcW w:w="890" w:type="dxa"/>
            <w:tcBorders/>
            <w:vAlign w:val="center"/>
          </w:tcPr>
          <w:p>
            <w:pPr>
              <w:pStyle w:val="TableContents"/>
              <w:bidi w:val="0"/>
              <w:spacing w:before="0" w:after="283"/>
              <w:jc w:val="left"/>
              <w:rPr/>
            </w:pPr>
            <w:r>
              <w:rPr/>
              <w:t>5.1*</w:t>
            </w:r>
          </w:p>
        </w:tc>
        <w:tc>
          <w:tcPr>
            <w:tcW w:w="9035" w:type="dxa"/>
            <w:tcBorders/>
            <w:vAlign w:val="center"/>
          </w:tcPr>
          <w:p>
            <w:pPr>
              <w:pStyle w:val="TableContents"/>
              <w:bidi w:val="0"/>
              <w:spacing w:before="0" w:after="283"/>
              <w:jc w:val="left"/>
              <w:rPr/>
            </w:pPr>
            <w:hyperlink w:anchor="exh_51.htm">
              <w:r>
                <w:rPr>
                  <w:rStyle w:val="InternetLink"/>
                </w:rPr>
                <w:t>Opinion of Covington &amp; Burling LLP.</w:t>
              </w:r>
            </w:hyperlink>
          </w:p>
        </w:tc>
      </w:tr>
      <w:tr>
        <w:trPr/>
        <w:tc>
          <w:tcPr>
            <w:tcW w:w="890" w:type="dxa"/>
            <w:tcBorders/>
            <w:vAlign w:val="center"/>
          </w:tcPr>
          <w:p>
            <w:pPr>
              <w:pStyle w:val="TableContents"/>
              <w:bidi w:val="0"/>
              <w:spacing w:before="0" w:after="283"/>
              <w:jc w:val="left"/>
              <w:rPr/>
            </w:pPr>
            <w:r>
              <w:rPr/>
              <w:t>23.1*</w:t>
            </w:r>
          </w:p>
        </w:tc>
        <w:tc>
          <w:tcPr>
            <w:tcW w:w="9035" w:type="dxa"/>
            <w:tcBorders/>
            <w:vAlign w:val="center"/>
          </w:tcPr>
          <w:p>
            <w:pPr>
              <w:pStyle w:val="TableContents"/>
              <w:bidi w:val="0"/>
              <w:spacing w:before="0" w:after="283"/>
              <w:jc w:val="left"/>
              <w:rPr/>
            </w:pPr>
            <w:hyperlink w:anchor="exh_231.htm">
              <w:r>
                <w:rPr>
                  <w:rStyle w:val="InternetLink"/>
                </w:rPr>
                <w:t>Consent of Grant Thornton LLP.</w:t>
              </w:r>
            </w:hyperlink>
          </w:p>
        </w:tc>
      </w:tr>
      <w:tr>
        <w:trPr/>
        <w:tc>
          <w:tcPr>
            <w:tcW w:w="890" w:type="dxa"/>
            <w:tcBorders/>
            <w:vAlign w:val="center"/>
          </w:tcPr>
          <w:p>
            <w:pPr>
              <w:pStyle w:val="TableContents"/>
              <w:bidi w:val="0"/>
              <w:spacing w:before="0" w:after="283"/>
              <w:jc w:val="left"/>
              <w:rPr/>
            </w:pPr>
            <w:r>
              <w:rPr/>
              <w:t>23.2*</w:t>
            </w:r>
          </w:p>
        </w:tc>
        <w:tc>
          <w:tcPr>
            <w:tcW w:w="9035" w:type="dxa"/>
            <w:tcBorders/>
            <w:vAlign w:val="center"/>
          </w:tcPr>
          <w:p>
            <w:pPr>
              <w:pStyle w:val="TableContents"/>
              <w:bidi w:val="0"/>
              <w:spacing w:before="0" w:after="283"/>
              <w:jc w:val="left"/>
              <w:rPr/>
            </w:pPr>
            <w:hyperlink w:anchor="exh_51.htm">
              <w:r>
                <w:rPr>
                  <w:rStyle w:val="InternetLink"/>
                </w:rPr>
                <w:t>Consent of Covington &amp; Burling LLP (contained in Exhibit 5.1).</w:t>
              </w:r>
            </w:hyperlink>
          </w:p>
        </w:tc>
      </w:tr>
      <w:tr>
        <w:trPr/>
        <w:tc>
          <w:tcPr>
            <w:tcW w:w="890" w:type="dxa"/>
            <w:tcBorders/>
            <w:vAlign w:val="center"/>
          </w:tcPr>
          <w:p>
            <w:pPr>
              <w:pStyle w:val="TableContents"/>
              <w:bidi w:val="0"/>
              <w:spacing w:before="0" w:after="283"/>
              <w:jc w:val="left"/>
              <w:rPr/>
            </w:pPr>
            <w:r>
              <w:rPr/>
              <w:t>24.1*</w:t>
            </w:r>
          </w:p>
        </w:tc>
        <w:tc>
          <w:tcPr>
            <w:tcW w:w="9035" w:type="dxa"/>
            <w:tcBorders/>
            <w:vAlign w:val="center"/>
          </w:tcPr>
          <w:p>
            <w:pPr>
              <w:pStyle w:val="TableContents"/>
              <w:bidi w:val="0"/>
              <w:spacing w:before="0" w:after="283"/>
              <w:jc w:val="left"/>
              <w:rPr/>
            </w:pPr>
            <w:hyperlink w:anchor="a_001">
              <w:r>
                <w:rPr>
                  <w:rStyle w:val="InternetLink"/>
                </w:rPr>
                <w:t>Power of attorney (included on the signature page to this Registration Statement).</w:t>
              </w:r>
            </w:hyperlink>
          </w:p>
        </w:tc>
      </w:tr>
      <w:tr>
        <w:trPr/>
        <w:tc>
          <w:tcPr>
            <w:tcW w:w="890" w:type="dxa"/>
            <w:tcBorders/>
            <w:vAlign w:val="center"/>
          </w:tcPr>
          <w:p>
            <w:pPr>
              <w:pStyle w:val="TableContents"/>
              <w:bidi w:val="0"/>
              <w:spacing w:before="0" w:after="283"/>
              <w:jc w:val="left"/>
              <w:rPr/>
            </w:pPr>
            <w:r>
              <w:rPr/>
              <w:t>107*</w:t>
            </w:r>
          </w:p>
        </w:tc>
        <w:tc>
          <w:tcPr>
            <w:tcW w:w="9035" w:type="dxa"/>
            <w:tcBorders/>
            <w:vAlign w:val="center"/>
          </w:tcPr>
          <w:p>
            <w:pPr>
              <w:pStyle w:val="TableContents"/>
              <w:bidi w:val="0"/>
              <w:spacing w:before="0" w:after="283"/>
              <w:jc w:val="left"/>
              <w:rPr/>
            </w:pPr>
            <w:hyperlink w:anchor="exh_107.htm">
              <w:r>
                <w:rPr>
                  <w:rStyle w:val="InternetLink"/>
                </w:rPr>
                <w:t>Filing Fee Table</w:t>
              </w:r>
            </w:hyperlink>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36"/>
        <w:gridCol w:w="872"/>
        <w:gridCol w:w="9097"/>
      </w:tblGrid>
      <w:tr>
        <w:trPr/>
        <w:tc>
          <w:tcPr>
            <w:tcW w:w="23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pPr>
            <w:r>
              <w:rPr/>
              <w:t>*</w:t>
            </w:r>
          </w:p>
        </w:tc>
        <w:tc>
          <w:tcPr>
            <w:tcW w:w="9097" w:type="dxa"/>
            <w:tcBorders/>
            <w:vAlign w:val="center"/>
          </w:tcPr>
          <w:p>
            <w:pPr>
              <w:pStyle w:val="TableContents"/>
              <w:bidi w:val="0"/>
              <w:spacing w:before="0" w:after="283"/>
              <w:jc w:val="left"/>
              <w:rPr/>
            </w:pPr>
            <w:r>
              <w:rPr/>
              <w:t>Filed herewith.</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osition w:val="8"/>
                <w:sz w:val="19"/>
              </w:rPr>
            </w:pPr>
            <w:r>
              <w:rPr>
                <w:position w:val="8"/>
                <w:sz w:val="19"/>
              </w:rPr>
              <w:t>(1)</w:t>
            </w:r>
          </w:p>
        </w:tc>
        <w:tc>
          <w:tcPr>
            <w:tcW w:w="9943" w:type="dxa"/>
            <w:tcBorders/>
            <w:vAlign w:val="center"/>
          </w:tcPr>
          <w:p>
            <w:pPr>
              <w:pStyle w:val="TableContents"/>
              <w:bidi w:val="0"/>
              <w:spacing w:before="0" w:after="283"/>
              <w:jc w:val="left"/>
              <w:rPr>
                <w:sz w:val="20"/>
              </w:rPr>
            </w:pPr>
            <w:r>
              <w:rPr>
                <w:sz w:val="20"/>
              </w:rPr>
              <w:t>Previously filed as an exhibit to the Company’s Registration Statement on Form S-1/A (File No. 333-45996) (filed on November 9, 2000) and incorporated by reference thereto.</w:t>
            </w:r>
          </w:p>
        </w:tc>
      </w:tr>
    </w:tbl>
    <w:p>
      <w:pPr>
        <w:pStyle w:val="TextBody"/>
        <w:bidi w:val="0"/>
        <w:jc w:val="left"/>
        <w:rPr>
          <w:position w:val="8"/>
          <w:sz w:val="19"/>
        </w:rPr>
      </w:pPr>
      <w:r>
        <w:rPr>
          <w:position w:val="8"/>
          <w:sz w:val="19"/>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osition w:val="8"/>
                <w:sz w:val="19"/>
              </w:rPr>
            </w:pPr>
            <w:r>
              <w:rPr>
                <w:position w:val="8"/>
                <w:sz w:val="19"/>
              </w:rPr>
              <w:t>(2)</w:t>
            </w:r>
          </w:p>
        </w:tc>
        <w:tc>
          <w:tcPr>
            <w:tcW w:w="9931" w:type="dxa"/>
            <w:tcBorders/>
            <w:vAlign w:val="center"/>
          </w:tcPr>
          <w:p>
            <w:pPr>
              <w:pStyle w:val="TableContents"/>
              <w:bidi w:val="0"/>
              <w:spacing w:before="0" w:after="283"/>
              <w:jc w:val="left"/>
              <w:rPr>
                <w:sz w:val="20"/>
              </w:rPr>
            </w:pPr>
            <w:r>
              <w:rPr>
                <w:sz w:val="20"/>
              </w:rPr>
              <w:t>Previously filed as an exhibit to the Company’s Current Report on Form 8-K (filed on June 2, 2026) and incorporated by reference thereto.</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osition w:val="8"/>
                <w:sz w:val="19"/>
              </w:rPr>
            </w:pPr>
            <w:r>
              <w:rPr>
                <w:position w:val="8"/>
                <w:sz w:val="19"/>
              </w:rPr>
              <w:t>(3)</w:t>
            </w:r>
          </w:p>
        </w:tc>
        <w:tc>
          <w:tcPr>
            <w:tcW w:w="9928" w:type="dxa"/>
            <w:tcBorders/>
            <w:vAlign w:val="center"/>
          </w:tcPr>
          <w:p>
            <w:pPr>
              <w:pStyle w:val="TableContents"/>
              <w:bidi w:val="0"/>
              <w:spacing w:before="0" w:after="283"/>
              <w:jc w:val="left"/>
              <w:rPr>
                <w:sz w:val="20"/>
              </w:rPr>
            </w:pPr>
            <w:r>
              <w:rPr>
                <w:sz w:val="20"/>
              </w:rPr>
              <w:t>Previously filed as Annex B to the Proxy Statement on Schedule 14A (filed on April 21, 2026) and incorporated by reference thereto.</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b/>
          <w:sz w:val="20"/>
        </w:rPr>
      </w:pPr>
      <w:r>
        <w:rPr>
          <w:b/>
          <w:sz w:val="20"/>
        </w:rPr>
        <w:t>SIGNATURES</w:t>
      </w:r>
    </w:p>
    <w:p>
      <w:pPr>
        <w:pStyle w:val="TextBody"/>
        <w:bidi w:val="0"/>
        <w:spacing w:before="0" w:after="283"/>
        <w:jc w:val="left"/>
        <w:rPr/>
      </w:pPr>
      <w:r>
        <w:rPr/>
        <w:t> </w:t>
      </w:r>
    </w:p>
    <w:p>
      <w:pPr>
        <w:pStyle w:val="TextBody"/>
        <w:bidi w:val="0"/>
        <w:ind w:left="0" w:right="0" w:firstLine="648"/>
        <w:jc w:val="both"/>
        <w:rPr>
          <w:sz w:val="20"/>
        </w:rPr>
      </w:pPr>
      <w:r>
        <w:rPr>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 of Holliston, Massachusetts, on this 10</w:t>
      </w:r>
      <w:r>
        <w:rPr>
          <w:position w:val="7"/>
          <w:sz w:val="16"/>
          <w:sz w:val="20"/>
        </w:rPr>
        <w:t>th</w:t>
      </w:r>
      <w:r>
        <w:rPr>
          <w:sz w:val="20"/>
        </w:rPr>
        <w:t xml:space="preserve"> day of June, 2026.</w:t>
      </w:r>
    </w:p>
    <w:p>
      <w:pPr>
        <w:pStyle w:val="TextBody"/>
        <w:bidi w:val="0"/>
        <w:spacing w:before="0" w:after="283"/>
        <w:jc w:val="left"/>
        <w:rPr/>
      </w:pPr>
      <w:r>
        <w:rPr/>
        <w:t> </w:t>
      </w:r>
    </w:p>
    <w:tbl>
      <w:tblPr>
        <w:tblW w:w="3439" w:type="dxa"/>
        <w:jc w:val="left"/>
        <w:tblInd w:w="0" w:type="dxa"/>
        <w:tblLayout w:type="fixed"/>
        <w:tblCellMar>
          <w:top w:w="0" w:type="dxa"/>
          <w:left w:w="0" w:type="dxa"/>
          <w:bottom w:w="0" w:type="dxa"/>
          <w:right w:w="0" w:type="dxa"/>
        </w:tblCellMar>
      </w:tblPr>
      <w:tblGrid>
        <w:gridCol w:w="75"/>
        <w:gridCol w:w="334"/>
        <w:gridCol w:w="3030"/>
      </w:tblGrid>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pPr>
            <w:r>
              <w:rPr/>
              <w:t>HARVARD BIOSCIENCE, INC.</w:t>
            </w:r>
          </w:p>
        </w:tc>
      </w:tr>
      <w:tr>
        <w:trPr/>
        <w:tc>
          <w:tcPr>
            <w:tcW w:w="75"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 </w:t>
            </w:r>
          </w:p>
        </w:tc>
        <w:tc>
          <w:tcPr>
            <w:tcW w:w="3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sz w:val="20"/>
              </w:rPr>
            </w:pPr>
            <w:r>
              <w:rPr>
                <w:sz w:val="20"/>
              </w:rPr>
              <w:t>By:</w:t>
            </w:r>
          </w:p>
        </w:tc>
        <w:tc>
          <w:tcPr>
            <w:tcW w:w="303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JOHN DUKE</w:t>
            </w:r>
          </w:p>
        </w:tc>
      </w:tr>
      <w:tr>
        <w:trPr/>
        <w:tc>
          <w:tcPr>
            <w:tcW w:w="75"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 </w:t>
            </w:r>
          </w:p>
        </w:tc>
        <w:tc>
          <w:tcPr>
            <w:tcW w:w="3030" w:type="dxa"/>
            <w:tcBorders/>
            <w:vAlign w:val="center"/>
          </w:tcPr>
          <w:p>
            <w:pPr>
              <w:pStyle w:val="TableContents"/>
              <w:bidi w:val="0"/>
              <w:spacing w:before="0" w:after="283"/>
              <w:jc w:val="left"/>
              <w:rPr>
                <w:i/>
                <w:sz w:val="20"/>
              </w:rPr>
            </w:pPr>
            <w:r>
              <w:rPr>
                <w:i/>
                <w:sz w:val="20"/>
              </w:rPr>
              <w:t>John Duke, Chief Executive Officer</w:t>
            </w:r>
          </w:p>
        </w:tc>
      </w:tr>
    </w:tbl>
    <w:p>
      <w:pPr>
        <w:pStyle w:val="TextBody"/>
        <w:bidi w:val="0"/>
        <w:spacing w:before="0" w:after="283"/>
        <w:jc w:val="left"/>
        <w:rPr/>
      </w:pPr>
      <w:r>
        <w:rPr/>
        <w:t> </w:t>
      </w:r>
    </w:p>
    <w:p>
      <w:pPr>
        <w:pStyle w:val="TextBody"/>
        <w:bidi w:val="0"/>
        <w:jc w:val="center"/>
        <w:rPr>
          <w:b/>
          <w:sz w:val="20"/>
        </w:rPr>
      </w:pPr>
      <w:bookmarkStart w:id="2" w:name="a_001"/>
      <w:bookmarkEnd w:id="2"/>
      <w:r>
        <w:rPr>
          <w:b/>
          <w:sz w:val="20"/>
        </w:rPr>
        <w:t>POWER OF ATTORNEY</w:t>
      </w:r>
    </w:p>
    <w:p>
      <w:pPr>
        <w:pStyle w:val="TextBody"/>
        <w:bidi w:val="0"/>
        <w:spacing w:before="0" w:after="283"/>
        <w:jc w:val="left"/>
        <w:rPr/>
      </w:pPr>
      <w:r>
        <w:rPr/>
        <w:t> </w:t>
      </w:r>
    </w:p>
    <w:p>
      <w:pPr>
        <w:pStyle w:val="TextBody"/>
        <w:bidi w:val="0"/>
        <w:ind w:left="0" w:right="0" w:firstLine="648"/>
        <w:jc w:val="both"/>
        <w:rPr>
          <w:sz w:val="20"/>
        </w:rPr>
      </w:pPr>
      <w:r>
        <w:rPr>
          <w:sz w:val="20"/>
        </w:rPr>
        <w:t>KNOW ALL BY THESE PRESENTS that each individual whose signature appears below constitutes and appoints each of John Duke and Mark Frost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pStyle w:val="TextBody"/>
        <w:bidi w:val="0"/>
        <w:spacing w:before="0" w:after="283"/>
        <w:jc w:val="left"/>
        <w:rPr/>
      </w:pPr>
      <w:r>
        <w:rPr/>
        <w:t> </w:t>
      </w:r>
    </w:p>
    <w:p>
      <w:pPr>
        <w:pStyle w:val="TextBody"/>
        <w:bidi w:val="0"/>
        <w:ind w:left="0" w:right="0" w:firstLine="648"/>
        <w:jc w:val="both"/>
        <w:rPr>
          <w:sz w:val="20"/>
        </w:rPr>
      </w:pPr>
      <w:r>
        <w:rPr>
          <w:sz w:val="20"/>
        </w:rPr>
        <w:t>Pursuant to the requirements of the Securities Act of 1933, this registration statement has been signed by the following persons in the capacities and on the date indicated. Each person listed below has signed this registration statement as an officer or director of Harvard Bioscience, Inc.</w:t>
      </w:r>
    </w:p>
    <w:p>
      <w:pPr>
        <w:pStyle w:val="TextBody"/>
        <w:bidi w:val="0"/>
        <w:spacing w:before="0" w:after="283"/>
        <w:jc w:val="left"/>
        <w:rPr/>
      </w:pPr>
      <w:r>
        <w:rPr/>
        <w:t> </w:t>
      </w:r>
    </w:p>
    <w:tbl>
      <w:tblPr>
        <w:tblW w:w="7695" w:type="dxa"/>
        <w:jc w:val="left"/>
        <w:tblInd w:w="0" w:type="dxa"/>
        <w:tblLayout w:type="fixed"/>
        <w:tblCellMar>
          <w:top w:w="0" w:type="dxa"/>
          <w:left w:w="0" w:type="dxa"/>
          <w:bottom w:w="0" w:type="dxa"/>
          <w:right w:w="0" w:type="dxa"/>
        </w:tblCellMar>
      </w:tblPr>
      <w:tblGrid>
        <w:gridCol w:w="2090"/>
        <w:gridCol w:w="4235"/>
        <w:gridCol w:w="1370"/>
      </w:tblGrid>
      <w:tr>
        <w:trPr/>
        <w:tc>
          <w:tcPr>
            <w:tcW w:w="2090" w:type="dxa"/>
            <w:tcBorders/>
            <w:vAlign w:val="center"/>
          </w:tcPr>
          <w:p>
            <w:pPr>
              <w:pStyle w:val="TableContents"/>
              <w:bidi w:val="0"/>
              <w:spacing w:before="0" w:after="283"/>
              <w:jc w:val="center"/>
              <w:rPr>
                <w:b/>
                <w:sz w:val="20"/>
              </w:rPr>
            </w:pPr>
            <w:r>
              <w:rPr>
                <w:b/>
                <w:sz w:val="20"/>
              </w:rPr>
              <w:t>Signature</w:t>
            </w:r>
          </w:p>
        </w:tc>
        <w:tc>
          <w:tcPr>
            <w:tcW w:w="4235" w:type="dxa"/>
            <w:tcBorders/>
            <w:vAlign w:val="center"/>
          </w:tcPr>
          <w:p>
            <w:pPr>
              <w:pStyle w:val="TableContents"/>
              <w:bidi w:val="0"/>
              <w:spacing w:before="0" w:after="283"/>
              <w:jc w:val="center"/>
              <w:rPr>
                <w:b/>
                <w:sz w:val="20"/>
              </w:rPr>
            </w:pPr>
            <w:r>
              <w:rPr>
                <w:b/>
                <w:sz w:val="20"/>
              </w:rPr>
              <w:t>Title</w:t>
            </w:r>
          </w:p>
        </w:tc>
        <w:tc>
          <w:tcPr>
            <w:tcW w:w="1370" w:type="dxa"/>
            <w:tcBorders/>
            <w:vAlign w:val="center"/>
          </w:tcPr>
          <w:p>
            <w:pPr>
              <w:pStyle w:val="TableContents"/>
              <w:bidi w:val="0"/>
              <w:spacing w:before="0" w:after="283"/>
              <w:jc w:val="center"/>
              <w:rPr>
                <w:b/>
                <w:sz w:val="20"/>
              </w:rPr>
            </w:pPr>
            <w:r>
              <w:rPr>
                <w:b/>
                <w:sz w:val="20"/>
              </w:rPr>
              <w:t>Date</w:t>
            </w:r>
          </w:p>
        </w:tc>
      </w:tr>
      <w:tr>
        <w:trPr/>
        <w:tc>
          <w:tcPr>
            <w:tcW w:w="209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ind w:left="0" w:right="0" w:hanging="0"/>
              <w:jc w:val="left"/>
              <w:rPr/>
            </w:pPr>
            <w:r>
              <w:rPr/>
              <w:t> </w:t>
            </w:r>
          </w:p>
        </w:tc>
        <w:tc>
          <w:tcPr>
            <w:tcW w:w="1370" w:type="dxa"/>
            <w:tcBorders/>
            <w:vAlign w:val="center"/>
          </w:tcPr>
          <w:p>
            <w:pPr>
              <w:pStyle w:val="TableContents"/>
              <w:bidi w:val="0"/>
              <w:spacing w:before="0" w:after="283"/>
              <w:jc w:val="left"/>
              <w:rPr/>
            </w:pPr>
            <w:r>
              <w:rPr/>
              <w:t> </w:t>
            </w:r>
          </w:p>
        </w:tc>
      </w:tr>
      <w:tr>
        <w:trPr/>
        <w:tc>
          <w:tcPr>
            <w:tcW w:w="209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John Duke</w:t>
            </w:r>
          </w:p>
        </w:tc>
        <w:tc>
          <w:tcPr>
            <w:tcW w:w="4235" w:type="dxa"/>
            <w:tcBorders/>
            <w:vAlign w:val="center"/>
          </w:tcPr>
          <w:p>
            <w:pPr>
              <w:pStyle w:val="TableContents"/>
              <w:bidi w:val="0"/>
              <w:spacing w:before="0" w:after="283"/>
              <w:ind w:left="0" w:right="0" w:hanging="0"/>
              <w:jc w:val="left"/>
              <w:rPr>
                <w:sz w:val="20"/>
              </w:rPr>
            </w:pPr>
            <w:r>
              <w:rPr>
                <w:sz w:val="20"/>
              </w:rPr>
              <w:t>President, Chief Executive Officer and Director</w:t>
            </w:r>
          </w:p>
        </w:tc>
        <w:tc>
          <w:tcPr>
            <w:tcW w:w="1370" w:type="dxa"/>
            <w:tcBorders/>
            <w:vAlign w:val="center"/>
          </w:tcPr>
          <w:p>
            <w:pPr>
              <w:pStyle w:val="TableContents"/>
              <w:bidi w:val="0"/>
              <w:spacing w:before="0" w:after="283"/>
              <w:jc w:val="left"/>
              <w:rPr>
                <w:sz w:val="20"/>
              </w:rPr>
            </w:pPr>
            <w:r>
              <w:rPr>
                <w:sz w:val="20"/>
              </w:rPr>
              <w:t>June 10, 2026</w:t>
            </w:r>
          </w:p>
        </w:tc>
      </w:tr>
      <w:tr>
        <w:trPr/>
        <w:tc>
          <w:tcPr>
            <w:tcW w:w="2090" w:type="dxa"/>
            <w:tcBorders/>
            <w:vAlign w:val="center"/>
          </w:tcPr>
          <w:p>
            <w:pPr>
              <w:pStyle w:val="TableContents"/>
              <w:bidi w:val="0"/>
              <w:spacing w:before="0" w:after="283"/>
              <w:jc w:val="left"/>
              <w:rPr>
                <w:sz w:val="20"/>
              </w:rPr>
            </w:pPr>
            <w:r>
              <w:rPr>
                <w:sz w:val="20"/>
              </w:rPr>
              <w:t>John Duke</w:t>
            </w:r>
          </w:p>
        </w:tc>
        <w:tc>
          <w:tcPr>
            <w:tcW w:w="4235" w:type="dxa"/>
            <w:tcBorders/>
            <w:vAlign w:val="center"/>
          </w:tcPr>
          <w:p>
            <w:pPr>
              <w:pStyle w:val="TableContents"/>
              <w:bidi w:val="0"/>
              <w:spacing w:before="0" w:after="283"/>
              <w:ind w:left="0" w:right="0" w:hanging="0"/>
              <w:jc w:val="left"/>
              <w:rPr>
                <w:sz w:val="20"/>
              </w:rPr>
            </w:pPr>
            <w:r>
              <w:rPr>
                <w:sz w:val="20"/>
              </w:rPr>
              <w:t>(Principal Executive Officer)</w:t>
            </w:r>
          </w:p>
        </w:tc>
        <w:tc>
          <w:tcPr>
            <w:tcW w:w="13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ind w:left="0" w:right="0" w:hanging="0"/>
              <w:jc w:val="left"/>
              <w:rPr/>
            </w:pPr>
            <w:r>
              <w:rPr/>
              <w:t> </w:t>
            </w:r>
          </w:p>
        </w:tc>
        <w:tc>
          <w:tcPr>
            <w:tcW w:w="1370" w:type="dxa"/>
            <w:tcBorders/>
            <w:vAlign w:val="center"/>
          </w:tcPr>
          <w:p>
            <w:pPr>
              <w:pStyle w:val="TableContents"/>
              <w:bidi w:val="0"/>
              <w:spacing w:before="0" w:after="283"/>
              <w:jc w:val="left"/>
              <w:rPr/>
            </w:pPr>
            <w:r>
              <w:rPr/>
              <w:t> </w:t>
            </w:r>
          </w:p>
        </w:tc>
      </w:tr>
      <w:tr>
        <w:trPr/>
        <w:tc>
          <w:tcPr>
            <w:tcW w:w="209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Mark Frost</w:t>
            </w:r>
          </w:p>
        </w:tc>
        <w:tc>
          <w:tcPr>
            <w:tcW w:w="4235" w:type="dxa"/>
            <w:tcBorders/>
            <w:vAlign w:val="center"/>
          </w:tcPr>
          <w:p>
            <w:pPr>
              <w:pStyle w:val="TableContents"/>
              <w:bidi w:val="0"/>
              <w:spacing w:before="0" w:after="283"/>
              <w:ind w:left="0" w:right="0" w:hanging="0"/>
              <w:jc w:val="left"/>
              <w:rPr>
                <w:sz w:val="20"/>
              </w:rPr>
            </w:pPr>
            <w:r>
              <w:rPr>
                <w:sz w:val="20"/>
              </w:rPr>
              <w:t>Chief Financial Officer</w:t>
            </w:r>
          </w:p>
        </w:tc>
        <w:tc>
          <w:tcPr>
            <w:tcW w:w="1370" w:type="dxa"/>
            <w:tcBorders/>
            <w:vAlign w:val="center"/>
          </w:tcPr>
          <w:p>
            <w:pPr>
              <w:pStyle w:val="TableContents"/>
              <w:bidi w:val="0"/>
              <w:spacing w:before="0" w:after="283"/>
              <w:jc w:val="left"/>
              <w:rPr>
                <w:sz w:val="20"/>
              </w:rPr>
            </w:pPr>
            <w:r>
              <w:rPr>
                <w:sz w:val="20"/>
              </w:rPr>
              <w:t>June 10, 2026</w:t>
            </w:r>
          </w:p>
        </w:tc>
      </w:tr>
      <w:tr>
        <w:trPr/>
        <w:tc>
          <w:tcPr>
            <w:tcW w:w="2090" w:type="dxa"/>
            <w:tcBorders/>
            <w:vAlign w:val="center"/>
          </w:tcPr>
          <w:p>
            <w:pPr>
              <w:pStyle w:val="TableContents"/>
              <w:bidi w:val="0"/>
              <w:spacing w:before="0" w:after="283"/>
              <w:jc w:val="left"/>
              <w:rPr>
                <w:sz w:val="20"/>
              </w:rPr>
            </w:pPr>
            <w:r>
              <w:rPr>
                <w:sz w:val="20"/>
              </w:rPr>
              <w:t>Mark Frost</w:t>
            </w:r>
          </w:p>
        </w:tc>
        <w:tc>
          <w:tcPr>
            <w:tcW w:w="4235" w:type="dxa"/>
            <w:tcBorders/>
            <w:vAlign w:val="center"/>
          </w:tcPr>
          <w:p>
            <w:pPr>
              <w:pStyle w:val="TableContents"/>
              <w:bidi w:val="0"/>
              <w:spacing w:before="0" w:after="283"/>
              <w:ind w:left="0" w:right="0" w:hanging="0"/>
              <w:jc w:val="left"/>
              <w:rPr>
                <w:sz w:val="20"/>
              </w:rPr>
            </w:pPr>
            <w:r>
              <w:rPr>
                <w:sz w:val="20"/>
              </w:rPr>
              <w:t>(Principal Financial Officer and Accounting Officer)</w:t>
            </w:r>
          </w:p>
        </w:tc>
        <w:tc>
          <w:tcPr>
            <w:tcW w:w="13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ind w:left="0" w:right="0" w:hanging="0"/>
              <w:jc w:val="left"/>
              <w:rPr/>
            </w:pPr>
            <w:r>
              <w:rPr/>
              <w:t> </w:t>
            </w:r>
          </w:p>
        </w:tc>
        <w:tc>
          <w:tcPr>
            <w:tcW w:w="1370" w:type="dxa"/>
            <w:tcBorders/>
            <w:vAlign w:val="center"/>
          </w:tcPr>
          <w:p>
            <w:pPr>
              <w:pStyle w:val="TableContents"/>
              <w:bidi w:val="0"/>
              <w:spacing w:before="0" w:after="283"/>
              <w:jc w:val="left"/>
              <w:rPr/>
            </w:pPr>
            <w:r>
              <w:rPr/>
              <w:t> </w:t>
            </w:r>
          </w:p>
        </w:tc>
      </w:tr>
      <w:tr>
        <w:trPr/>
        <w:tc>
          <w:tcPr>
            <w:tcW w:w="209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Katherine A. Eade</w:t>
            </w:r>
          </w:p>
        </w:tc>
        <w:tc>
          <w:tcPr>
            <w:tcW w:w="4235" w:type="dxa"/>
            <w:tcBorders/>
            <w:vAlign w:val="center"/>
          </w:tcPr>
          <w:p>
            <w:pPr>
              <w:pStyle w:val="TableContents"/>
              <w:bidi w:val="0"/>
              <w:spacing w:before="0" w:after="283"/>
              <w:ind w:left="0" w:right="0" w:hanging="0"/>
              <w:jc w:val="left"/>
              <w:rPr>
                <w:sz w:val="20"/>
              </w:rPr>
            </w:pPr>
            <w:r>
              <w:rPr>
                <w:sz w:val="20"/>
              </w:rPr>
              <w:t>Director</w:t>
            </w:r>
          </w:p>
        </w:tc>
        <w:tc>
          <w:tcPr>
            <w:tcW w:w="1370" w:type="dxa"/>
            <w:tcBorders/>
            <w:vAlign w:val="center"/>
          </w:tcPr>
          <w:p>
            <w:pPr>
              <w:pStyle w:val="TableContents"/>
              <w:bidi w:val="0"/>
              <w:spacing w:before="0" w:after="283"/>
              <w:jc w:val="left"/>
              <w:rPr>
                <w:sz w:val="20"/>
              </w:rPr>
            </w:pPr>
            <w:r>
              <w:rPr>
                <w:sz w:val="20"/>
              </w:rPr>
              <w:t>June 10, 2026</w:t>
            </w:r>
          </w:p>
        </w:tc>
      </w:tr>
      <w:tr>
        <w:trPr/>
        <w:tc>
          <w:tcPr>
            <w:tcW w:w="2090" w:type="dxa"/>
            <w:tcBorders/>
            <w:vAlign w:val="center"/>
          </w:tcPr>
          <w:p>
            <w:pPr>
              <w:pStyle w:val="TableContents"/>
              <w:bidi w:val="0"/>
              <w:spacing w:before="0" w:after="283"/>
              <w:jc w:val="left"/>
              <w:rPr>
                <w:sz w:val="20"/>
              </w:rPr>
            </w:pPr>
            <w:r>
              <w:rPr>
                <w:sz w:val="20"/>
              </w:rPr>
              <w:t>Katherine A. Eade</w:t>
            </w:r>
          </w:p>
        </w:tc>
        <w:tc>
          <w:tcPr>
            <w:tcW w:w="4235" w:type="dxa"/>
            <w:tcBorders/>
            <w:vAlign w:val="center"/>
          </w:tcPr>
          <w:p>
            <w:pPr>
              <w:pStyle w:val="TableContents"/>
              <w:bidi w:val="0"/>
              <w:spacing w:before="0" w:after="283"/>
              <w:ind w:left="0" w:right="0" w:hanging="0"/>
              <w:jc w:val="left"/>
              <w:rPr/>
            </w:pPr>
            <w:r>
              <w:rPr/>
              <w:t> </w:t>
            </w:r>
          </w:p>
        </w:tc>
        <w:tc>
          <w:tcPr>
            <w:tcW w:w="13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ind w:left="0" w:right="0" w:hanging="0"/>
              <w:jc w:val="left"/>
              <w:rPr/>
            </w:pPr>
            <w:r>
              <w:rPr/>
              <w:t> </w:t>
            </w:r>
          </w:p>
        </w:tc>
        <w:tc>
          <w:tcPr>
            <w:tcW w:w="13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20"/>
              </w:rPr>
            </w:pPr>
            <w:r>
              <w:rPr>
                <w:sz w:val="20"/>
              </w:rPr>
              <w:t>/s/ Robert Gagnon</w:t>
            </w:r>
          </w:p>
        </w:tc>
        <w:tc>
          <w:tcPr>
            <w:tcW w:w="4235" w:type="dxa"/>
            <w:tcBorders/>
            <w:vAlign w:val="center"/>
          </w:tcPr>
          <w:p>
            <w:pPr>
              <w:pStyle w:val="TableContents"/>
              <w:bidi w:val="0"/>
              <w:spacing w:before="0" w:after="283"/>
              <w:ind w:left="0" w:right="0" w:hanging="0"/>
              <w:jc w:val="left"/>
              <w:rPr>
                <w:sz w:val="20"/>
              </w:rPr>
            </w:pPr>
            <w:r>
              <w:rPr>
                <w:sz w:val="20"/>
              </w:rPr>
              <w:t>Director</w:t>
            </w:r>
          </w:p>
        </w:tc>
        <w:tc>
          <w:tcPr>
            <w:tcW w:w="1370" w:type="dxa"/>
            <w:tcBorders/>
            <w:vAlign w:val="center"/>
          </w:tcPr>
          <w:p>
            <w:pPr>
              <w:pStyle w:val="TableContents"/>
              <w:bidi w:val="0"/>
              <w:spacing w:before="0" w:after="283"/>
              <w:jc w:val="left"/>
              <w:rPr>
                <w:sz w:val="20"/>
              </w:rPr>
            </w:pPr>
            <w:r>
              <w:rPr>
                <w:sz w:val="20"/>
              </w:rPr>
              <w:t>June 10, 2026</w:t>
            </w:r>
          </w:p>
        </w:tc>
      </w:tr>
      <w:tr>
        <w:trPr/>
        <w:tc>
          <w:tcPr>
            <w:tcW w:w="2090" w:type="dxa"/>
            <w:tcBorders>
              <w:top w:val="single" w:sz="8" w:space="0" w:color="000000"/>
            </w:tcBorders>
            <w:tcMar>
              <w:top w:w="28" w:type="dxa"/>
            </w:tcMar>
            <w:vAlign w:val="center"/>
          </w:tcPr>
          <w:p>
            <w:pPr>
              <w:pStyle w:val="TableContents"/>
              <w:bidi w:val="0"/>
              <w:spacing w:before="0" w:after="283"/>
              <w:jc w:val="left"/>
              <w:rPr>
                <w:sz w:val="20"/>
              </w:rPr>
            </w:pPr>
            <w:r>
              <w:rPr>
                <w:sz w:val="20"/>
              </w:rPr>
              <w:t>Robert Gagnon</w:t>
            </w:r>
          </w:p>
        </w:tc>
        <w:tc>
          <w:tcPr>
            <w:tcW w:w="4235" w:type="dxa"/>
            <w:tcBorders/>
            <w:vAlign w:val="center"/>
          </w:tcPr>
          <w:p>
            <w:pPr>
              <w:pStyle w:val="TableContents"/>
              <w:bidi w:val="0"/>
              <w:spacing w:before="0" w:after="283"/>
              <w:ind w:left="0" w:right="0" w:hanging="0"/>
              <w:jc w:val="left"/>
              <w:rPr/>
            </w:pPr>
            <w:r>
              <w:rPr/>
              <w:t> </w:t>
            </w:r>
          </w:p>
        </w:tc>
        <w:tc>
          <w:tcPr>
            <w:tcW w:w="13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ind w:left="0" w:right="0" w:hanging="0"/>
              <w:jc w:val="left"/>
              <w:rPr/>
            </w:pPr>
            <w:r>
              <w:rPr/>
              <w:t> </w:t>
            </w:r>
          </w:p>
        </w:tc>
        <w:tc>
          <w:tcPr>
            <w:tcW w:w="13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20"/>
              </w:rPr>
            </w:pPr>
            <w:r>
              <w:rPr>
                <w:sz w:val="20"/>
              </w:rPr>
              <w:t>/s/ Seth Benson</w:t>
            </w:r>
          </w:p>
        </w:tc>
        <w:tc>
          <w:tcPr>
            <w:tcW w:w="4235" w:type="dxa"/>
            <w:tcBorders/>
            <w:vAlign w:val="center"/>
          </w:tcPr>
          <w:p>
            <w:pPr>
              <w:pStyle w:val="TableContents"/>
              <w:bidi w:val="0"/>
              <w:spacing w:before="0" w:after="283"/>
              <w:ind w:left="0" w:right="0" w:hanging="0"/>
              <w:jc w:val="left"/>
              <w:rPr>
                <w:sz w:val="20"/>
              </w:rPr>
            </w:pPr>
            <w:r>
              <w:rPr>
                <w:sz w:val="20"/>
              </w:rPr>
              <w:t>Director</w:t>
            </w:r>
          </w:p>
        </w:tc>
        <w:tc>
          <w:tcPr>
            <w:tcW w:w="1370" w:type="dxa"/>
            <w:tcBorders/>
            <w:vAlign w:val="center"/>
          </w:tcPr>
          <w:p>
            <w:pPr>
              <w:pStyle w:val="TableContents"/>
              <w:bidi w:val="0"/>
              <w:spacing w:before="0" w:after="283"/>
              <w:jc w:val="left"/>
              <w:rPr>
                <w:sz w:val="20"/>
              </w:rPr>
            </w:pPr>
            <w:r>
              <w:rPr>
                <w:sz w:val="20"/>
              </w:rPr>
              <w:t>June 10, 2026</w:t>
            </w:r>
          </w:p>
        </w:tc>
      </w:tr>
      <w:tr>
        <w:trPr/>
        <w:tc>
          <w:tcPr>
            <w:tcW w:w="2090" w:type="dxa"/>
            <w:tcBorders>
              <w:top w:val="single" w:sz="8" w:space="0" w:color="000000"/>
            </w:tcBorders>
            <w:tcMar>
              <w:top w:w="28" w:type="dxa"/>
            </w:tcMar>
            <w:vAlign w:val="center"/>
          </w:tcPr>
          <w:p>
            <w:pPr>
              <w:pStyle w:val="TableContents"/>
              <w:bidi w:val="0"/>
              <w:spacing w:before="0" w:after="283"/>
              <w:jc w:val="left"/>
              <w:rPr>
                <w:sz w:val="20"/>
              </w:rPr>
            </w:pPr>
            <w:r>
              <w:rPr>
                <w:sz w:val="20"/>
              </w:rPr>
              <w:t>Seth Benson</w:t>
            </w:r>
          </w:p>
        </w:tc>
        <w:tc>
          <w:tcPr>
            <w:tcW w:w="4235" w:type="dxa"/>
            <w:tcBorders/>
            <w:vAlign w:val="center"/>
          </w:tcPr>
          <w:p>
            <w:pPr>
              <w:pStyle w:val="TableContents"/>
              <w:bidi w:val="0"/>
              <w:spacing w:before="0" w:after="283"/>
              <w:ind w:left="0" w:right="0" w:hanging="0"/>
              <w:jc w:val="left"/>
              <w:rPr/>
            </w:pPr>
            <w:r>
              <w:rPr/>
              <w:t> </w:t>
            </w:r>
          </w:p>
        </w:tc>
        <w:tc>
          <w:tcPr>
            <w:tcW w:w="13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ind w:left="0" w:right="0" w:hanging="0"/>
              <w:jc w:val="left"/>
              <w:rPr/>
            </w:pPr>
            <w:r>
              <w:rPr/>
              <w:t> </w:t>
            </w:r>
          </w:p>
        </w:tc>
        <w:tc>
          <w:tcPr>
            <w:tcW w:w="1370" w:type="dxa"/>
            <w:tcBorders/>
            <w:vAlign w:val="center"/>
          </w:tcPr>
          <w:p>
            <w:pPr>
              <w:pStyle w:val="TableContents"/>
              <w:bidi w:val="0"/>
              <w:spacing w:before="0" w:after="283"/>
              <w:jc w:val="left"/>
              <w:rPr/>
            </w:pPr>
            <w:r>
              <w:rPr/>
              <w:t> </w:t>
            </w:r>
          </w:p>
        </w:tc>
      </w:tr>
      <w:tr>
        <w:trPr/>
        <w:tc>
          <w:tcPr>
            <w:tcW w:w="2090" w:type="dxa"/>
            <w:tcBorders>
              <w:bottom w:val="single" w:sz="8" w:space="0" w:color="000000"/>
            </w:tcBorders>
            <w:tcMar>
              <w:bottom w:w="28" w:type="dxa"/>
            </w:tcMar>
            <w:vAlign w:val="center"/>
          </w:tcPr>
          <w:p>
            <w:pPr>
              <w:pStyle w:val="TableContents"/>
              <w:bidi w:val="0"/>
              <w:spacing w:before="0" w:after="283"/>
              <w:jc w:val="left"/>
              <w:rPr/>
            </w:pPr>
            <w:r>
              <w:rPr/>
              <w:t>/s/ Stephen DeNelsky</w:t>
            </w:r>
          </w:p>
        </w:tc>
        <w:tc>
          <w:tcPr>
            <w:tcW w:w="4235" w:type="dxa"/>
            <w:tcBorders/>
            <w:vAlign w:val="center"/>
          </w:tcPr>
          <w:p>
            <w:pPr>
              <w:pStyle w:val="TableContents"/>
              <w:bidi w:val="0"/>
              <w:spacing w:before="0" w:after="283"/>
              <w:ind w:left="0" w:right="0" w:hanging="0"/>
              <w:jc w:val="left"/>
              <w:rPr/>
            </w:pPr>
            <w:r>
              <w:rPr/>
              <w:t>Director</w:t>
            </w:r>
          </w:p>
        </w:tc>
        <w:tc>
          <w:tcPr>
            <w:tcW w:w="1370" w:type="dxa"/>
            <w:tcBorders/>
            <w:vAlign w:val="center"/>
          </w:tcPr>
          <w:p>
            <w:pPr>
              <w:pStyle w:val="TableContents"/>
              <w:bidi w:val="0"/>
              <w:spacing w:before="0" w:after="283"/>
              <w:jc w:val="left"/>
              <w:rPr/>
            </w:pPr>
            <w:r>
              <w:rPr/>
              <w:t>June 10, 2026</w:t>
            </w:r>
          </w:p>
        </w:tc>
      </w:tr>
      <w:tr>
        <w:trPr/>
        <w:tc>
          <w:tcPr>
            <w:tcW w:w="2090" w:type="dxa"/>
            <w:tcBorders/>
            <w:vAlign w:val="center"/>
          </w:tcPr>
          <w:p>
            <w:pPr>
              <w:pStyle w:val="TableContents"/>
              <w:bidi w:val="0"/>
              <w:spacing w:before="0" w:after="283"/>
              <w:jc w:val="left"/>
              <w:rPr/>
            </w:pPr>
            <w:r>
              <w:rPr/>
              <w:t>Stephen DeNelsky</w:t>
            </w:r>
          </w:p>
        </w:tc>
        <w:tc>
          <w:tcPr>
            <w:tcW w:w="4235" w:type="dxa"/>
            <w:tcBorders/>
            <w:vAlign w:val="center"/>
          </w:tcPr>
          <w:p>
            <w:pPr>
              <w:pStyle w:val="TableContents"/>
              <w:bidi w:val="0"/>
              <w:spacing w:before="0" w:after="283"/>
              <w:ind w:left="0" w:right="0" w:hanging="0"/>
              <w:jc w:val="left"/>
              <w:rPr/>
            </w:pPr>
            <w:r>
              <w:rPr/>
              <w:t> </w:t>
            </w:r>
          </w:p>
        </w:tc>
        <w:tc>
          <w:tcPr>
            <w:tcW w:w="13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ind w:left="0" w:right="0" w:hanging="0"/>
              <w:jc w:val="left"/>
              <w:rPr/>
            </w:pPr>
            <w:r>
              <w:rPr/>
              <w:t> </w:t>
            </w:r>
          </w:p>
        </w:tc>
        <w:tc>
          <w:tcPr>
            <w:tcW w:w="1370" w:type="dxa"/>
            <w:tcBorders/>
            <w:vAlign w:val="center"/>
          </w:tcPr>
          <w:p>
            <w:pPr>
              <w:pStyle w:val="TableContents"/>
              <w:bidi w:val="0"/>
              <w:spacing w:before="0" w:after="283"/>
              <w:jc w:val="left"/>
              <w:rPr/>
            </w:pPr>
            <w:r>
              <w:rPr/>
              <w:t> </w:t>
            </w:r>
          </w:p>
        </w:tc>
      </w:tr>
      <w:tr>
        <w:trPr/>
        <w:tc>
          <w:tcPr>
            <w:tcW w:w="2090" w:type="dxa"/>
            <w:tcBorders>
              <w:bottom w:val="single" w:sz="8" w:space="0" w:color="000000"/>
            </w:tcBorders>
            <w:tcMar>
              <w:bottom w:w="28" w:type="dxa"/>
            </w:tcMar>
            <w:vAlign w:val="center"/>
          </w:tcPr>
          <w:p>
            <w:pPr>
              <w:pStyle w:val="TableContents"/>
              <w:bidi w:val="0"/>
              <w:spacing w:before="0" w:after="283"/>
              <w:jc w:val="left"/>
              <w:rPr/>
            </w:pPr>
            <w:r>
              <w:rPr/>
              <w:t>/s/ William Snider</w:t>
            </w:r>
          </w:p>
        </w:tc>
        <w:tc>
          <w:tcPr>
            <w:tcW w:w="4235" w:type="dxa"/>
            <w:tcBorders/>
            <w:vAlign w:val="center"/>
          </w:tcPr>
          <w:p>
            <w:pPr>
              <w:pStyle w:val="TableContents"/>
              <w:bidi w:val="0"/>
              <w:spacing w:before="0" w:after="283"/>
              <w:ind w:left="0" w:right="0" w:hanging="0"/>
              <w:jc w:val="left"/>
              <w:rPr/>
            </w:pPr>
            <w:r>
              <w:rPr/>
              <w:t>Director</w:t>
            </w:r>
          </w:p>
        </w:tc>
        <w:tc>
          <w:tcPr>
            <w:tcW w:w="1370" w:type="dxa"/>
            <w:tcBorders/>
            <w:vAlign w:val="center"/>
          </w:tcPr>
          <w:p>
            <w:pPr>
              <w:pStyle w:val="TableContents"/>
              <w:bidi w:val="0"/>
              <w:spacing w:before="0" w:after="283"/>
              <w:jc w:val="left"/>
              <w:rPr/>
            </w:pPr>
            <w:r>
              <w:rPr/>
              <w:t>June 10, 2026</w:t>
            </w:r>
          </w:p>
        </w:tc>
      </w:tr>
      <w:tr>
        <w:trPr/>
        <w:tc>
          <w:tcPr>
            <w:tcW w:w="2090" w:type="dxa"/>
            <w:tcBorders/>
            <w:vAlign w:val="center"/>
          </w:tcPr>
          <w:p>
            <w:pPr>
              <w:pStyle w:val="TableContents"/>
              <w:bidi w:val="0"/>
              <w:spacing w:before="0" w:after="283"/>
              <w:jc w:val="left"/>
              <w:rPr/>
            </w:pPr>
            <w:r>
              <w:rPr/>
              <w:t>William Snider</w:t>
            </w:r>
          </w:p>
        </w:tc>
        <w:tc>
          <w:tcPr>
            <w:tcW w:w="4235" w:type="dxa"/>
            <w:tcBorders/>
            <w:vAlign w:val="center"/>
          </w:tcPr>
          <w:p>
            <w:pPr>
              <w:pStyle w:val="TableContents"/>
              <w:bidi w:val="0"/>
              <w:spacing w:before="0" w:after="283"/>
              <w:ind w:left="0" w:right="0" w:hanging="0"/>
              <w:jc w:val="left"/>
              <w:rPr/>
            </w:pPr>
            <w:r>
              <w:rPr/>
              <w:t> </w:t>
            </w:r>
          </w:p>
        </w:tc>
        <w:tc>
          <w:tcPr>
            <w:tcW w:w="1370" w:type="dxa"/>
            <w:tcBorders/>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jc w:val="left"/>
        <w:rPr/>
      </w:pPr>
      <w:bookmarkStart w:id="3" w:name="exh_51.htm"/>
      <w:bookmarkStart w:id="4" w:name="ksexh_51"/>
      <w:bookmarkEnd w:id="3"/>
      <w:bookmarkEnd w:id="4"/>
      <w:r>
        <w:rPr/>
        <w:t> </w:t>
      </w:r>
      <w:r>
        <w:br w:type="page"/>
      </w:r>
    </w:p>
    <w:p>
      <w:pPr>
        <w:pStyle w:val="TextBody"/>
        <w:bidi w:val="0"/>
        <w:spacing w:before="0" w:after="0"/>
        <w:ind w:left="0" w:right="0" w:hanging="0"/>
        <w:jc w:val="right"/>
        <w:rPr>
          <w:b/>
          <w:sz w:val="20"/>
        </w:rPr>
      </w:pPr>
      <w:r>
        <w:rPr>
          <w:b/>
          <w:sz w:val="20"/>
        </w:rPr>
        <w:t>Exhibit 5.1</w:t>
      </w:r>
    </w:p>
    <w:p>
      <w:pPr>
        <w:pStyle w:val="TextBody"/>
        <w:bidi w:val="0"/>
        <w:spacing w:before="0" w:after="0"/>
        <w:ind w:left="0" w:right="0" w:hanging="0"/>
        <w:jc w:val="right"/>
        <w:rPr/>
      </w:pPr>
      <w:r>
        <w:rPr/>
        <w:t> </w:t>
      </w:r>
    </w:p>
    <w:p>
      <w:pPr>
        <w:pStyle w:val="TextBody"/>
        <w:bidi w:val="0"/>
        <w:spacing w:before="0" w:after="0"/>
        <w:ind w:left="0" w:right="0" w:hanging="0"/>
        <w:jc w:val="center"/>
        <w:rPr>
          <w:color w:val="FF0000"/>
        </w:rPr>
      </w:pPr>
      <w:r>
        <w:rPr>
          <w:color w:val="FF0000"/>
        </w:rPr>
        <w:drawing>
          <wp:inline distT="0" distB="0" distL="0" distR="0">
            <wp:extent cx="6667500"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4"/>
                    <a:stretch>
                      <a:fillRect/>
                    </a:stretch>
                  </pic:blipFill>
                  <pic:spPr bwMode="auto">
                    <a:xfrm>
                      <a:off x="0" y="0"/>
                      <a:ext cx="6667500" cy="914400"/>
                    </a:xfrm>
                    <a:prstGeom prst="rect">
                      <a:avLst/>
                    </a:prstGeom>
                  </pic:spPr>
                </pic:pic>
              </a:graphicData>
            </a:graphic>
          </wp:inline>
        </w:drawing>
      </w:r>
    </w:p>
    <w:p>
      <w:pPr>
        <w:pStyle w:val="TextBody"/>
        <w:bidi w:val="0"/>
        <w:spacing w:before="0" w:after="0"/>
        <w:ind w:left="0" w:right="0" w:hanging="0"/>
        <w:jc w:val="right"/>
        <w:rPr/>
      </w:pPr>
      <w:r>
        <w:rPr/>
        <w:t> </w:t>
      </w:r>
    </w:p>
    <w:p>
      <w:pPr>
        <w:pStyle w:val="TextBody"/>
        <w:bidi w:val="0"/>
        <w:spacing w:before="0" w:after="0"/>
        <w:ind w:left="0" w:right="0" w:hanging="0"/>
        <w:jc w:val="right"/>
        <w:rPr>
          <w:sz w:val="20"/>
        </w:rPr>
      </w:pPr>
      <w:r>
        <w:rPr>
          <w:sz w:val="20"/>
        </w:rPr>
        <w:t>June 10, 2026</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Harvard Bioscience, Inc.</w:t>
        <w:br/>
        <w:t>84 October Hill Road</w:t>
        <w:br/>
        <w:t>Holliston, Massachusetts 01746</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Ladies and Gentlemen:</w:t>
      </w:r>
    </w:p>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We have acted as counsel to Harvard Bioscience, Inc., a Delaware corporation (the “Company”), and are rendering this opinion in connection with the registration by the Company under the Securities Act of 1933 (the “Act”), of the offer and sale of (i) 400,000 shares (the “ 2021 Plan Shares”) of the Company’s common stock, par value $0.01 per share (the “Common Stock”) issuable under the Company’s Amended and Restated 2021 Equity Incentive Plan (the “2021 Plan”) and (ii) 120,000 shares (the “ESPP Shares”, and together with the 2021 Plan Shares, the “Shares”) of the Company’s Common Stock issuable under the Company’s Employee Stock Purchase Plan, as amended (the “ESPP”), pursuant to the registration statement on Form S-8 being filed with the United States Securities and Exchange Commission on the date hereof (the “Registration Statement”).</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We have reviewed the 2021 Plan, the ESPP, the Registration Statement and such corporate records, certificates and other documents, and such questions of law, as we have deemed necessary or appropriate for the purposes of this opinion. We have assumed that all signatures are genuine, that all documents submitted to us as originals are authentic and that all copies of documents submitted to us conform to the originals.</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We have assumed that the Shares will be duly registered on the books of the transfer agent and registrar of the Common Stock and that the Company will comply with applicable notice requirements regarding uncertificated shares provided under the Delaware General Corporation Law (the “DGCL”).</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We have assumed further that, except as to legal conclusions expressly set forth in this opinion, the information and representations and warranties contained in the agreements, instruments, records, certificates and other documents we reviewed were true, accurate and complete as of their stated date and are true, accurate and complete as of the date of this letter.</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We have relied as to certain matters on information obtained from public officials, officers of the Company and other sources believed by us to be responsible.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Based upon the foregoing, we are of the opinion that the Shares have been duly authorized and, when issued and paid for in accordance with the terms of the Company’s Second Amended and Restated Certificate of Incorporation, as amended, and in accordance with, as applicable, the 2021 Plan, the ESPP and any individual agreements relating to such Shares, will be validly issued, fully paid and nonassessable.</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We are members of the bar of the Commonwealth of Massachusetts. We do not express any opinion herein on any laws other than the DGCL.</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We hereby consent to the filing of this opinion as Exhibit 5.1 to the Registration Statement. In giving such consent, we do not thereby admit that we are in the category of persons whose consent is required under Section 7 of the Act.</w:t>
      </w:r>
    </w:p>
    <w:p>
      <w:pPr>
        <w:pStyle w:val="TextBody"/>
        <w:bidi w:val="0"/>
        <w:spacing w:before="0" w:after="0"/>
        <w:ind w:left="4320" w:right="0" w:hanging="0"/>
        <w:jc w:val="left"/>
        <w:rPr/>
      </w:pPr>
      <w:r>
        <w:rPr/>
        <w:t> </w:t>
      </w:r>
    </w:p>
    <w:tbl>
      <w:tblPr>
        <w:tblW w:w="2900" w:type="dxa"/>
        <w:jc w:val="left"/>
        <w:tblInd w:w="0" w:type="dxa"/>
        <w:tblLayout w:type="fixed"/>
        <w:tblCellMar>
          <w:top w:w="0" w:type="dxa"/>
          <w:left w:w="0" w:type="dxa"/>
          <w:bottom w:w="0" w:type="dxa"/>
          <w:right w:w="0" w:type="dxa"/>
        </w:tblCellMar>
      </w:tblPr>
      <w:tblGrid>
        <w:gridCol w:w="75"/>
        <w:gridCol w:w="2825"/>
      </w:tblGrid>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/s/ Covington &amp; Burling LLP</w:t>
            </w:r>
          </w:p>
        </w:tc>
      </w:tr>
    </w:tbl>
    <w:p>
      <w:pPr>
        <w:pStyle w:val="TextBody"/>
        <w:bidi w:val="0"/>
        <w:ind w:left="4320" w:right="0" w:hanging="0"/>
        <w:jc w:val="left"/>
        <w:rPr/>
      </w:pPr>
      <w:r>
        <w:rPr/>
        <w:t> </w:t>
      </w:r>
    </w:p>
    <w:p>
      <w:pPr>
        <w:pStyle w:val="TextBody"/>
        <w:bidi w:val="0"/>
        <w:spacing w:before="0" w:after="283"/>
        <w:jc w:val="left"/>
        <w:rPr/>
      </w:pPr>
      <w:r>
        <w:rPr/>
        <w:t> </w:t>
      </w:r>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spacing w:before="0" w:after="0"/>
        <w:ind w:left="0" w:right="0" w:hanging="0"/>
        <w:jc w:val="right"/>
        <w:rPr>
          <w:b/>
          <w:sz w:val="20"/>
        </w:rPr>
      </w:pPr>
      <w:bookmarkStart w:id="5" w:name="exh_231.htm"/>
      <w:bookmarkStart w:id="6" w:name="ksexh_231"/>
      <w:bookmarkEnd w:id="5"/>
      <w:bookmarkEnd w:id="6"/>
      <w:r>
        <w:rPr>
          <w:b/>
          <w:sz w:val="20"/>
        </w:rPr>
        <w:t>Exhibit 23.1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CONSENT OF INDEPENDENT REGISTERED PUBLIC ACCOUNTING FIRM</w:t>
      </w:r>
    </w:p>
    <w:p>
      <w:pPr>
        <w:pStyle w:val="TextBody"/>
        <w:bidi w:val="0"/>
        <w:spacing w:before="0" w:after="0"/>
        <w:ind w:left="0" w:right="0" w:hanging="0"/>
        <w:jc w:val="left"/>
        <w:rPr/>
      </w:pPr>
      <w:r>
        <w:rPr/>
        <w:t> </w:t>
      </w:r>
    </w:p>
    <w:p>
      <w:pPr>
        <w:pStyle w:val="TextBody"/>
        <w:bidi w:val="0"/>
        <w:spacing w:before="0" w:after="0"/>
        <w:ind w:left="120" w:right="120" w:hanging="0"/>
        <w:jc w:val="left"/>
        <w:rPr>
          <w:sz w:val="20"/>
        </w:rPr>
      </w:pPr>
      <w:r>
        <w:rPr>
          <w:sz w:val="20"/>
        </w:rPr>
        <w:t>We have issued our report dated March 13, 2026 with respect to the consolidated financial statements of Harvard Bioscience, Inc., included in the Annual Report on Form 10-K for the year ended December 31, 2025, which is incorporated by reference in this Registration Statement. We consent to the incorporation by reference of the aforementioned report in this Registration Statement.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 GRANT THORNTON LLP</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Hartford, Connecticut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June 10, 2026</w:t>
      </w:r>
    </w:p>
    <w:p>
      <w:pPr>
        <w:pStyle w:val="TextBody"/>
        <w:bidi w:val="0"/>
        <w:spacing w:before="0" w:after="0"/>
        <w:ind w:left="0" w:right="0" w:hanging="0"/>
        <w:jc w:val="left"/>
        <w:rPr/>
      </w:pPr>
      <w:r>
        <w:rPr/>
        <w:t> </w:t>
      </w:r>
    </w:p>
    <w:p>
      <w:pPr>
        <w:pStyle w:val="TextBody"/>
        <w:bidi w:val="0"/>
        <w:jc w:val="right"/>
        <w:rPr>
          <w:b/>
          <w:sz w:val="20"/>
        </w:rPr>
      </w:pPr>
      <w:bookmarkStart w:id="7" w:name="exh_107.htm"/>
      <w:bookmarkStart w:id="8" w:name="ksexh_107"/>
      <w:bookmarkEnd w:id="7"/>
      <w:bookmarkEnd w:id="8"/>
      <w:r>
        <w:rPr>
          <w:b/>
          <w:sz w:val="20"/>
        </w:rPr>
        <w:t>Exhibit 107</w:t>
      </w:r>
      <w:r>
        <w:br w:type="page"/>
      </w:r>
    </w:p>
    <w:tbl>
      <w:tblPr>
        <w:tblW w:w="3055" w:type="dxa"/>
        <w:jc w:val="left"/>
        <w:tblInd w:w="0" w:type="dxa"/>
        <w:tblLayout w:type="fixed"/>
        <w:tblCellMar>
          <w:top w:w="28" w:type="dxa"/>
          <w:left w:w="28" w:type="dxa"/>
          <w:bottom w:w="28" w:type="dxa"/>
          <w:right w:w="28" w:type="dxa"/>
        </w:tblCellMar>
      </w:tblPr>
      <w:tblGrid>
        <w:gridCol w:w="2901"/>
        <w:gridCol w:w="154"/>
      </w:tblGrid>
      <w:tr>
        <w:trPr/>
        <w:tc>
          <w:tcPr>
            <w:tcW w:w="3055" w:type="dxa"/>
            <w:gridSpan w:val="2"/>
            <w:tcBorders/>
            <w:vAlign w:val="center"/>
          </w:tcPr>
          <w:p>
            <w:pPr>
              <w:pStyle w:val="TableContents"/>
              <w:bidi w:val="0"/>
              <w:spacing w:before="0" w:after="283"/>
              <w:jc w:val="left"/>
              <w:rPr>
                <w:sz w:val="20"/>
              </w:rPr>
            </w:pPr>
            <w:r>
              <w:rPr>
                <w:b/>
                <w:sz w:val="20"/>
              </w:rPr>
              <w:t>Calculation of Filing Fee Tables</w:t>
            </w:r>
            <w:r>
              <w:rPr>
                <w:sz w:val="20"/>
              </w:rPr>
              <w:t xml:space="preserve"> </w:t>
            </w:r>
          </w:p>
        </w:tc>
      </w:tr>
      <w:tr>
        <w:trPr/>
        <w:tc>
          <w:tcPr>
            <w:tcW w:w="2901" w:type="dxa"/>
            <w:tcBorders/>
            <w:vAlign w:val="center"/>
          </w:tcPr>
          <w:p>
            <w:pPr>
              <w:pStyle w:val="TableContents"/>
              <w:bidi w:val="0"/>
              <w:spacing w:before="0" w:after="283"/>
              <w:jc w:val="left"/>
              <w:rPr>
                <w:b/>
                <w:sz w:val="20"/>
              </w:rPr>
            </w:pPr>
            <w:r>
              <w:rPr>
                <w:b/>
                <w:sz w:val="20"/>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2901" w:type="dxa"/>
            <w:tcBorders/>
            <w:vAlign w:val="center"/>
          </w:tcPr>
          <w:p>
            <w:pPr>
              <w:pStyle w:val="TableContents"/>
              <w:bidi w:val="0"/>
              <w:spacing w:before="0" w:after="283"/>
              <w:jc w:val="left"/>
              <w:rPr>
                <w:b/>
                <w:sz w:val="20"/>
              </w:rPr>
            </w:pPr>
            <w:r>
              <w:rPr>
                <w:b/>
                <w:sz w:val="20"/>
              </w:rPr>
              <w:t xml:space="preserve">HARVARD BIOSCIENCE INC </w:t>
            </w:r>
          </w:p>
        </w:tc>
        <w:tc>
          <w:tcPr>
            <w:tcW w:w="154" w:type="dxa"/>
            <w:tcBorders/>
          </w:tcPr>
          <w:p>
            <w:pPr>
              <w:pStyle w:val="TableContents"/>
              <w:bidi w:val="0"/>
              <w:spacing w:before="0" w:after="283"/>
              <w:jc w:val="left"/>
              <w:rPr>
                <w:sz w:val="4"/>
                <w:szCs w:val="4"/>
              </w:rPr>
            </w:pPr>
            <w:r>
              <w:rPr>
                <w:sz w:val="4"/>
                <w:szCs w:val="4"/>
              </w:rPr>
            </w:r>
          </w:p>
        </w:tc>
      </w:tr>
    </w:tbl>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Heading"/>
              <w:bidi w:val="0"/>
              <w:spacing w:before="0" w:after="0"/>
              <w:ind w:left="0" w:right="0" w:hanging="0"/>
              <w:jc w:val="center"/>
              <w:rPr>
                <w:sz w:val="20"/>
              </w:rPr>
            </w:pPr>
            <w:r>
              <w:rPr>
                <w:b/>
                <w:sz w:val="20"/>
              </w:rPr>
              <w:t>Table 1: Newly Registered Securities</w:t>
            </w:r>
            <w:r>
              <w:rPr>
                <w:sz w:val="20"/>
              </w:rPr>
              <w:t xml:space="preserve"> </w:t>
            </w:r>
          </w:p>
        </w:tc>
      </w:tr>
    </w:tbl>
    <w:tbl>
      <w:tblPr>
        <w:tblW w:w="10205" w:type="dxa"/>
        <w:jc w:val="left"/>
        <w:tblInd w:w="0" w:type="dxa"/>
        <w:tblLayout w:type="fixed"/>
        <w:tblCellMar>
          <w:top w:w="28" w:type="dxa"/>
          <w:left w:w="28" w:type="dxa"/>
          <w:bottom w:w="28" w:type="dxa"/>
          <w:right w:w="28" w:type="dxa"/>
        </w:tblCellMar>
      </w:tblPr>
      <w:tblGrid>
        <w:gridCol w:w="232"/>
        <w:gridCol w:w="891"/>
        <w:gridCol w:w="1267"/>
        <w:gridCol w:w="1223"/>
        <w:gridCol w:w="1123"/>
        <w:gridCol w:w="1436"/>
        <w:gridCol w:w="1627"/>
        <w:gridCol w:w="997"/>
        <w:gridCol w:w="1409"/>
      </w:tblGrid>
      <w:tr>
        <w:trPr/>
        <w:tc>
          <w:tcPr>
            <w:tcW w:w="232" w:type="dxa"/>
            <w:tcBorders/>
            <w:shd w:fill="9ADAF6" w:val="clear"/>
            <w:vAlign w:val="center"/>
          </w:tcPr>
          <w:p>
            <w:pPr>
              <w:pStyle w:val="TableHeading"/>
              <w:bidi w:val="0"/>
              <w:spacing w:before="0" w:after="283"/>
              <w:rPr>
                <w:sz w:val="4"/>
                <w:szCs w:val="4"/>
              </w:rPr>
            </w:pPr>
            <w:r>
              <w:rPr>
                <w:sz w:val="4"/>
                <w:szCs w:val="4"/>
              </w:rPr>
            </w:r>
          </w:p>
        </w:tc>
        <w:tc>
          <w:tcPr>
            <w:tcW w:w="891" w:type="dxa"/>
            <w:tcBorders/>
            <w:shd w:fill="9ADAF6" w:val="clear"/>
            <w:vAlign w:val="center"/>
          </w:tcPr>
          <w:p>
            <w:pPr>
              <w:pStyle w:val="TableHeading"/>
              <w:bidi w:val="0"/>
              <w:spacing w:before="0" w:after="0"/>
              <w:ind w:left="0" w:right="0" w:hanging="0"/>
              <w:jc w:val="center"/>
              <w:rPr>
                <w:sz w:val="20"/>
              </w:rPr>
            </w:pPr>
            <w:r>
              <w:rPr>
                <w:b/>
                <w:sz w:val="20"/>
              </w:rPr>
              <w:t>Security Type</w:t>
            </w:r>
            <w:r>
              <w:rPr>
                <w:sz w:val="20"/>
              </w:rPr>
              <w:t xml:space="preserve"> </w:t>
            </w:r>
          </w:p>
        </w:tc>
        <w:tc>
          <w:tcPr>
            <w:tcW w:w="1267" w:type="dxa"/>
            <w:tcBorders/>
            <w:shd w:fill="9ADAF6" w:val="clear"/>
            <w:vAlign w:val="center"/>
          </w:tcPr>
          <w:p>
            <w:pPr>
              <w:pStyle w:val="TableHeading"/>
              <w:bidi w:val="0"/>
              <w:spacing w:before="0" w:after="0"/>
              <w:ind w:left="0" w:right="0" w:hanging="0"/>
              <w:jc w:val="center"/>
              <w:rPr>
                <w:b/>
                <w:sz w:val="20"/>
              </w:rPr>
            </w:pPr>
            <w:r>
              <w:rPr>
                <w:b/>
                <w:sz w:val="20"/>
              </w:rPr>
              <w:t xml:space="preserve">Security Class Title </w:t>
            </w:r>
          </w:p>
        </w:tc>
        <w:tc>
          <w:tcPr>
            <w:tcW w:w="1223" w:type="dxa"/>
            <w:tcBorders/>
            <w:shd w:fill="9ADAF6" w:val="clear"/>
            <w:vAlign w:val="center"/>
          </w:tcPr>
          <w:p>
            <w:pPr>
              <w:pStyle w:val="TableHeading"/>
              <w:bidi w:val="0"/>
              <w:spacing w:before="0" w:after="0"/>
              <w:ind w:left="0" w:right="0" w:hanging="0"/>
              <w:jc w:val="center"/>
              <w:rPr>
                <w:sz w:val="20"/>
              </w:rPr>
            </w:pPr>
            <w:r>
              <w:rPr>
                <w:b/>
                <w:sz w:val="20"/>
              </w:rPr>
              <w:t>Fee Calculation Rule</w:t>
            </w:r>
            <w:r>
              <w:rPr>
                <w:sz w:val="20"/>
              </w:rPr>
              <w:t xml:space="preserve"> </w:t>
            </w:r>
          </w:p>
        </w:tc>
        <w:tc>
          <w:tcPr>
            <w:tcW w:w="1123" w:type="dxa"/>
            <w:tcBorders/>
            <w:shd w:fill="9ADAF6" w:val="clear"/>
            <w:vAlign w:val="center"/>
          </w:tcPr>
          <w:p>
            <w:pPr>
              <w:pStyle w:val="TableHeading"/>
              <w:bidi w:val="0"/>
              <w:spacing w:before="0" w:after="0"/>
              <w:ind w:left="0" w:right="0" w:hanging="0"/>
              <w:jc w:val="center"/>
              <w:rPr>
                <w:sz w:val="20"/>
              </w:rPr>
            </w:pPr>
            <w:r>
              <w:rPr>
                <w:b/>
                <w:sz w:val="20"/>
              </w:rPr>
              <w:t>Amount Registered</w:t>
            </w:r>
            <w:r>
              <w:rPr>
                <w:sz w:val="20"/>
              </w:rPr>
              <w:t xml:space="preserve"> </w:t>
            </w:r>
          </w:p>
        </w:tc>
        <w:tc>
          <w:tcPr>
            <w:tcW w:w="1436" w:type="dxa"/>
            <w:tcBorders/>
            <w:shd w:fill="9ADAF6" w:val="clear"/>
            <w:vAlign w:val="center"/>
          </w:tcPr>
          <w:p>
            <w:pPr>
              <w:pStyle w:val="TableHeading"/>
              <w:bidi w:val="0"/>
              <w:spacing w:before="0" w:after="0"/>
              <w:ind w:left="0" w:right="0" w:hanging="0"/>
              <w:jc w:val="center"/>
              <w:rPr>
                <w:sz w:val="20"/>
              </w:rPr>
            </w:pPr>
            <w:r>
              <w:rPr>
                <w:b/>
                <w:sz w:val="20"/>
              </w:rPr>
              <w:t>Proposed Maximum Offering Price Per Unit</w:t>
            </w:r>
            <w:r>
              <w:rPr>
                <w:sz w:val="20"/>
              </w:rPr>
              <w:t xml:space="preserve"> </w:t>
            </w:r>
          </w:p>
        </w:tc>
        <w:tc>
          <w:tcPr>
            <w:tcW w:w="1627" w:type="dxa"/>
            <w:tcBorders/>
            <w:shd w:fill="9ADAF6" w:val="clear"/>
            <w:vAlign w:val="center"/>
          </w:tcPr>
          <w:p>
            <w:pPr>
              <w:pStyle w:val="TableHeading"/>
              <w:bidi w:val="0"/>
              <w:spacing w:before="0" w:after="0"/>
              <w:ind w:left="0" w:right="0" w:hanging="0"/>
              <w:jc w:val="center"/>
              <w:rPr>
                <w:sz w:val="20"/>
              </w:rPr>
            </w:pPr>
            <w:r>
              <w:rPr>
                <w:b/>
                <w:sz w:val="20"/>
              </w:rPr>
              <w:t>Maximum Aggregate Offering Price</w:t>
            </w:r>
            <w:r>
              <w:rPr>
                <w:sz w:val="20"/>
              </w:rPr>
              <w:t xml:space="preserve"> </w:t>
            </w:r>
          </w:p>
        </w:tc>
        <w:tc>
          <w:tcPr>
            <w:tcW w:w="997" w:type="dxa"/>
            <w:tcBorders/>
            <w:shd w:fill="9ADAF6" w:val="clear"/>
            <w:vAlign w:val="center"/>
          </w:tcPr>
          <w:p>
            <w:pPr>
              <w:pStyle w:val="TableHeading"/>
              <w:bidi w:val="0"/>
              <w:spacing w:before="0" w:after="0"/>
              <w:ind w:left="0" w:right="0" w:hanging="0"/>
              <w:jc w:val="center"/>
              <w:rPr>
                <w:sz w:val="20"/>
              </w:rPr>
            </w:pPr>
            <w:r>
              <w:rPr>
                <w:b/>
                <w:sz w:val="20"/>
              </w:rPr>
              <w:t>Fee Rate</w:t>
            </w:r>
            <w:r>
              <w:rPr>
                <w:sz w:val="20"/>
              </w:rPr>
              <w:t xml:space="preserve"> </w:t>
            </w:r>
          </w:p>
        </w:tc>
        <w:tc>
          <w:tcPr>
            <w:tcW w:w="1409" w:type="dxa"/>
            <w:tcBorders/>
            <w:shd w:fill="9ADAF6" w:val="clear"/>
            <w:vAlign w:val="center"/>
          </w:tcPr>
          <w:p>
            <w:pPr>
              <w:pStyle w:val="TableHeading"/>
              <w:bidi w:val="0"/>
              <w:spacing w:before="0" w:after="0"/>
              <w:ind w:left="0" w:right="0" w:hanging="0"/>
              <w:jc w:val="center"/>
              <w:rPr>
                <w:sz w:val="20"/>
              </w:rPr>
            </w:pPr>
            <w:r>
              <w:rPr>
                <w:b/>
                <w:sz w:val="20"/>
              </w:rPr>
              <w:t>Amount of Registration Fee</w:t>
            </w:r>
            <w:r>
              <w:rPr>
                <w:sz w:val="20"/>
              </w:rPr>
              <w:t xml:space="preserve"> </w:t>
            </w:r>
          </w:p>
        </w:tc>
      </w:tr>
      <w:tr>
        <w:trPr/>
        <w:tc>
          <w:tcPr>
            <w:tcW w:w="232" w:type="dxa"/>
            <w:tcBorders/>
            <w:shd w:fill="E7E7E2" w:val="clear"/>
            <w:vAlign w:val="center"/>
          </w:tcPr>
          <w:p>
            <w:pPr>
              <w:pStyle w:val="TableContents"/>
              <w:bidi w:val="0"/>
              <w:spacing w:before="0" w:after="283"/>
              <w:jc w:val="center"/>
              <w:rPr>
                <w:sz w:val="20"/>
              </w:rPr>
            </w:pPr>
            <w:r>
              <w:rPr>
                <w:sz w:val="20"/>
              </w:rPr>
              <w:t xml:space="preserve">1 </w:t>
            </w:r>
          </w:p>
        </w:tc>
        <w:tc>
          <w:tcPr>
            <w:tcW w:w="891" w:type="dxa"/>
            <w:tcBorders/>
            <w:shd w:fill="E7E7E2" w:val="clear"/>
            <w:vAlign w:val="center"/>
          </w:tcPr>
          <w:p>
            <w:pPr>
              <w:pStyle w:val="TableContents"/>
              <w:bidi w:val="0"/>
              <w:spacing w:before="0" w:after="283"/>
              <w:jc w:val="left"/>
              <w:rPr>
                <w:sz w:val="20"/>
              </w:rPr>
            </w:pPr>
            <w:r>
              <w:rPr>
                <w:sz w:val="20"/>
              </w:rPr>
              <w:t xml:space="preserve">Equity </w:t>
            </w:r>
          </w:p>
        </w:tc>
        <w:tc>
          <w:tcPr>
            <w:tcW w:w="1267" w:type="dxa"/>
            <w:tcBorders/>
            <w:shd w:fill="E7E7E2" w:val="clear"/>
            <w:vAlign w:val="center"/>
          </w:tcPr>
          <w:p>
            <w:pPr>
              <w:pStyle w:val="TableContents"/>
              <w:bidi w:val="0"/>
              <w:spacing w:before="0" w:after="283"/>
              <w:jc w:val="left"/>
              <w:rPr>
                <w:sz w:val="20"/>
              </w:rPr>
            </w:pPr>
            <w:r>
              <w:rPr>
                <w:sz w:val="20"/>
              </w:rPr>
              <w:t xml:space="preserve">Common Stock, $0.01 par value per share </w:t>
            </w:r>
          </w:p>
        </w:tc>
        <w:tc>
          <w:tcPr>
            <w:tcW w:w="1223" w:type="dxa"/>
            <w:tcBorders/>
            <w:shd w:fill="E7E7E2" w:val="clear"/>
            <w:vAlign w:val="center"/>
          </w:tcPr>
          <w:p>
            <w:pPr>
              <w:pStyle w:val="TableContents"/>
              <w:bidi w:val="0"/>
              <w:spacing w:before="0" w:after="283"/>
              <w:jc w:val="center"/>
              <w:rPr>
                <w:sz w:val="20"/>
              </w:rPr>
            </w:pPr>
            <w:r>
              <w:rPr>
                <w:sz w:val="20"/>
              </w:rPr>
              <w:t xml:space="preserve">Other </w:t>
            </w:r>
          </w:p>
        </w:tc>
        <w:tc>
          <w:tcPr>
            <w:tcW w:w="1123" w:type="dxa"/>
            <w:tcBorders/>
            <w:shd w:fill="E7E7E2" w:val="clear"/>
            <w:vAlign w:val="center"/>
          </w:tcPr>
          <w:p>
            <w:pPr>
              <w:pStyle w:val="TableContents"/>
              <w:bidi w:val="0"/>
              <w:spacing w:before="0" w:after="283"/>
              <w:jc w:val="right"/>
              <w:rPr>
                <w:sz w:val="20"/>
              </w:rPr>
            </w:pPr>
            <w:r>
              <w:rPr>
                <w:sz w:val="20"/>
              </w:rPr>
              <w:t xml:space="preserve">400,000 </w:t>
            </w:r>
          </w:p>
        </w:tc>
        <w:tc>
          <w:tcPr>
            <w:tcW w:w="1436" w:type="dxa"/>
            <w:tcBorders/>
            <w:shd w:fill="E7E7E2" w:val="clear"/>
            <w:vAlign w:val="center"/>
          </w:tcPr>
          <w:p>
            <w:pPr>
              <w:pStyle w:val="TableContents"/>
              <w:bidi w:val="0"/>
              <w:spacing w:before="0" w:after="283"/>
              <w:jc w:val="right"/>
              <w:rPr>
                <w:sz w:val="20"/>
              </w:rPr>
            </w:pPr>
            <w:r>
              <w:rPr>
                <w:sz w:val="20"/>
              </w:rPr>
              <w:t xml:space="preserve">$ 6.38 </w:t>
            </w:r>
          </w:p>
        </w:tc>
        <w:tc>
          <w:tcPr>
            <w:tcW w:w="1627" w:type="dxa"/>
            <w:tcBorders/>
            <w:shd w:fill="E7E7E2" w:val="clear"/>
            <w:vAlign w:val="center"/>
          </w:tcPr>
          <w:p>
            <w:pPr>
              <w:pStyle w:val="TableContents"/>
              <w:bidi w:val="0"/>
              <w:spacing w:before="0" w:after="283"/>
              <w:jc w:val="right"/>
              <w:rPr>
                <w:sz w:val="20"/>
              </w:rPr>
            </w:pPr>
            <w:r>
              <w:rPr>
                <w:sz w:val="20"/>
              </w:rPr>
              <w:t xml:space="preserve">$ 2,552,000.00 </w:t>
            </w:r>
          </w:p>
        </w:tc>
        <w:tc>
          <w:tcPr>
            <w:tcW w:w="997" w:type="dxa"/>
            <w:tcBorders/>
            <w:shd w:fill="E7E7E2" w:val="clear"/>
            <w:vAlign w:val="center"/>
          </w:tcPr>
          <w:p>
            <w:pPr>
              <w:pStyle w:val="TableContents"/>
              <w:bidi w:val="0"/>
              <w:spacing w:before="0" w:after="283"/>
              <w:jc w:val="right"/>
              <w:rPr>
                <w:sz w:val="20"/>
              </w:rPr>
            </w:pPr>
            <w:r>
              <w:rPr>
                <w:sz w:val="20"/>
              </w:rPr>
              <w:t xml:space="preserve">0.0001381 </w:t>
            </w:r>
          </w:p>
        </w:tc>
        <w:tc>
          <w:tcPr>
            <w:tcW w:w="1409" w:type="dxa"/>
            <w:tcBorders/>
            <w:shd w:fill="E7E7E2" w:val="clear"/>
            <w:vAlign w:val="center"/>
          </w:tcPr>
          <w:p>
            <w:pPr>
              <w:pStyle w:val="TableContents"/>
              <w:bidi w:val="0"/>
              <w:spacing w:before="0" w:after="283"/>
              <w:jc w:val="right"/>
              <w:rPr>
                <w:sz w:val="20"/>
              </w:rPr>
            </w:pPr>
            <w:r>
              <w:rPr>
                <w:sz w:val="20"/>
              </w:rPr>
              <w:t xml:space="preserve">$ 352.43 </w:t>
            </w:r>
          </w:p>
        </w:tc>
      </w:tr>
      <w:tr>
        <w:trPr/>
        <w:tc>
          <w:tcPr>
            <w:tcW w:w="232" w:type="dxa"/>
            <w:tcBorders/>
            <w:shd w:fill="E7E7E2" w:val="clear"/>
            <w:vAlign w:val="center"/>
          </w:tcPr>
          <w:p>
            <w:pPr>
              <w:pStyle w:val="TableContents"/>
              <w:bidi w:val="0"/>
              <w:spacing w:before="0" w:after="283"/>
              <w:jc w:val="center"/>
              <w:rPr>
                <w:sz w:val="20"/>
              </w:rPr>
            </w:pPr>
            <w:r>
              <w:rPr>
                <w:sz w:val="20"/>
              </w:rPr>
              <w:t xml:space="preserve">2 </w:t>
            </w:r>
          </w:p>
        </w:tc>
        <w:tc>
          <w:tcPr>
            <w:tcW w:w="891" w:type="dxa"/>
            <w:tcBorders/>
            <w:shd w:fill="E7E7E2" w:val="clear"/>
            <w:vAlign w:val="center"/>
          </w:tcPr>
          <w:p>
            <w:pPr>
              <w:pStyle w:val="TableContents"/>
              <w:bidi w:val="0"/>
              <w:spacing w:before="0" w:after="283"/>
              <w:jc w:val="left"/>
              <w:rPr>
                <w:sz w:val="20"/>
              </w:rPr>
            </w:pPr>
            <w:r>
              <w:rPr>
                <w:sz w:val="20"/>
              </w:rPr>
              <w:t xml:space="preserve">Equity </w:t>
            </w:r>
          </w:p>
        </w:tc>
        <w:tc>
          <w:tcPr>
            <w:tcW w:w="1267" w:type="dxa"/>
            <w:tcBorders/>
            <w:shd w:fill="E7E7E2" w:val="clear"/>
            <w:vAlign w:val="center"/>
          </w:tcPr>
          <w:p>
            <w:pPr>
              <w:pStyle w:val="TableContents"/>
              <w:bidi w:val="0"/>
              <w:spacing w:before="0" w:after="283"/>
              <w:jc w:val="left"/>
              <w:rPr>
                <w:sz w:val="20"/>
              </w:rPr>
            </w:pPr>
            <w:r>
              <w:rPr>
                <w:sz w:val="20"/>
              </w:rPr>
              <w:t xml:space="preserve">Common Stock, $0.01 par value per share </w:t>
            </w:r>
          </w:p>
        </w:tc>
        <w:tc>
          <w:tcPr>
            <w:tcW w:w="1223" w:type="dxa"/>
            <w:tcBorders/>
            <w:shd w:fill="E7E7E2" w:val="clear"/>
            <w:vAlign w:val="center"/>
          </w:tcPr>
          <w:p>
            <w:pPr>
              <w:pStyle w:val="TableContents"/>
              <w:bidi w:val="0"/>
              <w:spacing w:before="0" w:after="283"/>
              <w:jc w:val="center"/>
              <w:rPr>
                <w:sz w:val="20"/>
              </w:rPr>
            </w:pPr>
            <w:r>
              <w:rPr>
                <w:sz w:val="20"/>
              </w:rPr>
              <w:t xml:space="preserve">Other </w:t>
            </w:r>
          </w:p>
        </w:tc>
        <w:tc>
          <w:tcPr>
            <w:tcW w:w="1123" w:type="dxa"/>
            <w:tcBorders/>
            <w:shd w:fill="E7E7E2" w:val="clear"/>
            <w:vAlign w:val="center"/>
          </w:tcPr>
          <w:p>
            <w:pPr>
              <w:pStyle w:val="TableContents"/>
              <w:bidi w:val="0"/>
              <w:spacing w:before="0" w:after="283"/>
              <w:jc w:val="right"/>
              <w:rPr>
                <w:sz w:val="20"/>
              </w:rPr>
            </w:pPr>
            <w:r>
              <w:rPr>
                <w:sz w:val="20"/>
              </w:rPr>
              <w:t xml:space="preserve">120,000 </w:t>
            </w:r>
          </w:p>
        </w:tc>
        <w:tc>
          <w:tcPr>
            <w:tcW w:w="1436" w:type="dxa"/>
            <w:tcBorders/>
            <w:shd w:fill="E7E7E2" w:val="clear"/>
            <w:vAlign w:val="center"/>
          </w:tcPr>
          <w:p>
            <w:pPr>
              <w:pStyle w:val="TableContents"/>
              <w:bidi w:val="0"/>
              <w:spacing w:before="0" w:after="283"/>
              <w:jc w:val="right"/>
              <w:rPr>
                <w:sz w:val="20"/>
              </w:rPr>
            </w:pPr>
            <w:r>
              <w:rPr>
                <w:sz w:val="20"/>
              </w:rPr>
              <w:t xml:space="preserve">$ 6.38 </w:t>
            </w:r>
          </w:p>
        </w:tc>
        <w:tc>
          <w:tcPr>
            <w:tcW w:w="1627" w:type="dxa"/>
            <w:tcBorders/>
            <w:shd w:fill="E7E7E2" w:val="clear"/>
            <w:vAlign w:val="center"/>
          </w:tcPr>
          <w:p>
            <w:pPr>
              <w:pStyle w:val="TableContents"/>
              <w:bidi w:val="0"/>
              <w:spacing w:before="0" w:after="283"/>
              <w:jc w:val="right"/>
              <w:rPr>
                <w:sz w:val="20"/>
              </w:rPr>
            </w:pPr>
            <w:r>
              <w:rPr>
                <w:sz w:val="20"/>
              </w:rPr>
              <w:t xml:space="preserve">$ 765,600.00 </w:t>
            </w:r>
          </w:p>
        </w:tc>
        <w:tc>
          <w:tcPr>
            <w:tcW w:w="997" w:type="dxa"/>
            <w:tcBorders/>
            <w:shd w:fill="E7E7E2" w:val="clear"/>
            <w:vAlign w:val="center"/>
          </w:tcPr>
          <w:p>
            <w:pPr>
              <w:pStyle w:val="TableContents"/>
              <w:bidi w:val="0"/>
              <w:spacing w:before="0" w:after="283"/>
              <w:jc w:val="right"/>
              <w:rPr>
                <w:sz w:val="20"/>
              </w:rPr>
            </w:pPr>
            <w:r>
              <w:rPr>
                <w:sz w:val="20"/>
              </w:rPr>
              <w:t xml:space="preserve">0.0001381 </w:t>
            </w:r>
          </w:p>
        </w:tc>
        <w:tc>
          <w:tcPr>
            <w:tcW w:w="1409" w:type="dxa"/>
            <w:tcBorders/>
            <w:shd w:fill="E7E7E2" w:val="clear"/>
            <w:vAlign w:val="center"/>
          </w:tcPr>
          <w:p>
            <w:pPr>
              <w:pStyle w:val="TableContents"/>
              <w:bidi w:val="0"/>
              <w:spacing w:before="0" w:after="283"/>
              <w:jc w:val="right"/>
              <w:rPr>
                <w:sz w:val="20"/>
              </w:rPr>
            </w:pPr>
            <w:r>
              <w:rPr>
                <w:sz w:val="20"/>
              </w:rPr>
              <w:t xml:space="preserve">$ 105.73 </w:t>
            </w:r>
          </w:p>
        </w:tc>
      </w:tr>
      <w:tr>
        <w:trPr/>
        <w:tc>
          <w:tcPr>
            <w:tcW w:w="4736" w:type="dxa"/>
            <w:gridSpan w:val="5"/>
            <w:tcBorders/>
            <w:vAlign w:val="center"/>
          </w:tcPr>
          <w:p>
            <w:pPr>
              <w:pStyle w:val="TableContents"/>
              <w:bidi w:val="0"/>
              <w:spacing w:before="0" w:after="0"/>
              <w:ind w:left="0" w:right="0" w:hanging="0"/>
              <w:jc w:val="right"/>
              <w:rPr>
                <w:sz w:val="20"/>
              </w:rPr>
            </w:pPr>
            <w:r>
              <w:rPr>
                <w:sz w:val="20"/>
              </w:rPr>
              <w:t>Total Offering Amounts:</w:t>
            </w:r>
          </w:p>
        </w:tc>
        <w:tc>
          <w:tcPr>
            <w:tcW w:w="1436"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0"/>
              <w:ind w:left="0" w:right="0" w:hanging="0"/>
              <w:jc w:val="right"/>
              <w:rPr>
                <w:sz w:val="20"/>
              </w:rPr>
            </w:pPr>
            <w:bookmarkStart w:id="9" w:name="MaxAggtOfferingPrice"/>
            <w:bookmarkEnd w:id="9"/>
            <w:r>
              <w:rPr>
                <w:sz w:val="20"/>
              </w:rPr>
              <w:t xml:space="preserve">$ 3,317,600.00 </w:t>
            </w:r>
          </w:p>
        </w:tc>
        <w:tc>
          <w:tcPr>
            <w:tcW w:w="997" w:type="dxa"/>
            <w:tcBorders/>
            <w:vAlign w:val="center"/>
          </w:tcPr>
          <w:p>
            <w:pPr>
              <w:pStyle w:val="TableContents"/>
              <w:bidi w:val="0"/>
              <w:spacing w:before="0" w:after="283"/>
              <w:jc w:val="left"/>
              <w:rPr>
                <w:sz w:val="4"/>
                <w:szCs w:val="4"/>
              </w:rPr>
            </w:pPr>
            <w:r>
              <w:rPr>
                <w:sz w:val="4"/>
                <w:szCs w:val="4"/>
              </w:rPr>
            </w:r>
          </w:p>
        </w:tc>
        <w:tc>
          <w:tcPr>
            <w:tcW w:w="1409" w:type="dxa"/>
            <w:tcBorders/>
            <w:tcMar>
              <w:top w:w="0" w:type="dxa"/>
              <w:left w:w="0" w:type="dxa"/>
              <w:bottom w:w="0" w:type="dxa"/>
              <w:right w:w="0" w:type="dxa"/>
            </w:tcMar>
            <w:vAlign w:val="center"/>
          </w:tcPr>
          <w:p>
            <w:pPr>
              <w:pStyle w:val="TableContents"/>
              <w:bidi w:val="0"/>
              <w:spacing w:before="0" w:after="0"/>
              <w:ind w:left="0" w:right="0" w:hanging="0"/>
              <w:jc w:val="right"/>
              <w:rPr>
                <w:sz w:val="20"/>
              </w:rPr>
            </w:pPr>
            <w:bookmarkStart w:id="10" w:name="TotalFeeAmt"/>
            <w:bookmarkEnd w:id="10"/>
            <w:r>
              <w:rPr>
                <w:sz w:val="20"/>
              </w:rPr>
              <w:t xml:space="preserve">$ 458.16 </w:t>
            </w:r>
          </w:p>
        </w:tc>
      </w:tr>
      <w:tr>
        <w:trPr/>
        <w:tc>
          <w:tcPr>
            <w:tcW w:w="4736" w:type="dxa"/>
            <w:gridSpan w:val="5"/>
            <w:tcBorders/>
            <w:vAlign w:val="center"/>
          </w:tcPr>
          <w:p>
            <w:pPr>
              <w:pStyle w:val="TableContents"/>
              <w:bidi w:val="0"/>
              <w:spacing w:before="0" w:after="0"/>
              <w:ind w:left="0" w:right="0" w:hanging="0"/>
              <w:jc w:val="right"/>
              <w:rPr>
                <w:sz w:val="20"/>
              </w:rPr>
            </w:pPr>
            <w:r>
              <w:rPr>
                <w:sz w:val="20"/>
              </w:rPr>
              <w:t xml:space="preserve">Total Fee Offsets: </w:t>
            </w:r>
          </w:p>
        </w:tc>
        <w:tc>
          <w:tcPr>
            <w:tcW w:w="1436"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0"/>
              <w:ind w:left="0" w:right="0" w:hanging="0"/>
              <w:jc w:val="right"/>
              <w:rPr>
                <w:sz w:val="20"/>
              </w:rPr>
            </w:pPr>
            <w:bookmarkStart w:id="11" w:name="TotalOffsetAmt"/>
            <w:bookmarkEnd w:id="11"/>
            <w:r>
              <w:rPr>
                <w:sz w:val="20"/>
              </w:rPr>
              <w:t xml:space="preserve">$ 0.00 </w:t>
            </w:r>
          </w:p>
        </w:tc>
      </w:tr>
      <w:tr>
        <w:trPr/>
        <w:tc>
          <w:tcPr>
            <w:tcW w:w="4736" w:type="dxa"/>
            <w:gridSpan w:val="5"/>
            <w:tcBorders/>
            <w:vAlign w:val="center"/>
          </w:tcPr>
          <w:p>
            <w:pPr>
              <w:pStyle w:val="TableContents"/>
              <w:bidi w:val="0"/>
              <w:spacing w:before="0" w:after="0"/>
              <w:ind w:left="0" w:right="0" w:hanging="0"/>
              <w:jc w:val="right"/>
              <w:rPr>
                <w:sz w:val="20"/>
              </w:rPr>
            </w:pPr>
            <w:r>
              <w:rPr>
                <w:sz w:val="20"/>
              </w:rPr>
              <w:t xml:space="preserve">Net Fee Due: </w:t>
            </w:r>
          </w:p>
        </w:tc>
        <w:tc>
          <w:tcPr>
            <w:tcW w:w="1436"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0"/>
              <w:ind w:left="0" w:right="0" w:hanging="0"/>
              <w:jc w:val="right"/>
              <w:rPr>
                <w:sz w:val="20"/>
              </w:rPr>
            </w:pPr>
            <w:bookmarkStart w:id="12" w:name="NetFeeAmt"/>
            <w:bookmarkEnd w:id="12"/>
            <w:r>
              <w:rPr>
                <w:sz w:val="20"/>
              </w:rPr>
              <w:t xml:space="preserve">$ 458.16 </w:t>
            </w:r>
          </w:p>
        </w:tc>
      </w:tr>
    </w:tbl>
    <w:tbl>
      <w:tblPr>
        <w:tblW w:w="1475" w:type="dxa"/>
        <w:jc w:val="left"/>
        <w:tblInd w:w="0" w:type="dxa"/>
        <w:tblLayout w:type="fixed"/>
        <w:tblCellMar>
          <w:top w:w="28" w:type="dxa"/>
          <w:left w:w="28" w:type="dxa"/>
          <w:bottom w:w="28" w:type="dxa"/>
          <w:right w:w="28" w:type="dxa"/>
        </w:tblCellMar>
      </w:tblPr>
      <w:tblGrid>
        <w:gridCol w:w="1321"/>
        <w:gridCol w:w="154"/>
      </w:tblGrid>
      <w:tr>
        <w:trPr/>
        <w:tc>
          <w:tcPr>
            <w:tcW w:w="1321" w:type="dxa"/>
            <w:tcBorders/>
            <w:vAlign w:val="center"/>
          </w:tcPr>
          <w:p>
            <w:pPr>
              <w:pStyle w:val="TableContents"/>
              <w:bidi w:val="0"/>
              <w:spacing w:before="0" w:after="75"/>
              <w:ind w:left="0" w:right="0" w:hanging="0"/>
              <w:jc w:val="left"/>
              <w:rPr>
                <w:sz w:val="20"/>
              </w:rPr>
            </w:pPr>
            <w:r>
              <w:rPr>
                <w:b/>
                <w:sz w:val="20"/>
              </w:rPr>
              <w:t>Offering Note</w:t>
            </w:r>
            <w:r>
              <w:rPr>
                <w:sz w:val="20"/>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3"/>
        <w:gridCol w:w="8711"/>
      </w:tblGrid>
      <w:tr>
        <w:trPr/>
        <w:tc>
          <w:tcPr>
            <w:tcW w:w="201" w:type="dxa"/>
            <w:tcBorders/>
            <w:vAlign w:val="center"/>
          </w:tcPr>
          <w:p>
            <w:pPr>
              <w:pStyle w:val="TableContents"/>
              <w:bidi w:val="0"/>
              <w:spacing w:lineRule="auto" w:line="288" w:before="0" w:after="0"/>
              <w:ind w:left="0" w:right="0" w:hanging="0"/>
              <w:jc w:val="left"/>
              <w:rPr>
                <w:sz w:val="20"/>
              </w:rPr>
            </w:pPr>
            <w:r>
              <w:rPr>
                <w:sz w:val="15"/>
              </w:rPr>
              <w:t>1</w:t>
            </w:r>
            <w:r>
              <w:rPr>
                <w:sz w:val="20"/>
              </w:rPr>
              <w:t xml:space="preserve"> </w:t>
            </w:r>
          </w:p>
        </w:tc>
        <w:tc>
          <w:tcPr>
            <w:tcW w:w="10004" w:type="dxa"/>
            <w:gridSpan w:val="2"/>
            <w:tcBorders/>
            <w:vAlign w:val="center"/>
          </w:tcPr>
          <w:p>
            <w:pPr>
              <w:pStyle w:val="TableContents"/>
              <w:bidi w:val="0"/>
              <w:spacing w:before="0" w:after="283"/>
              <w:jc w:val="left"/>
              <w:rPr>
                <w:sz w:val="20"/>
              </w:rPr>
            </w:pPr>
            <w:r>
              <w:rPr>
                <w:sz w:val="20"/>
              </w:rPr>
              <w:t xml:space="preserve">(1) Pursuant to Rule 416 under the Securities Act of 1933, as amended (the "Securities Act"), this registration statement also covers such an indeterminate amount of shares of common stock, par value $0.01 per share ("Common Stock"), as may become issuable to prevent dilution resulting from stock splits, stock dividends and similar events. (2) The amount registered consists of up to 400,000 shares of Common Stock issuable pursuant to the Registrant's Employee Stock Purchase Plan, as amended. (3) The proposed maximum offering price per unit is estimated solely for the purpose of calculating the registration fee, based on the average of the high and low prices of the shares of Common Stock on the Nasdaq Capital Market on June 4, 2026 (such date being within five business days of the date that this registration statement was first filed with the Securities and Exchange Commission, in accordance with Rule 457(c) under the Securities Act). </w:t>
            </w:r>
          </w:p>
        </w:tc>
      </w:tr>
      <w:tr>
        <w:trPr/>
        <w:tc>
          <w:tcPr>
            <w:tcW w:w="1494" w:type="dxa"/>
            <w:gridSpan w:val="2"/>
            <w:tcBorders/>
            <w:vAlign w:val="center"/>
          </w:tcPr>
          <w:p>
            <w:pPr>
              <w:pStyle w:val="HorizontalLine"/>
              <w:bidi w:val="0"/>
              <w:spacing w:before="0" w:after="283"/>
              <w:jc w:val="left"/>
              <w:rPr>
                <w:sz w:val="20"/>
                <w:szCs w:val="20"/>
              </w:rPr>
            </w:pPr>
            <w:r>
              <w:rPr>
                <w:sz w:val="20"/>
                <w:szCs w:val="20"/>
              </w:rPr>
            </w:r>
          </w:p>
        </w:tc>
        <w:tc>
          <w:tcPr>
            <w:tcW w:w="8711"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sz w:val="20"/>
              </w:rPr>
            </w:pPr>
            <w:r>
              <w:rPr>
                <w:sz w:val="15"/>
              </w:rPr>
              <w:t>2</w:t>
            </w:r>
            <w:r>
              <w:rPr>
                <w:sz w:val="20"/>
              </w:rPr>
              <w:t xml:space="preserve"> </w:t>
            </w:r>
          </w:p>
        </w:tc>
        <w:tc>
          <w:tcPr>
            <w:tcW w:w="10004" w:type="dxa"/>
            <w:gridSpan w:val="2"/>
            <w:tcBorders/>
            <w:vAlign w:val="center"/>
          </w:tcPr>
          <w:p>
            <w:pPr>
              <w:pStyle w:val="TableContents"/>
              <w:bidi w:val="0"/>
              <w:spacing w:before="0" w:after="283"/>
              <w:jc w:val="left"/>
              <w:rPr>
                <w:sz w:val="20"/>
              </w:rPr>
            </w:pPr>
            <w:r>
              <w:rPr>
                <w:sz w:val="20"/>
              </w:rPr>
              <w:t xml:space="preserve">(1) Pursuant to Rule 416 under the Securities Act of 1933, as amended (the "Securities Act"), this registration statement also covers such an indeterminate amount of shares of common stock, par value $0.01 per share ("Common Stock"), as may become issuable to prevent dilution resulting from stock splits, stock dividends and similar events. (2) The The amount registered consists of up to 120,000 shares of Common Stock issuable pursuant to the Amended and Restated 2021 Incentive Plan. (3) The proposed maximum offering price per unit is estimated solely for the purpose of calculating the registration fee, based on the average of the high and low prices of the shares of Common Stock on the Nasdaq Capital Market on June 4, 2026 (such date being within five business days of the date that this registration statement was first filed with the Securities and Exchange Commission, in accordance with Rule 457(c) under the Securities Act). </w:t>
            </w:r>
          </w:p>
        </w:tc>
      </w:tr>
      <w:tr>
        <w:trPr/>
        <w:tc>
          <w:tcPr>
            <w:tcW w:w="1494" w:type="dxa"/>
            <w:gridSpan w:val="2"/>
            <w:tcBorders/>
            <w:vAlign w:val="center"/>
          </w:tcPr>
          <w:p>
            <w:pPr>
              <w:pStyle w:val="HorizontalLine"/>
              <w:bidi w:val="0"/>
              <w:spacing w:before="0" w:after="283"/>
              <w:jc w:val="left"/>
              <w:rPr>
                <w:sz w:val="20"/>
                <w:szCs w:val="20"/>
              </w:rPr>
            </w:pPr>
            <w:r>
              <w:rPr>
                <w:sz w:val="20"/>
                <w:szCs w:val="20"/>
              </w:rPr>
            </w:r>
          </w:p>
        </w:tc>
        <w:tc>
          <w:tcPr>
            <w:tcW w:w="8711" w:type="dxa"/>
            <w:tcBorders/>
          </w:tcPr>
          <w:p>
            <w:pPr>
              <w:pStyle w:val="TableContents"/>
              <w:bidi w:val="0"/>
              <w:spacing w:before="0" w:after="283"/>
              <w:jc w:val="left"/>
              <w:rPr>
                <w:sz w:val="4"/>
                <w:szCs w:val="4"/>
              </w:rPr>
            </w:pPr>
            <w:r>
              <w:rPr>
                <w:sz w:val="4"/>
                <w:szCs w:val="4"/>
              </w:rPr>
            </w:r>
          </w:p>
        </w:tc>
      </w:tr>
    </w:tbl>
    <w:tbl>
      <w:tblPr>
        <w:tblW w:w="5132" w:type="dxa"/>
        <w:jc w:val="left"/>
        <w:tblInd w:w="0" w:type="dxa"/>
        <w:tblLayout w:type="fixed"/>
        <w:tblCellMar>
          <w:top w:w="28" w:type="dxa"/>
          <w:left w:w="28" w:type="dxa"/>
          <w:bottom w:w="28" w:type="dxa"/>
          <w:right w:w="28" w:type="dxa"/>
        </w:tblCellMar>
      </w:tblPr>
      <w:tblGrid>
        <w:gridCol w:w="3466"/>
        <w:gridCol w:w="1666"/>
      </w:tblGrid>
      <w:tr>
        <w:trPr/>
        <w:tc>
          <w:tcPr>
            <w:tcW w:w="3466" w:type="dxa"/>
            <w:tcBorders/>
            <w:vAlign w:val="center"/>
          </w:tcPr>
          <w:p>
            <w:pPr>
              <w:pStyle w:val="TableHeading"/>
              <w:bidi w:val="0"/>
              <w:spacing w:before="0" w:after="283"/>
              <w:jc w:val="left"/>
              <w:rPr>
                <w:sz w:val="20"/>
              </w:rPr>
            </w:pPr>
            <w:r>
              <w:rPr>
                <w:b/>
                <w:sz w:val="20"/>
              </w:rPr>
              <w:t>Table 2: Fee Offset Claims and Sources</w:t>
            </w:r>
            <w:r>
              <w:rPr>
                <w:sz w:val="20"/>
              </w:rPr>
              <w:t xml:space="preserve"> </w:t>
            </w:r>
          </w:p>
        </w:tc>
        <w:tc>
          <w:tcPr>
            <w:tcW w:w="1666" w:type="dxa"/>
            <w:tcBorders/>
            <w:vAlign w:val="center"/>
          </w:tcPr>
          <w:p>
            <w:pPr>
              <w:pStyle w:val="TableHeading"/>
              <w:bidi w:val="0"/>
              <w:spacing w:before="0" w:after="283"/>
              <w:jc w:val="right"/>
              <w:rPr/>
            </w:pPr>
            <w:r>
              <w:rPr/>
              <w:t>☑</w:t>
            </w:r>
            <w:r>
              <w:rPr>
                <w:sz w:val="20"/>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751"/>
        <w:gridCol w:w="109"/>
        <w:gridCol w:w="991"/>
        <w:gridCol w:w="616"/>
        <w:gridCol w:w="796"/>
        <w:gridCol w:w="631"/>
        <w:gridCol w:w="616"/>
        <w:gridCol w:w="826"/>
        <w:gridCol w:w="1006"/>
        <w:gridCol w:w="1006"/>
        <w:gridCol w:w="1006"/>
        <w:gridCol w:w="1006"/>
        <w:gridCol w:w="691"/>
        <w:gridCol w:w="154"/>
      </w:tblGrid>
      <w:tr>
        <w:trPr/>
        <w:tc>
          <w:tcPr>
            <w:tcW w:w="75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991" w:type="dxa"/>
            <w:tcBorders/>
            <w:shd w:fill="9ADAF6" w:val="clear"/>
            <w:vAlign w:val="center"/>
          </w:tcPr>
          <w:p>
            <w:pPr>
              <w:pStyle w:val="TableHeading"/>
              <w:bidi w:val="0"/>
              <w:spacing w:before="0" w:after="283"/>
              <w:rPr>
                <w:sz w:val="20"/>
              </w:rPr>
            </w:pPr>
            <w:r>
              <w:rPr>
                <w:sz w:val="20"/>
              </w:rPr>
              <w:t xml:space="preserve">Registrant or Filer Name </w:t>
            </w:r>
          </w:p>
        </w:tc>
        <w:tc>
          <w:tcPr>
            <w:tcW w:w="616" w:type="dxa"/>
            <w:tcBorders/>
            <w:shd w:fill="9ADAF6" w:val="clear"/>
            <w:vAlign w:val="center"/>
          </w:tcPr>
          <w:p>
            <w:pPr>
              <w:pStyle w:val="TableHeading"/>
              <w:bidi w:val="0"/>
              <w:spacing w:before="0" w:after="283"/>
              <w:rPr>
                <w:sz w:val="20"/>
              </w:rPr>
            </w:pPr>
            <w:r>
              <w:rPr>
                <w:sz w:val="20"/>
              </w:rPr>
              <w:t xml:space="preserve">Form or Filing Type </w:t>
            </w:r>
          </w:p>
        </w:tc>
        <w:tc>
          <w:tcPr>
            <w:tcW w:w="796" w:type="dxa"/>
            <w:tcBorders/>
            <w:shd w:fill="9ADAF6" w:val="clear"/>
            <w:vAlign w:val="center"/>
          </w:tcPr>
          <w:p>
            <w:pPr>
              <w:pStyle w:val="TableHeading"/>
              <w:bidi w:val="0"/>
              <w:spacing w:before="0" w:after="283"/>
              <w:rPr>
                <w:sz w:val="20"/>
              </w:rPr>
            </w:pPr>
            <w:r>
              <w:rPr>
                <w:sz w:val="20"/>
              </w:rPr>
              <w:t xml:space="preserve">File Number </w:t>
            </w:r>
          </w:p>
        </w:tc>
        <w:tc>
          <w:tcPr>
            <w:tcW w:w="631" w:type="dxa"/>
            <w:tcBorders/>
            <w:shd w:fill="9ADAF6" w:val="clear"/>
            <w:vAlign w:val="center"/>
          </w:tcPr>
          <w:p>
            <w:pPr>
              <w:pStyle w:val="TableHeading"/>
              <w:bidi w:val="0"/>
              <w:spacing w:before="0" w:after="283"/>
              <w:rPr>
                <w:sz w:val="20"/>
              </w:rPr>
            </w:pPr>
            <w:r>
              <w:rPr>
                <w:sz w:val="20"/>
              </w:rPr>
              <w:t xml:space="preserve">Initial Filing Date </w:t>
            </w:r>
          </w:p>
        </w:tc>
        <w:tc>
          <w:tcPr>
            <w:tcW w:w="616" w:type="dxa"/>
            <w:tcBorders/>
            <w:shd w:fill="9ADAF6" w:val="clear"/>
            <w:vAlign w:val="center"/>
          </w:tcPr>
          <w:p>
            <w:pPr>
              <w:pStyle w:val="TableHeading"/>
              <w:bidi w:val="0"/>
              <w:spacing w:before="0" w:after="283"/>
              <w:rPr>
                <w:sz w:val="20"/>
              </w:rPr>
            </w:pPr>
            <w:r>
              <w:rPr>
                <w:sz w:val="20"/>
              </w:rPr>
              <w:t xml:space="preserve">Filing Date </w:t>
            </w:r>
          </w:p>
        </w:tc>
        <w:tc>
          <w:tcPr>
            <w:tcW w:w="826" w:type="dxa"/>
            <w:tcBorders/>
            <w:shd w:fill="9ADAF6" w:val="clear"/>
            <w:vAlign w:val="center"/>
          </w:tcPr>
          <w:p>
            <w:pPr>
              <w:pStyle w:val="TableHeading"/>
              <w:bidi w:val="0"/>
              <w:spacing w:before="0" w:after="283"/>
              <w:rPr>
                <w:sz w:val="20"/>
              </w:rPr>
            </w:pPr>
            <w:r>
              <w:rPr>
                <w:sz w:val="20"/>
              </w:rPr>
              <w:t xml:space="preserve">Fee Offset Claimed </w:t>
            </w:r>
          </w:p>
        </w:tc>
        <w:tc>
          <w:tcPr>
            <w:tcW w:w="1006" w:type="dxa"/>
            <w:tcBorders/>
            <w:shd w:fill="9ADAF6" w:val="clear"/>
            <w:vAlign w:val="center"/>
          </w:tcPr>
          <w:p>
            <w:pPr>
              <w:pStyle w:val="TableHeading"/>
              <w:bidi w:val="0"/>
              <w:spacing w:before="0" w:after="283"/>
              <w:rPr>
                <w:sz w:val="20"/>
              </w:rPr>
            </w:pPr>
            <w:r>
              <w:rPr>
                <w:sz w:val="20"/>
              </w:rPr>
              <w:t xml:space="preserve">Security Type Associated with Fee Offset Claimed </w:t>
            </w:r>
          </w:p>
        </w:tc>
        <w:tc>
          <w:tcPr>
            <w:tcW w:w="1006" w:type="dxa"/>
            <w:tcBorders/>
            <w:shd w:fill="9ADAF6" w:val="clear"/>
            <w:vAlign w:val="center"/>
          </w:tcPr>
          <w:p>
            <w:pPr>
              <w:pStyle w:val="TableHeading"/>
              <w:bidi w:val="0"/>
              <w:spacing w:before="0" w:after="283"/>
              <w:rPr>
                <w:sz w:val="20"/>
              </w:rPr>
            </w:pPr>
            <w:r>
              <w:rPr>
                <w:sz w:val="20"/>
              </w:rPr>
              <w:t xml:space="preserve">Security Title Associated with Fee Offset Claimed </w:t>
            </w:r>
          </w:p>
        </w:tc>
        <w:tc>
          <w:tcPr>
            <w:tcW w:w="1006" w:type="dxa"/>
            <w:tcBorders/>
            <w:shd w:fill="9ADAF6" w:val="clear"/>
            <w:vAlign w:val="center"/>
          </w:tcPr>
          <w:p>
            <w:pPr>
              <w:pStyle w:val="TableHeading"/>
              <w:bidi w:val="0"/>
              <w:spacing w:before="0" w:after="283"/>
              <w:rPr>
                <w:sz w:val="20"/>
              </w:rPr>
            </w:pPr>
            <w:r>
              <w:rPr>
                <w:sz w:val="20"/>
              </w:rPr>
              <w:t xml:space="preserve">Unsold Securities Associated with Fee Offset Claimed </w:t>
            </w:r>
          </w:p>
        </w:tc>
        <w:tc>
          <w:tcPr>
            <w:tcW w:w="1006" w:type="dxa"/>
            <w:tcBorders/>
            <w:shd w:fill="9ADAF6" w:val="clear"/>
            <w:vAlign w:val="center"/>
          </w:tcPr>
          <w:p>
            <w:pPr>
              <w:pStyle w:val="TableHeading"/>
              <w:bidi w:val="0"/>
              <w:spacing w:before="0" w:after="283"/>
              <w:rPr>
                <w:sz w:val="20"/>
              </w:rPr>
            </w:pPr>
            <w:r>
              <w:rPr>
                <w:sz w:val="20"/>
              </w:rPr>
              <w:t xml:space="preserve">Unsold Aggregate Offering Amount Associated with Fee Offset Claimed </w:t>
            </w:r>
          </w:p>
        </w:tc>
        <w:tc>
          <w:tcPr>
            <w:tcW w:w="691" w:type="dxa"/>
            <w:tcBorders/>
            <w:shd w:fill="9ADAF6" w:val="clear"/>
            <w:vAlign w:val="center"/>
          </w:tcPr>
          <w:p>
            <w:pPr>
              <w:pStyle w:val="TableHeading"/>
              <w:bidi w:val="0"/>
              <w:spacing w:before="0" w:after="283"/>
              <w:rPr>
                <w:sz w:val="20"/>
              </w:rPr>
            </w:pPr>
            <w:r>
              <w:rPr>
                <w:sz w:val="20"/>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0205" w:type="dxa"/>
            <w:gridSpan w:val="14"/>
            <w:tcBorders/>
            <w:vAlign w:val="center"/>
          </w:tcPr>
          <w:p>
            <w:pPr>
              <w:pStyle w:val="TableContents"/>
              <w:bidi w:val="0"/>
              <w:spacing w:before="0" w:after="283"/>
              <w:jc w:val="center"/>
              <w:rPr>
                <w:sz w:val="20"/>
              </w:rPr>
            </w:pPr>
            <w:r>
              <w:rPr>
                <w:b/>
                <w:sz w:val="20"/>
              </w:rPr>
              <w:t>Rule 457(p)</w:t>
            </w:r>
            <w:r>
              <w:rPr>
                <w:sz w:val="20"/>
              </w:rPr>
              <w:t xml:space="preserve"> </w:t>
            </w:r>
          </w:p>
        </w:tc>
      </w:tr>
      <w:tr>
        <w:trPr/>
        <w:tc>
          <w:tcPr>
            <w:tcW w:w="751" w:type="dxa"/>
            <w:tcBorders/>
            <w:shd w:fill="E7E7E2" w:val="clear"/>
            <w:vAlign w:val="center"/>
          </w:tcPr>
          <w:p>
            <w:pPr>
              <w:pStyle w:val="TableContents"/>
              <w:bidi w:val="0"/>
              <w:spacing w:before="0" w:after="283"/>
              <w:jc w:val="left"/>
              <w:rPr>
                <w:sz w:val="20"/>
              </w:rPr>
            </w:pPr>
            <w:r>
              <w:rPr>
                <w:sz w:val="20"/>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796" w:type="dxa"/>
            <w:tcBorders/>
            <w:shd w:fill="E7E7E2" w:val="clear"/>
            <w:vAlign w:val="center"/>
          </w:tcPr>
          <w:p>
            <w:pPr>
              <w:pStyle w:val="TableContents"/>
              <w:bidi w:val="0"/>
              <w:spacing w:before="0" w:after="283"/>
              <w:jc w:val="left"/>
              <w:rPr>
                <w:sz w:val="4"/>
                <w:szCs w:val="4"/>
              </w:rPr>
            </w:pPr>
            <w:r>
              <w:rPr>
                <w:sz w:val="4"/>
                <w:szCs w:val="4"/>
              </w:rPr>
            </w:r>
          </w:p>
        </w:tc>
        <w:tc>
          <w:tcPr>
            <w:tcW w:w="63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82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751" w:type="dxa"/>
            <w:tcBorders/>
            <w:shd w:fill="E7E7E2" w:val="clear"/>
            <w:vAlign w:val="center"/>
          </w:tcPr>
          <w:p>
            <w:pPr>
              <w:pStyle w:val="TableContents"/>
              <w:bidi w:val="0"/>
              <w:spacing w:before="0" w:after="283"/>
              <w:jc w:val="left"/>
              <w:rPr>
                <w:sz w:val="20"/>
              </w:rPr>
            </w:pPr>
            <w:r>
              <w:rPr>
                <w:sz w:val="20"/>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796" w:type="dxa"/>
            <w:tcBorders/>
            <w:shd w:fill="E7E7E2" w:val="clear"/>
            <w:vAlign w:val="center"/>
          </w:tcPr>
          <w:p>
            <w:pPr>
              <w:pStyle w:val="TableContents"/>
              <w:bidi w:val="0"/>
              <w:spacing w:before="0" w:after="283"/>
              <w:jc w:val="left"/>
              <w:rPr>
                <w:sz w:val="4"/>
                <w:szCs w:val="4"/>
              </w:rPr>
            </w:pPr>
            <w:r>
              <w:rPr>
                <w:sz w:val="4"/>
                <w:szCs w:val="4"/>
              </w:rPr>
            </w:r>
          </w:p>
        </w:tc>
        <w:tc>
          <w:tcPr>
            <w:tcW w:w="63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82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123494/000117184326001548/hbio20251231_10k.htm" TargetMode="External"/><Relationship Id="rId3" Type="http://schemas.openxmlformats.org/officeDocument/2006/relationships/hyperlink" Target="https://www.sec.gov/ix?doc=/Archives/edgar/data/1123494/000117184326002617/hbio20260420_def14a.htm" TargetMode="External"/><Relationship Id="rId4" Type="http://schemas.openxmlformats.org/officeDocument/2006/relationships/hyperlink" Target="https://www.sec.gov/ix?doc=/Archives/edgar/data/1123494/000117184326003311/hbio20260331_10q.htm" TargetMode="External"/><Relationship Id="rId5" Type="http://schemas.openxmlformats.org/officeDocument/2006/relationships/hyperlink" Target="https://www.sec.gov/ix?doc=/Archives/edgar/data/1123494/000117184326000343/f8k_012026.htm" TargetMode="External"/><Relationship Id="rId6" Type="http://schemas.openxmlformats.org/officeDocument/2006/relationships/hyperlink" Target="https://www.sec.gov/ix?doc=/Archives/edgar/data/1123494/000117184326000516/f8k_012326.htm" TargetMode="External"/><Relationship Id="rId7" Type="http://schemas.openxmlformats.org/officeDocument/2006/relationships/hyperlink" Target="https://www.sec.gov/ix?doc=/Archives/edgar/data/1123494/000117184326001384/f8k_030526.htm" TargetMode="External"/><Relationship Id="rId8" Type="http://schemas.openxmlformats.org/officeDocument/2006/relationships/hyperlink" Target="https://www.sec.gov/ix?doc=/Archives/edgar/data/1123494/000117184326001447/f8k_031026.htm" TargetMode="External"/><Relationship Id="rId9" Type="http://schemas.openxmlformats.org/officeDocument/2006/relationships/hyperlink" Target="https://www.sec.gov/ix?doc=/Archives/edgar/data/1123494/000117184326001504/f8k_031226.htm" TargetMode="External"/><Relationship Id="rId10" Type="http://schemas.openxmlformats.org/officeDocument/2006/relationships/hyperlink" Target="https://www.sec.gov/ix?doc=/Archives/edgar/data/1123494/000117184326003877/f8k_060226.htm" TargetMode="External"/><Relationship Id="rId11" Type="http://schemas.openxmlformats.org/officeDocument/2006/relationships/hyperlink" Target="https://www.sec.gov/Archives/edgar/data/1123494/000091205700047957/a2029062zex-4_1.txt" TargetMode="External"/><Relationship Id="rId12" Type="http://schemas.openxmlformats.org/officeDocument/2006/relationships/hyperlink" Target="https://www.sec.gov/Archives/edgar/data/1123494/000117184326003877/exh_102.htm" TargetMode="External"/><Relationship Id="rId13" Type="http://schemas.openxmlformats.org/officeDocument/2006/relationships/hyperlink" Target="https://www.sec.gov/ix?doc=/Archives/edgar/data/1123494/000117184326002617/hbio20260420_def14a.htm" TargetMode="External"/><Relationship Id="rId14" Type="http://schemas.openxmlformats.org/officeDocument/2006/relationships/image" Target="media/image1.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2693</Words>
  <Characters>14451</Characters>
  <CharactersWithSpaces>17133</CharactersWithSpaces>
  <Paragraphs>360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