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80"/>
        <w:spacing w:after="0"/>
        <w:tabs>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4" w:right="339" w:bottom="1440" w:gutter="0" w:footer="0" w:header="0"/>
        </w:sect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8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5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22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HBIO</w:t>
            </w:r>
          </w:p>
        </w:tc>
        <w:tc>
          <w:tcPr>
            <w:tcW w:w="4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00" w:firstLine="45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121" w:right="37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41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580"/>
          </w:cols>
          <w:pgMar w:left="320" w:top="121" w:right="379" w:bottom="1440" w:gutter="0" w:footer="0" w:header="0"/>
          <w:type w:val="continuous"/>
        </w:sectPr>
      </w:pPr>
    </w:p>
    <w:p>
      <w:pPr>
        <w:spacing w:after="0" w:line="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580"/>
          </w:cols>
          <w:pgMar w:left="320" w:top="121" w:right="379" w:bottom="1440" w:gutter="0" w:footer="0" w:header="0"/>
          <w:type w:val="continuous"/>
        </w:sectPr>
      </w:pPr>
    </w:p>
    <w:p>
      <w:pPr>
        <w:spacing w:after="0" w:line="37" w:lineRule="exact"/>
        <w:rPr>
          <w:sz w:val="20"/>
          <w:szCs w:val="20"/>
          <w:color w:val="auto"/>
        </w:rPr>
      </w:pPr>
    </w:p>
    <w:p>
      <w:pPr>
        <w:ind w:left="56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00"/>
          </w:cols>
          <w:pgMar w:left="320" w:top="121" w:right="379" w:bottom="1440" w:gutter="0" w:footer="0" w:header="0"/>
          <w:type w:val="continuous"/>
        </w:sectPr>
      </w:pPr>
    </w:p>
    <w:p>
      <w:pPr>
        <w:spacing w:after="0" w:line="277" w:lineRule="exact"/>
        <w:rPr>
          <w:sz w:val="20"/>
          <w:szCs w:val="20"/>
          <w:color w:val="auto"/>
        </w:rPr>
      </w:pPr>
    </w:p>
    <w:p>
      <w:pPr>
        <w:jc w:val="both"/>
        <w:ind w:right="2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5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8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26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The aggregate market value of shares of voting common equity held by non-affiliates of the registrant as of June 30, 2023 was approximately $219.4 million based on the closing sales price of the registrant’s common stock, par value $0.01 per share on that date. At March 1, 2024, there were 43,399,291 shares of the registrant’s common stock issued and outstanding.</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Portions of the Company’s definitive Proxy Statement in connection with the 2024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1717675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73"/>
        </w:trPr>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gridSpan w:val="11"/>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gridSpan w:val="11"/>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2023</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gridSpan w:val="8"/>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4"/>
        </w:trPr>
        <w:tc>
          <w:tcPr>
            <w:tcW w:w="132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PART I</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gridSpan w:val="2"/>
          </w:tcPr>
          <w:p>
            <w:pPr>
              <w:jc w:val="center"/>
              <w:ind w:left="1130"/>
              <w:spacing w:after="0" w:line="194" w:lineRule="exact"/>
              <w:rPr>
                <w:sz w:val="20"/>
                <w:szCs w:val="20"/>
                <w:color w:val="auto"/>
              </w:rPr>
            </w:pPr>
            <w:r>
              <w:rPr>
                <w:rFonts w:ascii="Times New Roman" w:cs="Times New Roman" w:eastAsia="Times New Roman" w:hAnsi="Times New Roman"/>
                <w:sz w:val="18"/>
                <w:szCs w:val="18"/>
                <w:color w:val="0000EE"/>
                <w:w w:val="88"/>
              </w:rPr>
              <w:t>1</w:t>
            </w:r>
          </w:p>
        </w:tc>
        <w:tc>
          <w:tcPr>
            <w:tcW w:w="140" w:type="dxa"/>
            <w:vAlign w:val="bottom"/>
          </w:tcPr>
          <w:p>
            <w:pPr>
              <w:spacing w:after="0"/>
              <w:rPr>
                <w:sz w:val="16"/>
                <w:szCs w:val="16"/>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580" w:type="dxa"/>
            <w:vAlign w:val="bottom"/>
            <w:gridSpan w:val="6"/>
          </w:tcPr>
          <w:p>
            <w:pPr>
              <w:spacing w:after="0"/>
              <w:rPr>
                <w:sz w:val="24"/>
                <w:szCs w:val="24"/>
                <w:color w:val="auto"/>
              </w:rPr>
            </w:pPr>
          </w:p>
        </w:tc>
        <w:tc>
          <w:tcPr>
            <w:tcW w:w="8100" w:type="dxa"/>
            <w:vAlign w:val="bottom"/>
            <w:gridSpan w:val="22"/>
          </w:tcPr>
          <w:p>
            <w:pPr>
              <w:ind w:left="60"/>
              <w:spacing w:after="0"/>
              <w:rPr>
                <w:sz w:val="20"/>
                <w:szCs w:val="20"/>
                <w:color w:val="auto"/>
              </w:rPr>
            </w:pPr>
            <w:r>
              <w:rPr>
                <w:rFonts w:ascii="Times New Roman" w:cs="Times New Roman" w:eastAsia="Times New Roman" w:hAnsi="Times New Roman"/>
                <w:sz w:val="18"/>
                <w:szCs w:val="18"/>
                <w:color w:val="0000EE"/>
              </w:rPr>
              <w:t>Business</w:t>
            </w:r>
          </w:p>
        </w:tc>
        <w:tc>
          <w:tcPr>
            <w:tcW w:w="13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EE"/>
                <w:w w:val="88"/>
              </w:rPr>
              <w:t>1</w:t>
            </w:r>
          </w:p>
        </w:tc>
        <w:tc>
          <w:tcPr>
            <w:tcW w:w="1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400" w:type="dxa"/>
            <w:vAlign w:val="bottom"/>
            <w:gridSpan w:val="2"/>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300" w:type="dxa"/>
            <w:vAlign w:val="bottom"/>
            <w:gridSpan w:val="2"/>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15</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420" w:type="dxa"/>
            <w:vAlign w:val="bottom"/>
            <w:gridSpan w:val="3"/>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15</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580" w:type="dxa"/>
            <w:vAlign w:val="bottom"/>
            <w:gridSpan w:val="6"/>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15</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580" w:type="dxa"/>
            <w:vAlign w:val="bottom"/>
            <w:gridSpan w:val="6"/>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580" w:type="dxa"/>
            <w:vAlign w:val="bottom"/>
            <w:gridSpan w:val="6"/>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92"/>
        </w:trPr>
        <w:tc>
          <w:tcPr>
            <w:tcW w:w="1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PART II</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0000EE"/>
                <w:w w:val="99"/>
              </w:rPr>
              <w:t>16</w:t>
            </w: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580" w:type="dxa"/>
            <w:vAlign w:val="bottom"/>
            <w:gridSpan w:val="6"/>
          </w:tcPr>
          <w:p>
            <w:pPr>
              <w:spacing w:after="0"/>
              <w:rPr>
                <w:sz w:val="24"/>
                <w:szCs w:val="24"/>
                <w:color w:val="auto"/>
              </w:rPr>
            </w:pPr>
          </w:p>
        </w:tc>
        <w:tc>
          <w:tcPr>
            <w:tcW w:w="8100" w:type="dxa"/>
            <w:vAlign w:val="bottom"/>
            <w:gridSpan w:val="22"/>
          </w:tcPr>
          <w:p>
            <w:pPr>
              <w:ind w:left="60"/>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3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0000EE"/>
                <w:w w:val="99"/>
              </w:rPr>
              <w:t>16</w:t>
            </w:r>
          </w:p>
        </w:tc>
        <w:tc>
          <w:tcPr>
            <w:tcW w:w="1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100" w:type="dxa"/>
            <w:vAlign w:val="bottom"/>
          </w:tcPr>
          <w:p>
            <w:pPr>
              <w:spacing w:after="0"/>
              <w:rPr>
                <w:sz w:val="17"/>
                <w:szCs w:val="17"/>
                <w:color w:val="auto"/>
              </w:rPr>
            </w:pP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100" w:type="dxa"/>
            <w:vAlign w:val="bottom"/>
          </w:tcPr>
          <w:p>
            <w:pPr>
              <w:spacing w:after="0"/>
              <w:rPr>
                <w:sz w:val="17"/>
                <w:szCs w:val="17"/>
                <w:color w:val="auto"/>
              </w:rPr>
            </w:pP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17</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580" w:type="dxa"/>
            <w:vAlign w:val="bottom"/>
            <w:gridSpan w:val="6"/>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100" w:type="dxa"/>
            <w:vAlign w:val="bottom"/>
          </w:tcPr>
          <w:p>
            <w:pPr>
              <w:spacing w:after="0"/>
              <w:rPr>
                <w:sz w:val="17"/>
                <w:szCs w:val="17"/>
                <w:color w:val="auto"/>
              </w:rPr>
            </w:pP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400" w:type="dxa"/>
            <w:vAlign w:val="bottom"/>
            <w:gridSpan w:val="2"/>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20" w:type="dxa"/>
            <w:vAlign w:val="bottom"/>
          </w:tcPr>
          <w:p>
            <w:pPr>
              <w:spacing w:after="0"/>
              <w:rPr>
                <w:sz w:val="17"/>
                <w:szCs w:val="17"/>
                <w:color w:val="auto"/>
              </w:rPr>
            </w:pPr>
          </w:p>
        </w:tc>
        <w:tc>
          <w:tcPr>
            <w:tcW w:w="420" w:type="dxa"/>
            <w:vAlign w:val="bottom"/>
            <w:gridSpan w:val="3"/>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PART III</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3"/>
              </w:rPr>
              <w:t>Item 10.</w:t>
            </w:r>
          </w:p>
        </w:tc>
        <w:tc>
          <w:tcPr>
            <w:tcW w:w="480" w:type="dxa"/>
            <w:vAlign w:val="bottom"/>
            <w:gridSpan w:val="5"/>
          </w:tcPr>
          <w:p>
            <w:pPr>
              <w:spacing w:after="0"/>
              <w:rPr>
                <w:sz w:val="24"/>
                <w:szCs w:val="24"/>
                <w:color w:val="auto"/>
              </w:rPr>
            </w:pPr>
          </w:p>
        </w:tc>
        <w:tc>
          <w:tcPr>
            <w:tcW w:w="8100" w:type="dxa"/>
            <w:vAlign w:val="bottom"/>
            <w:gridSpan w:val="22"/>
          </w:tcPr>
          <w:p>
            <w:pPr>
              <w:ind w:left="6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3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11.</w:t>
            </w: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82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92"/>
        </w:trPr>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58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24</w:t>
            </w:r>
          </w:p>
        </w:tc>
        <w:tc>
          <w:tcPr>
            <w:tcW w:w="140" w:type="dxa"/>
            <w:vAlign w:val="bottom"/>
          </w:tcPr>
          <w:p>
            <w:pPr>
              <w:spacing w:after="0"/>
              <w:rPr>
                <w:sz w:val="24"/>
                <w:szCs w:val="24"/>
                <w:color w:val="auto"/>
              </w:rPr>
            </w:pPr>
          </w:p>
        </w:tc>
      </w:tr>
      <w:tr>
        <w:trPr>
          <w:trHeight w:val="412"/>
        </w:trPr>
        <w:tc>
          <w:tcPr>
            <w:tcW w:w="240" w:type="dxa"/>
            <w:vAlign w:val="bottom"/>
          </w:tcPr>
          <w:p>
            <w:pPr>
              <w:spacing w:after="0"/>
              <w:rPr>
                <w:sz w:val="24"/>
                <w:szCs w:val="24"/>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480" w:type="dxa"/>
            <w:vAlign w:val="bottom"/>
            <w:gridSpan w:val="5"/>
          </w:tcPr>
          <w:p>
            <w:pPr>
              <w:spacing w:after="0"/>
              <w:rPr>
                <w:sz w:val="24"/>
                <w:szCs w:val="24"/>
                <w:color w:val="auto"/>
              </w:rPr>
            </w:pPr>
          </w:p>
        </w:tc>
        <w:tc>
          <w:tcPr>
            <w:tcW w:w="8100" w:type="dxa"/>
            <w:vAlign w:val="bottom"/>
            <w:gridSpan w:val="22"/>
          </w:tcPr>
          <w:p>
            <w:pPr>
              <w:ind w:left="60"/>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13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480" w:type="dxa"/>
            <w:vAlign w:val="bottom"/>
            <w:gridSpan w:val="5"/>
          </w:tcPr>
          <w:p>
            <w:pPr>
              <w:spacing w:after="0"/>
              <w:rPr>
                <w:sz w:val="17"/>
                <w:szCs w:val="17"/>
                <w:color w:val="auto"/>
              </w:rPr>
            </w:pPr>
          </w:p>
        </w:tc>
        <w:tc>
          <w:tcPr>
            <w:tcW w:w="8100" w:type="dxa"/>
            <w:vAlign w:val="bottom"/>
            <w:gridSpan w:val="22"/>
          </w:tcPr>
          <w:p>
            <w:pPr>
              <w:ind w:left="6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300" w:type="dxa"/>
            <w:vAlign w:val="bottom"/>
            <w:gridSpan w:val="2"/>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08" w:right="7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each as amended. The forward-looking statements are principally, but not exclusively, contained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confidence or expectations, our business strategy, our ability to raise capital or borrow funds to consummate acquisitions and the availability of attractive acquisition candidates, our expectations regarding future costs of product revenues, our anticipated compliance with the covenants contained in our credit facility, the adequacy of our financial resources and our plans, objectives, expectations and intentions that are not historical facts. In some cases, you can identify forward-looking statements by terms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think,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objectives,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optimistic,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similar expressions intended to identify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beginning on page 7 of this Annual Report on Form 10-K.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and Strategy</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microprocessor-controlled syringe pump in the 1980s.</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1996, a group of investors acquired a majority of the then existing business of our predecessor, Harvard Apparatus, Inc. Following this acquisition, our focus was redirected to acquiring complementary companies with innovative technologies while continuing to grow the existing business through internal product development. Harvard Bioscience, Inc. was incorporated in the State of Delaware in September 2000 and became the successor entity to Harvard Apparatus, Inc. by merger in November 2000.</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From 1996 to 2018, we completed multiple business or product line acquisitions related to our continuing operations. In 2018, we acquired Data Sciences International, Inc. (“DSI”), a global leader in products, services and solutions focused on preclinical testing. The DSI product portfolio, which is largely complementary to our cellular and molecular technology (“CMT”) product portfolio, expanded our product portfolio to address the continuum from research and discovery to preclinical testing with principal applications in pharmaceutical and therapy testing.</w:t>
      </w:r>
    </w:p>
    <w:p>
      <w:pPr>
        <w:spacing w:after="0" w:line="18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During 2021, we completed a restructuring program to improve operational efficiency and reduce costs which entailed consolidating and downsizing several sites and reducing headcount in Europe and North America. During 2022, we reviewed our business and product portfolio and identified opportunities to rationalize our product portfolio, improve our cost structure and optimize our sales organization. In connection with this review, we identified certain non-strategic products for discontinuation and further reduced our headcount in Europe and North America. We believe that these actions will allow us to focus on product opportunities that drive sustainable revenue growth with attractive gross margins and improved profitability.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Our strategy for driving sustainable revenue growth is focused on four areas. The first is to maintain and strengthen our existing competitive position in the areas of therapy research and pre-clinical testing, which we believe provides a base for expanding our products and technologies to address additional growth opportunities. The second is to expand our product offerings to higher-volume industrial customers such as CROs, biotechnology and pharmaceutical companies, and government laboratories engaged in the development and testing of new therapeutics, where the ability to reduce costs and improve cycle times in pre-clinical testing has the potential to drive additional demand. Third, we are expanding our product offerings for biotechnology and pharmaceutical customers in the field of bioproduction, where we believe there are opportunities to provide innovative products and services that bridge from research and development to production in applications that scale with production volume. Fourth, we are expanding our product offerings for academic, biotechnology, and pharmaceutical customers engaged in therapy, discovery, development and testing, especially in the area of streamlined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testing from cell lines to organoids early in the development cycle.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As noted above, our products, consumables, software and services enable fundamental advances in life science applications, including research, pharmaceutical and therapy discovery, bioproduction and preclinical testing.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organized our product line activities into two product families, CMT and Preclinical.</w:t>
      </w:r>
    </w:p>
    <w:p>
      <w:pPr>
        <w:spacing w:after="0" w:line="22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Our CMT product family is primarily composed of products supporting research related to molecular, cellular, organ and organoid technologies. Our CMT products also have application in the emerging field of bioproduction of pharmaceuticals and therapeutics as well as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of cell lines and organoids in the therapy development. The principal customers for our CMT products include academic and government laboratories, biotechnology and pharmaceutical companies, and CROs.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Our Preclinical product family includes products that support the preclinical research and testing phase for drug development, and in particular testing related to data collection and analysis for safety and regulatory compliance. Preclinical products are primarily sold to pharmaceutical, biotechnology and CROs, as well as larger academic labs.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sell our products under several brand names, including Harvard Apparatus, DSI, Buxco, Biochrom, BTX, Heka, Hugo Sachs, Multichannel Systems MCS GmbH (“MCS”) and Panlab.</w:t>
      </w:r>
    </w:p>
    <w:p>
      <w:pPr>
        <w:spacing w:after="0" w:line="16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Our solutions range from simple to complex, and generally consist of hardware/firmware and software products, augmented with consumables, options, upgrades and post-sales (scientific, installation and data) services. Sales prices of these products and services range typically from $1,000 to over $100,000. Our products include spectrophotometers that analyze light to detect and quantify a wide range of molecules as well as cell analysis and electroporation and electrofusion systems to influence and/or analyze cellular processes. Other products and services focus on tissue and organ responses to new drugs and encompass wireless monitors, and signal acquisition and analysis functionality. We also feature products that monitor physiological processes in living organisms to study behavior. Many of our proprietary products are leaders in their fields.</w:t>
      </w:r>
    </w:p>
    <w:p>
      <w:pPr>
        <w:spacing w:after="0" w:line="18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our proprietarily manufactured products, we distribute products developed by other manufacturers. These distributed products accounted for approximately 13% and 15% of our revenues for the years ended December 31, 2023 and 2022, respectively. Resale of such products enables us to act as a single source for our customers’ research needs. They consist of a large variety of complementing instruments or accessories as well as consumables used in experiments involving fluid handling, molecular and cell analysis and tissue, organ and animal research.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family.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Cellular and Molecular Technologies Product Family</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Our CMT product family includes products designed primarily to support the discovery phase of new drug development. The CMT product family includes the Harvard Apparatus, Biochrom, BTX, Heka, Hugo Sachs, and MCS brands. CMT products include:</w:t>
      </w:r>
    </w:p>
    <w:p>
      <w:pPr>
        <w:spacing w:after="0" w:line="162" w:lineRule="exact"/>
        <w:rPr>
          <w:sz w:val="20"/>
          <w:szCs w:val="20"/>
          <w:color w:val="auto"/>
        </w:rPr>
      </w:pPr>
    </w:p>
    <w:p>
      <w:pPr>
        <w:ind w:left="580" w:right="240" w:hanging="235"/>
        <w:spacing w:after="0" w:line="28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electroporation and electrofusion instruments, including the bioproduction configuration of our BTX electroporation system, introduced in 2022, which leverages our electroporation technology to bridge from therapy to production in the emerging field of bioproduction;</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amino acid analyzers, spectrophotometers, and other equipment which primarily support molecular level testing and research;</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precision syringe and peristaltic infusion pump product lines;</w:t>
      </w:r>
    </w:p>
    <w:p>
      <w:pPr>
        <w:spacing w:after="0" w:line="225" w:lineRule="exact"/>
        <w:rPr>
          <w:rFonts w:ascii="Times New Roman" w:cs="Times New Roman" w:eastAsia="Times New Roman" w:hAnsi="Times New Roman"/>
          <w:sz w:val="18"/>
          <w:szCs w:val="18"/>
          <w:color w:val="auto"/>
        </w:rPr>
      </w:pPr>
    </w:p>
    <w:p>
      <w:pPr>
        <w:ind w:left="580" w:right="140" w:hanging="235"/>
        <w:spacing w:after="0" w:line="266"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scientific measuring instrumentation and equipment in the field of electrophysiology such as: data acquisition systems with custom amplifier configurations for cellular analysis, complete micro electrode array solutions for in vivo recordings and in vitro systems for extracellular recordings; and</w:t>
      </w:r>
    </w:p>
    <w:p>
      <w:pPr>
        <w:spacing w:after="0" w:line="175" w:lineRule="exact"/>
        <w:rPr>
          <w:rFonts w:ascii="Times New Roman" w:cs="Times New Roman" w:eastAsia="Times New Roman" w:hAnsi="Times New Roman"/>
          <w:sz w:val="18"/>
          <w:szCs w:val="18"/>
          <w:color w:val="auto"/>
        </w:rPr>
      </w:pPr>
    </w:p>
    <w:p>
      <w:pPr>
        <w:ind w:left="580" w:right="180" w:hanging="235"/>
        <w:spacing w:after="0" w:line="28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Mesh MEA™ platform, launched in 2023, builds on our existing micro-electrode array technology to support streamlined in vitro testing from cell lines to organoids early in the therapy development cycle.</w:t>
      </w:r>
    </w:p>
    <w:p>
      <w:pPr>
        <w:spacing w:after="0" w:line="162"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Our CMT product family made up approximately 49% and 51% of our global revenues for the years ended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Product Family</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Our Preclinical product family provides a complete platform to assess physiological data from organisms for research ranging from basic research to drug discovery, and drug development services. The Preclinical product family includes the DSI, Panlab and Buxco brands. It includes:</w:t>
      </w:r>
    </w:p>
    <w:p>
      <w:pPr>
        <w:spacing w:after="0" w:line="162" w:lineRule="exact"/>
        <w:rPr>
          <w:sz w:val="20"/>
          <w:szCs w:val="20"/>
          <w:color w:val="auto"/>
        </w:rPr>
      </w:pPr>
    </w:p>
    <w:p>
      <w:pPr>
        <w:ind w:left="580" w:right="600" w:hanging="235"/>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implantable and externally worn telemetry systems, which are commonly used in research to collect cardiovascular, central nervous system, respiratory, metabolic data;</w:t>
      </w:r>
    </w:p>
    <w:p>
      <w:pPr>
        <w:spacing w:after="0" w:line="161" w:lineRule="exact"/>
        <w:rPr>
          <w:rFonts w:ascii="Times New Roman" w:cs="Times New Roman" w:eastAsia="Times New Roman" w:hAnsi="Times New Roman"/>
          <w:sz w:val="18"/>
          <w:szCs w:val="18"/>
          <w:color w:val="auto"/>
        </w:rPr>
      </w:pPr>
    </w:p>
    <w:p>
      <w:pPr>
        <w:ind w:left="580" w:right="620" w:hanging="235"/>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behavioral products; isolated organ and surgical products, a broad range of instruments and accessories for tissue, organ-based lab research, including surgical products, infusion systems, and behavior research systems;</w:t>
      </w:r>
    </w:p>
    <w:p>
      <w:pPr>
        <w:spacing w:after="0" w:line="161" w:lineRule="exact"/>
        <w:rPr>
          <w:rFonts w:ascii="Times New Roman" w:cs="Times New Roman" w:eastAsia="Times New Roman" w:hAnsi="Times New Roman"/>
          <w:sz w:val="18"/>
          <w:szCs w:val="18"/>
          <w:color w:val="auto"/>
        </w:rPr>
      </w:pPr>
    </w:p>
    <w:p>
      <w:pPr>
        <w:ind w:left="580" w:right="180" w:hanging="235"/>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turn-key respiratory system solutions encompassing plethysmograph chambers, data acquisition hardware, physiological signal analysis software, and final report generation;</w:t>
      </w:r>
    </w:p>
    <w:p>
      <w:pPr>
        <w:spacing w:after="0" w:line="161" w:lineRule="exact"/>
        <w:rPr>
          <w:rFonts w:ascii="Times New Roman" w:cs="Times New Roman" w:eastAsia="Times New Roman" w:hAnsi="Times New Roman"/>
          <w:sz w:val="18"/>
          <w:szCs w:val="18"/>
          <w:color w:val="auto"/>
        </w:rPr>
      </w:pPr>
    </w:p>
    <w:p>
      <w:pPr>
        <w:ind w:left="580" w:right="80" w:hanging="235"/>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inhalation and exposure systems providing precise, homogenous aerosol delivery for up to 42 subjects, while integrating respiratory parameters for the ultimate delivered dose system;</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GLP-capable data acquisition and analysis systems, capable of integrating third party sensors for a more comprehensive study design; and</w:t>
      </w:r>
    </w:p>
    <w:p>
      <w:pPr>
        <w:spacing w:after="0" w:line="225" w:lineRule="exact"/>
        <w:rPr>
          <w:rFonts w:ascii="Times New Roman" w:cs="Times New Roman" w:eastAsia="Times New Roman" w:hAnsi="Times New Roman"/>
          <w:sz w:val="18"/>
          <w:szCs w:val="18"/>
          <w:color w:val="auto"/>
        </w:rPr>
      </w:pPr>
    </w:p>
    <w:p>
      <w:pPr>
        <w:ind w:left="580" w:right="260" w:hanging="235"/>
        <w:spacing w:after="0" w:line="266"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VivaMars™ behavioral monitoring system, launched in 2023, which is directed to the high throughput testing needs of higher-volume industrial customers such as CROs, biotechnology and pharmaceutical companies, and government laboratories engaged in the development and testing of new therapeutics.</w:t>
      </w:r>
    </w:p>
    <w:p>
      <w:pPr>
        <w:spacing w:after="0" w:line="176"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Our Preclinical product family made up approximately 51% and 49% of our global revenues for the years ended December 31, 2023 and 2022,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end-user customers are primarily research and development scientists and engineers at pharmaceutical and biotechnology companies, universities, hospitals, government laboratories, including the United States National Institutes of Health (“NIH”), U.S. Army and CROs. Our pharmaceutical and biotechnology customers include pharmaceutical companies and research laboratories such as Abbott, Amgen, AstraZeneca, Bayer, Glaxo Smith Kline, Johnson &amp; Johnson, Merck, Novartis, Pfizer and Regeneron. Our academic customers include major colleges and universities such as Baylor College of Medicine, Cambridge University, Harvard University, Imperial College of London, Johns Hopkins University, Stanford, the University of California system, University of Pennsylvania, University of Pittsburgh, University of Texas and Yale University. Our CRO customers include Charles River Laboratories, Labcorp and Wuxi AppTec. We have a wide range of diverse customers worldwide, and no customer accounted for more than 10% of our revenues in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conduct direct sales and through distributors in the United States, China and major European markets. We sell primarily through distributors in other countries. For the year ended December 31, 2023, revenues from direct sales to end-users represented approximately 65% of our revenues; and revenues from sales of our products through distributors represented approximately 35% of our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Sales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have a global sales organization managing both direct sales and distributors. Our websites and marketing collateral serve as the primary sales tool for our product lines, which includes both proprietary manufactured products and complementary products from various suppliers.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through Distributors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engage distributors for the sales of our own branded and private label products in certain areas of the world and for certain product lines.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marketing activities encompass product management and marketing communications. Marketing maintains value-proposition based product roadmaps, collaborates with research and development on timing and investment for new products, develops marketing and sales strategies, supports direct and distributor sales activities, and sets the global pricing of our products. Our marketing team also maintains digital presence across the web and social media platforms, creates electronic leads and analyzes opportunities for new product portfolio extensions.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Our research and development activities are focused primarily on maintaining and strengthening our existing product and technology portfolio and expanding our portfolio to support new opportunities consistent with our growth strategy. We maintain development staff in many of our manufacturing facilities to design and develop new products and to re-engineer existing products to bring them to the next generation. Our research and development expenses were approximately $11.8 million and $12.3 million for the years ended December 31, 2023 and 2022, respectively. We anticipate that we will continue to make investments in research and development activities to advance our position in the industry as a provider of life science equipment, software and services. We plan to continue to pursue a balanced development portfolio strategy of originating new products from internal research and acquiring products and technologies through business and technology acquisitions or collaborations, as appropriate.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manufacture and test the majority of our products in our principal manufacturing facilities located in the United States, Germany and Spain.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and while some of our products are dependent on sole-source suppliers, we have made investments in new talent in procurement and other functions to reduce exposures related to sole-source suppliers, and are accelerating these efforts given the dynamics of the global supply chain in recent years. Our manufacturing operations primarily involve assembly and testing activities along with some machine-based processes. Going forward we will continue to evaluate our manufacturing facilities and operations in order to optimize our manufacturing footprint.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“Part I, Item 2. Properties” of this report for additional information regarding our manufacturing facilities.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50"/>
        <w:spacing w:after="0" w:line="272" w:lineRule="auto"/>
        <w:rPr>
          <w:sz w:val="20"/>
          <w:szCs w:val="20"/>
          <w:color w:val="auto"/>
        </w:rPr>
      </w:pPr>
      <w:r>
        <w:rPr>
          <w:rFonts w:ascii="Times New Roman" w:cs="Times New Roman" w:eastAsia="Times New Roman" w:hAnsi="Times New Roman"/>
          <w:sz w:val="17"/>
          <w:szCs w:val="17"/>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broader product offerings and greater name recognition than we do, and many offer discounts as a competitive tactic. These competitors and other companies may have developed or could in the future develop new technologies that compete with our products, which could render our products obsolete. We cannot provide assurance that we will be able to make the enhancements to our technologies necessary to compete successfully with newly emerging technologies. While we provide a broad selection of differentiated products, we have numerous competitors across our product lines. We believe that we compete favorably with our competitors on the basis of product performance, including quality, reliability, speed, technical support, price and delivery time.</w:t>
      </w:r>
    </w:p>
    <w:p>
      <w:pPr>
        <w:spacing w:after="0" w:line="17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compete with several companies that provide products for life science research including Becton, Dickinson and Company, Bio-Rad Laboratories, Inc., Danaher Corporation, Emka Technologies, Eppendorf AG, Instem plc, Kent Scientific Corporation, Lonza Group Ltd., PerkinElmer, Inc., Thermo Fisher Scientific, Inc. and TSE Systems.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availability of supply, manufacturing, marketing and sales expertise and capability.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Sales and earnings in our third quarter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To establish and protect our proprietary technologies and products, we rely on a combination of patent, copyright, trademark and trade secret laws, as well as confidentiality provisions in our contracts. Patents or patent applications cover certain of our new technologies. Most of our product lines are protected principally by trade names and trade secrets.</w:t>
      </w:r>
    </w:p>
    <w:p>
      <w:pPr>
        <w:spacing w:after="0" w:line="17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covering new products and technologies where it is appropriate to do so taking into account factors such as the likely scope of coverage, strategic value, and cost.</w:t>
      </w:r>
    </w:p>
    <w:p>
      <w:pPr>
        <w:spacing w:after="0" w:line="180"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8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We also rely in part on trade 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provide assurance that third parties will not independently discover or invent competing technologies or reverse engineer our trade secrets or other technologies. Therefore, the measures we are taking to protect our proprietary rights may not be adequate.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do not believe that our products infringe on the intellectual property rights of any third party. We cannot assure, however, that third parties will not claim such infringement by us or our licensors with respect to current or future products. We expect that product developers in our market will increasingly be subject to such claims as the number of products and competitors in our market segment grows and the product functionality in different market segments overlaps. In addition, patents on production and business methods are becoming more common and we expect that more patents will be issued in our technical field.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8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are generally not subject to direct governmental regulation other than the laws and regulations generally applicable to businesses in the domestic and foreign jurisdictions in which we operate. In particular, other than our amino acid analyzer product, our current products are not subject to pre-market approval by the United States Food and Drug Administration for use on human clinical patients. In addition, we believe we are materially in compliance with all relevant environmental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2023, we employed 416 employees, which included 391 full-time employees. Some of our employees in Europe have statutory collective bargaining rights. We have never experienced a general work stoppage or strike, and management believes that our relations with our employees are good. Additional information about our employees follows:</w:t>
      </w:r>
    </w:p>
    <w:p>
      <w:pPr>
        <w:spacing w:after="0" w:line="172"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Part-time</w:t>
            </w: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4"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Part-time</w:t>
            </w: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make employment decisions without regard to age, color, national origin, citizenship status, physical or mental disability, race, religion, creed, gender, sex, sexual orientation, gender identity and/or expression, genetic information, marital status, status with regard to public assistance, veteran and military status or any other characteristic protected by federal, state or local law. We take steps to employ and advance in employment qualified protected veterans and qualified individuals with disabilities.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Financial information regarding geographic areas in which we operate is provided in Notes 5 and 13 to the Consolidated Financial Statements included in “Part IV, Item 15. Exhibits, Financial Statement Schedules”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and Website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factors should be reviewed carefully, in conjunction with the other information contained in this Annual Report on Form 10-K. As previously discussed, our actual results could differ materially from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our business operations, performance and financial condition could be adversely affected, and the trading price of our common stock could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industry is very competitive.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 friendly products.</w:t>
      </w:r>
    </w:p>
    <w:p>
      <w:pPr>
        <w:spacing w:after="0" w:line="18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and our new products may not be accepted by the marketplace or may generate lower than anticipated revenues. Our failure to develop and introduce products in a timely manner in response to changing technology, market demands, or the requirements of our customers could cause our product sales to decline, and we could experience significant losses.</w:t>
      </w:r>
    </w:p>
    <w:p>
      <w:pPr>
        <w:spacing w:after="0" w:line="18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offer, and plan to continue to offer, a broad range of products and have incurred, and expect to continue to incur, substantial expenses for the development of new products and enhancements to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revenues is derived from customers in the pharmaceutical and biotechnology industries and is subject to the risks faced by those industries. Such risks may adversely affect our financial results.</w:t>
      </w:r>
    </w:p>
    <w:p>
      <w:pPr>
        <w:spacing w:after="0" w:line="15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derive a significant portion of our revenues from pharmaceutical companies, biotechnology companies, and CROs serving these companies. We expect that pharmaceutical companies, biotechnology companies and CROs will continue to be a significant source of our revenues for the foreseeable future, including in our CMT and Preclinical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8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governmental regulations may reduce demand for our products, adversely impact our revenues, or increase our expenses.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We operate in many markets in which we and our customers must comply with federal, state, local and international regulations. We develop, configure and market our products to meet customer needs created by, and in compliance with,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Reductions in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research budgets or government funding may adversely affect our business.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Many of our customers are universities, government research laboratories, private foundations and other institutions that are dependent on grants from government agencies, such as the NIH, for funding. These customers represent a significant source of our revenue. Research and development spending by our customers may fluctuate based on spending priorities and general economic conditions. The level of government funding for research and development is unpredictable. In the past, NIH grants have been frozen or otherwise made unavailable for extended periods or directed to certain products. Reductions or delays in governmental spending could cause customers to delay or forego purchases of our products. If government funding necessary for the purchase of our products were to decrease, our business and results of operations could be materially, adversely affected. Spending by some of these customers fluctuates based on budget allocations and the timely passage of the annual federal budget. An impasse in federal government budget decisions could lead to substantial delays or reductions in federal spending.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and other risks associated with international revenues and operations.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manufacture and sell our products worldwide and as a result, our business is subject to risks associated with doing business internationally. A substantial amount of our revenues is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w:t>
      </w:r>
    </w:p>
    <w:p>
      <w:pPr>
        <w:spacing w:after="0" w:line="180"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Our foreign operations subject us to certain risks, including: effects of fluctuations in foreign currency exchange rates; the impact of local economic conditions; fluctuations or reductions in economic growth in overseas markets including Asia and Europe; local product preferences and seasonality and product requirements; local difficulty to effectively establish and expand our business and operations in international markets; disruptions of capital and trading markets; restrictions and potentially negative tax implications of transfer of capital across borders; differing labor regulations; other factors beyond our control, including potential political instability, terrorism, acts of war, natural disasters and diseases, including COVID-19 discussed below;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 adopted in August 2018.</w:t>
      </w:r>
    </w:p>
    <w:p>
      <w:pPr>
        <w:spacing w:after="0" w:line="194"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A small percentage of our products are subject to export control regulations administered by the U.S. Department of the Treasury’s Office of Foreign Assets Control (“OFAC”) and by the Export Administration Regulations administered by the U.S. Department of Commerce’s Bureau of Industry and Security (“BIS”). Based on the nature of the product, its ultimate end use and country of destination, we are sometimes subject to foreign assets control and economic sanctions regulations administered by OFAC, which restrict or prohibit our ability to transact with certain foreign countries, certain individuals and entities identified on the Treasury Department’s “Denied Parties List.” Under the OFAC regulations, the sale or transfer of certain equipment to a location outside the United States may require prior approval in the form of an export license issued by the BIS or the U.S. Department of State’s Directorate of Defense Trade Controls. Some potential international transactions may also be restricted or prohibited based on the location, nationality or identity of the potential end user, customer or other parties to the transaction or may require prior authorization in the form of an OFAC license. These risks may be exacerbated by geopolitical tensions in various regions of the world such as China, the Asia-Pacific region and the Middle East. Any delay in obtaining required governmental approvals could affect our ability to conclude a sale or timely commence a project, and the failure to comply with all such controls could result in criminal and/or civil penalties. These international transactions may otherwise be subject to tariffs and import/export restrictions from the United States or other governments.</w:t>
      </w:r>
    </w:p>
    <w:p>
      <w:pPr>
        <w:spacing w:after="0" w:line="19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Our overall success as a global business depends, in part, upon our ability to succeed in differing economic, social and political conditions. In order to continue to succeed in our international sales strategy, we must continue developing and implementing policies and strategies that are effective in each location where we do business, which could negatively affect our profitability.</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Rising inflation and interest rates could negatively impact our revenues, profitability and borrowing costs. In addition, if our costs increase and we are not able to correspondingly adjust our commercial relationships to account for this increase, our net income would be adversely affected, and the adverse impact may be material.</w:t>
      </w:r>
    </w:p>
    <w:p>
      <w:pPr>
        <w:spacing w:after="0" w:line="17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Sustained or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interest rates in response to concerns about inflation. Increases in interest rates have had, and could continue to have, a material impact on our borrowing costs.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if there is a decrease in spending on products in our industry in general or a negative reaction to our pricing. A reduction in our revenue would be detrimental to our profitability and financial condition and could also have an adverse impact on our future growth.</w:t>
      </w:r>
    </w:p>
    <w:p>
      <w:pPr>
        <w:spacing w:after="0" w:line="1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5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Our credit agreement provides for a term loan of $40.0 million and a $25.0 million senior revolving credit facility (collectively, the “Credit Agreement”) and will mature on December 22, 2025. As of December 31, 2023, we had outstanding borrowings of $37.1 million under the Credit Agreement.</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Pursuant to the terms of the Credit Agreement,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 incur debt or liens, make investments (including acquisitions), sell assets, and pay dividends on our capital stock. In addition, the Credit Agreement contains certain financial covenants, including a maximum consolidated net leverage ratio and a minimum consolidated fixed charge coverage ratio, each of which will be tested at the end of each fiscal quarter of the Company.</w:t>
      </w:r>
    </w:p>
    <w:p>
      <w:pPr>
        <w:spacing w:after="0" w:line="18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If we are not able to maintain compliance with the covenants under the Credit Agreement, as amended, or are unsuccessful in obtaining waivers or amendments for any covenant defaults in the future, in addition to other actions our lenders may require, the amounts outstanding under the Credit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8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62"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our Credit Agreement. Our cash flow and existing capital resources may be insufficient to repay our debt at maturity, in which such case prior thereto we would have to extend such maturity date, or otherwise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any other default existed under the Credit Agreement, our lenders could accelerate the indebtedness under the Credit Agreement, foreclose against their collateral or seek other remedies, which would jeopardize our ability to continue our current operations.</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concerns surrounding the use of our products and misunderstanding of the nature of our business could adversely affect our ability to develop and sell our existing products and new products.</w:t>
      </w:r>
    </w:p>
    <w:p>
      <w:pPr>
        <w:spacing w:after="0" w:line="15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Some of our products may be used in areas of research involving animal research and other techniques presently being explored in the life science industry. These techniques have drawn negative attention in the public forum. Government authorities may regulate or prohibit any of these activities. Additionally, the public may disfavor or reject these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may have a negative impact on our reported earnings.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We are subject to the risks of fluctuating foreign currency exchange rates, which could have an adverse effect on the sales price of our products in foreign markets, as well as the costs and expenses of our foreign subsidiaries. A substantial amount of our revenues is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any certainty changes in foreign currency exchange rates or the degree to which we can address these risks.</w:t>
      </w:r>
    </w:p>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5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w:t>
      </w:r>
    </w:p>
    <w:p>
      <w:pPr>
        <w:spacing w:after="0" w:line="16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Disruption caused by the failure of these systems, the underlying equipment, or communication networks could delay or otherwise adversely impact day-to-day business and decision making, could make it impossible for us to operate critical equipment, and could have an adverse effect on our performance. Our disaster recovery plans may not fully mitigate the effect of any such disruption. Disruptions could be caused by a variety of factors, such as catastrophic events or weather, power outages, or cyber-attacks on our systems by outside parties.</w:t>
      </w:r>
    </w:p>
    <w:p>
      <w:pPr>
        <w:spacing w:after="0" w:line="18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We review our information technology (“IT”) systems regularly to assess and implement opportunities to improve or upgrade our enterprise resource planning (“ERP”) or other information systems required to operate our business effectively. Our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the investment of significant financial and human resources. In addition, we may not be able to successfully complete the implementation of the ERP systems without experiencing difficulties. Any disruptions, delays or deficiencies in the design and implementation of any IT system, including ERP systems could adversely affect our ability to process orders, ship products, provide services and customer support, send invoices and track payments, fulfill contractual obligations or otherwise operate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information security incident, including a cybersecurity breach, could have a negative impact on our business or reputation.</w:t>
      </w:r>
    </w:p>
    <w:p>
      <w:pPr>
        <w:spacing w:after="0" w:line="229"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To meet business objectives, we rely on both internal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third-party providers have the required capabilities and controls to address this risk. While we have been, and may continue to be, subject to cybersecurity risks and incidents related to our business, to date, we have not experienced any material impact to the business or operations resulting from information or cybersecurity incidents; however, because of the frequently evolving tactics adopted by threat actors, along with the increased volume and sophistication of attacks by such threat actors, there is the potential for us to be materially adversely impacted in the future. This impact could result in reputational, competitive, operational or other business harm as well as financial costs and regulatory action. Additionally, the California Consumer Privacy Act of 2018 (the “CCPA”), which became effective on January 1, 2020, provides private rights of action for data breaches and requires companies that process information on California residents to make new disclosures to consumers about their data collection, use and sharing practices and allow consumers to opt out of certain data sharing with third parties. Compliance with the CCPA and other current and future applicable privacy, cybersecurity and related laws can be costly and time-consuming. Significant capital investments and other expenditures could also be required to remedy cybersecurity problems and prevent future breaches, including costs associated with additional security technologies, personnel, experts and credit monitoring services for those whose data has been breached. These costs, which could be material, could adversely impact our results of operations in the period in which they are incurred and may not meaningfully limit the success of future attempts to breach our information technology systems.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or enter into new leases on favorable terms.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facilities are located in leased premises. Several of our leases will expire in 2024 and we may be unable to renew such leases or enter into new leases on favorable terms and conditions or at all. A significant rise in real estate prices or real property taxes could also result in an increase in lease cost, and thereby negatively impacting the Company’s results of operations and cash flow. As a result, we may incur additional costs including increased rent and other costs related to our renegotiation of lease terms for our facilities or for a new lease in a desirable location.</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restructuring costs or not realize the expected benefits of our initiatives to reduce operating expenses in the future.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may not be able to implement all of the actions that we intend to take in the restructuring of our operations, and we may not be able to fully realize the expected benefits from such realignment and restructuring plans or other similar restructurings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manage our growth, our operating profits may be adversely impacted.</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Our success will depend on the expansion of our operations through organic growth, and we may execute acquisitions in the future to augment this growth. Effective growth management will place increased demands on our management team, operational and financial resources and expertise. To manage growth, we must optimize our operational, financial and management processes and systems, and information technology infrastructure and hire and train additional qualified personnel. While we are currently in the process of evaluating potential improvements to and consolidation of many of our processes and systems, we may not be able to implement these changes in an efficient or timely manner. Failure to manage our growth effectively, including failure to improve our systems and processes timely or efficiently, could impair our ability to generate revenues or could cause our expenses to increase more rapidly than revenues, resulting in operating losses or reduced profitability.</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 variety of costs in connection with acquisitions we may seek to consummate in the future, and we may never realize the anticipated benefits of our acquisitions due in part to difficulties integrating the businesses, operations and product lines.</w:t>
      </w:r>
    </w:p>
    <w:p>
      <w:pPr>
        <w:spacing w:after="0" w:line="15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Our business strategy has historically included the acquisition of businesses, technologies, services or products that we believe are a strategic fit with our business. If we were to undertake future acquisitions, the process of integrating the acquired business, technology, service and/or product(s) may result in unforeseen operating difficulties and expenditures and potentially absorb significant management attention that would otherwise be available for ongoing development of our business. Moreover, we may fail to realize the anticipated benefits of an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Our ability to achieve the benefits of acquisitions depends in part on the integration and leveraging of technology, operations, sales and marketing channels and personnel. Integration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other acquired companies, respectively, operating as separate companies in the past.</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raise additional capital or generate the significant capital necessary to expand our operations, invest in new products, or pursue acquisitions or other business development opportunities could reduce our ability to compete and result in less revenues.</w:t>
      </w:r>
    </w:p>
    <w:p>
      <w:pPr>
        <w:spacing w:after="0" w:line="15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We anticipate that our financial resources, which include available cash, cash generated from operations, and debt and equity capacity, will be sufficient to finance operations and capital expenditures for at least the next twelve months. However, this expectation is premised on the current operating plan, which may change as a result of many factors, including market acceptance of new products and future opportunities with collaborators. Consequently, we may need additional funding sooner than anticipated. In addition, our borrowings under the Credit Agreement may not be sufficient to support our pursuit of potential acquisitions or other business development opportunities. In such case, our inability to raise sufficient capital on favorable terms and in a timely manner (if at all) could seriously harm our business, product development, and acquisition efforts. In addition, our Credit Agreement contains various negative covenants that, among other things, restrict our ability to incur additional indebtedness and make acquisitions for aggregate consideration in excess of $5.0 million. If future financing is not available or is not available on acceptable terms, we may have to alter our operations or change our business strategy. We cannot assure you that the capital required to fund operations, or our acquisition strategy will be available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5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or Chief Financial Officer or any of our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and Minneapolis, Minnesota metropolitan areas, England, and Germany where demand for personnel with these skills is extremely high and is likely to remain high. Additionally, the COVID-19 pandemic and other macroeconomic factors have exacerbated these challenges, contributed to a sustained labor shortage, and increased turnover rates.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partly on our ability to operate without infringing on or misappropriating the intellectual property rights of others.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third-party patent, we may be unable to sell some of our products and services, which could result in reduced revenue.</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seek to hold us responsible for Harvard Apparatus Regenerative Technologies,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HRGN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(formerly known as Biostage, Inc.) liabilities, including liabilities that HRGN has assumed from us.</w:t>
      </w:r>
    </w:p>
    <w:p>
      <w:pPr>
        <w:spacing w:after="0" w:line="15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Third parties may continue to seek to hold us responsible for HRGN’s liabilities, including any of the liabilities that HRGN agreed to retain or assume in connection with the separation of the HRGN business from our businesses, and related spin-off distribution. For example, in April 2022, we and HRGN entered into a settlement of a litigation relating to injuries allegedly caused by products produced by us and HRGN and utilized in connection with surgeries performed by third parties (the “HRGN Settlement”). The HRGN Settlement resolved and dismissed all claims by and between the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common stock of HRGN held by the Company could fluctuate considerably in value and could become worthless.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connection with the HRGN Settlement, HRGN issued shares of its Series E Convertible Preferred Stock (the “Series E Preferred Stock”) to the Company in satisfaction of $4.0 million of HRGN’s total indemnification obligations to the Company. In April 2023, all of the Series E Preferred Stock we held in HRGN were mandatorily converted into shares of HRGN common stock. As of December 31, 2023, we held shares of HRGN common stock with an estimated fair value of $3.5 million.</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Due to HRGN’s limited operating history, their overall financial condition, (including whether it can continue as a going concern without additional capital) and the limited trading volume and liquidity of HRGN’s common stock, the value of this investment could fluctuate considerably or become worthless.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fluctuated in the past and could experience substantial declines in the future.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become volatile and could decline in the future, perhaps substantially, in response to various factors including, but not limited to:</w:t>
      </w:r>
    </w:p>
    <w:p>
      <w:pPr>
        <w:spacing w:after="0" w:line="162" w:lineRule="exact"/>
        <w:rPr>
          <w:sz w:val="20"/>
          <w:szCs w:val="20"/>
          <w:color w:val="auto"/>
        </w:rPr>
      </w:pPr>
    </w:p>
    <w:p>
      <w:pPr>
        <w:ind w:left="580" w:hanging="23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financial markets;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prospects of the domestic and foreign economies;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competitors or in competing technologies;</w:t>
      </w:r>
    </w:p>
    <w:p>
      <w:pPr>
        <w:spacing w:after="0" w:line="225" w:lineRule="exact"/>
        <w:rPr>
          <w:rFonts w:ascii="Times New Roman" w:cs="Times New Roman" w:eastAsia="Times New Roman" w:hAnsi="Times New Roman"/>
          <w:sz w:val="18"/>
          <w:szCs w:val="18"/>
          <w:color w:val="auto"/>
        </w:rPr>
      </w:pPr>
    </w:p>
    <w:p>
      <w:pPr>
        <w:ind w:left="580" w:right="340" w:hanging="235"/>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operating results fluctuating or failing to meet our expectations or financial guidance, or the expectations of securities analysts, or investors;</w:t>
      </w:r>
    </w:p>
    <w:p>
      <w:pPr>
        <w:spacing w:after="0" w:line="161" w:lineRule="exact"/>
        <w:rPr>
          <w:rFonts w:ascii="Times New Roman" w:cs="Times New Roman" w:eastAsia="Times New Roman" w:hAnsi="Times New Roman"/>
          <w:sz w:val="18"/>
          <w:szCs w:val="18"/>
          <w:color w:val="auto"/>
        </w:rPr>
      </w:pPr>
    </w:p>
    <w:p>
      <w:pPr>
        <w:ind w:left="580" w:right="1260" w:hanging="235"/>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of securities analysts and mistakes by or misinterpretation of comments from analysts, downward revisions in securities analysts’ estimates or management guidance;</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biotechnology and pharmaceutical industries;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or financings or strategic partnerships;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the internal control standards pursuant to the Sarbanes-Oxley Act of 2002; and</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demand for our common stock.</w:t>
      </w:r>
    </w:p>
    <w:p>
      <w:pPr>
        <w:spacing w:after="0" w:line="225"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 addition, public stock markets have experienced extreme price and trading volatility. The stock market and the Nasdaq Global Market in general, and the biotechnology and life science tools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funds through the sale of equity or convertible debt or equity-linked securities, existing percentages of ownership in our common stock will be reduced and these transactions may dilute the value of our outstanding common stock.</w:t>
      </w:r>
    </w:p>
    <w:p>
      <w:pPr>
        <w:spacing w:after="0" w:line="15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may raise additional funds through the sale of equity or convertible debt or equity-linked securities to repay our existing indebtedness, implement our acquisition strategy, expand our operations and/or invest in new products. If we raise additional funds through such sales, existing percentages of ownership in our common stock will be reduced and these transactions may dilute the value of our outstanding common stock. We may issue securities that have rights, preferences and privileges senior to our common stock. If we raise additional funds through collaborations or licensing arrangements, we may relinquish rights to certain of our technologies or products, or grant licenses to third parties on terms that are unfavorable.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military conflicts. Our business, financial condition and results of operations may be materially adversely affected by any negative impact on the global economy and capital markets resulting from the conflict in Ukraine, the Middle East or any other geopolitical tensions.</w:t>
      </w:r>
    </w:p>
    <w:p>
      <w:pPr>
        <w:spacing w:after="0" w:line="17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globally, including military conflicts (such as the conflict between Russia and Ukraine and the conflicts in Israel and the Middle East). Although the length and impact of these conflicts are highly unpredictable, these conflicts could lead to market disruptions, including significant volatility in commodity prices, credit and capital markets, supply chain interruptions, and additional economic and financial sanctions.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Epidemics and pandemics such as the COVID-19 pandemic have had, and in the future may have, a material adverse impact on our business.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Our operations and financial performance have been, and in the future may be, negatively impacted by public health crises such as the COVID-19 pandemic and other epidemics and pandemics. Such events have caused, and may in the future cause, impacts such as reductions in economic activity (including volatility in demand for our products, services, and solutions, disruptions in global supply chains, and volatility in financial markets). Additionally, we have in the past experienced, and may in the future experience, operational challenges such as workplace disruptions, restrictions on the movement of people, raw materials, and goods (both at our own facilities and at those of our customers and suppliers), global supply chain disruptions, delays or disruptions in orders and order fulfillment, and price inflation.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incur higher costs as a result of trade policies, treaties, government regulations or tariffs, we may become less profitable.</w:t>
      </w:r>
    </w:p>
    <w:p>
      <w:pPr>
        <w:spacing w:after="0" w:line="22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There continues to be uncertainty about the relationship between the United States and foreign countries, including with respect to trade policies, treaties, government regulations and tariffs. We are unable to predict whether or when tariffs will be imposed or the impact of any such future tariff increases.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lawsuits from counterparties to acquisitions and divestitures, including an acquiring company or its stockholders, an acquired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previous stockholders, a divested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 or our current stockholders.</w:t>
      </w:r>
    </w:p>
    <w:p>
      <w:pPr>
        <w:spacing w:after="0" w:line="15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commodity and precious metals costs could adversely impact our profitability.</w:t>
      </w:r>
    </w:p>
    <w:p>
      <w:pPr>
        <w:spacing w:after="0" w:line="22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Delaware law, or of our charter and bylaws may make a takeover more difficult, which could cause our stock price to decline.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4" w:lineRule="auto"/>
        <w:tabs>
          <w:tab w:leader="none" w:pos="560" w:val="left"/>
        </w:tabs>
        <w:rPr>
          <w:sz w:val="20"/>
          <w:szCs w:val="20"/>
          <w:color w:val="auto"/>
        </w:rPr>
      </w:pPr>
      <w:r>
        <w:rPr>
          <w:rFonts w:ascii="Times New Roman" w:cs="Times New Roman" w:eastAsia="Times New Roman" w:hAnsi="Times New Roman"/>
          <w:sz w:val="36"/>
          <w:szCs w:val="36"/>
          <w:b w:val="1"/>
          <w:bCs w:val="1"/>
          <w:color w:val="auto"/>
          <w:vertAlign w:val="superscript"/>
        </w:rPr>
        <w:t>Item</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have implemented a cybersecurity risk management program intended to protect the confidentiality, integrity, and availability of our critical systems and information. Our cybersecurity risk management program is an element of and is integrated into our overall enterprise risk management program. Our framework is informed in part by the National Institute of Standards and Technology (NIST) Cybersecurity Framework and International Organization for Standardization 27001 (ISO 27001) Framework, although we have not been audited to, and may not be in compliance with, all technical standards, specifications or requirements under the NIST or ISO 27001 frameworks. Our cybersecurity risk management program includes:</w:t>
      </w:r>
    </w:p>
    <w:p>
      <w:pPr>
        <w:spacing w:after="0" w:line="183" w:lineRule="exact"/>
        <w:rPr>
          <w:sz w:val="20"/>
          <w:szCs w:val="20"/>
          <w:color w:val="auto"/>
        </w:rPr>
      </w:pPr>
    </w:p>
    <w:p>
      <w:pPr>
        <w:ind w:left="580" w:right="440" w:hanging="23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(“IT”) environment;</w:t>
      </w:r>
    </w:p>
    <w:p>
      <w:pPr>
        <w:spacing w:after="0" w:line="161" w:lineRule="exact"/>
        <w:rPr>
          <w:rFonts w:ascii="Times New Roman" w:cs="Times New Roman" w:eastAsia="Times New Roman" w:hAnsi="Times New Roman"/>
          <w:sz w:val="18"/>
          <w:szCs w:val="18"/>
          <w:color w:val="auto"/>
        </w:rPr>
      </w:pPr>
    </w:p>
    <w:p>
      <w:pPr>
        <w:ind w:left="580" w:right="240" w:hanging="23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that is principally responsible for managing (1) our cybersecurity risk assessment processes, (2) our security controls, and (3) our response to cybersecurity incidents;</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25"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our employees, incident response personnel, and senior management;</w:t>
      </w:r>
    </w:p>
    <w:p>
      <w:pPr>
        <w:spacing w:after="0" w:line="225" w:lineRule="exact"/>
        <w:rPr>
          <w:rFonts w:ascii="Times New Roman" w:cs="Times New Roman" w:eastAsia="Times New Roman" w:hAnsi="Times New Roman"/>
          <w:sz w:val="18"/>
          <w:szCs w:val="18"/>
          <w:color w:val="auto"/>
        </w:rPr>
      </w:pPr>
    </w:p>
    <w:p>
      <w:pPr>
        <w:ind w:left="580" w:right="100" w:hanging="23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material cybersecurity risks posed by third-party service providers, including risks to employee, customer and financial information; and</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protocol that includes procedures for responding to cybersecurity incidents.</w:t>
      </w:r>
    </w:p>
    <w:p>
      <w:pPr>
        <w:spacing w:after="0" w:line="22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have been, and expect to continue to be, subject to cybersecurity risks and incidents related to our business. To date, such risks and incidents have not materially affected our business strategy, results of operations or financial condition. For more information about the cybersecurity risks we face, see Item 1A –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enterprise risk management oversight function. This oversight includes periodic reports from management, including our Vice President of IT, concerning cybersecurity related risks.</w:t>
      </w:r>
    </w:p>
    <w:p>
      <w:pPr>
        <w:spacing w:after="0" w:line="16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Our management team, including our Vice President of IT, is responsible for assessing and managing risks from cybersecurity threats. Our Vice President of IT has extensive information technology and program management experience, including broad experience in corporate and consulting environments across of range of organizations and industries. Where appropriate, she engages external cybersecurity consultants to assist with cybersecurity related matters. Our management team has primary responsibility for our overall cybersecurity risk management program and, under the leadership of our Vice President of IT, supervises both our internal personnel and external cybersecurity consultants. This includes efforts to prevent, detect, mitigate, and remediate cybersecurity risks. These efforts employ information from various sources, such as security tools deployed in our IT environment, internal personnel, external security consultants, and governmental 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Our facilities perform manufacturing, research and development, sales and marketing, and administration functions. As of December 31, 2023, we leased the following principal facilities:</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60" w:type="dxa"/>
            <w:vAlign w:val="bottom"/>
          </w:tcPr>
          <w:p>
            <w:pPr>
              <w:spacing w:after="0"/>
              <w:rPr>
                <w:sz w:val="20"/>
                <w:szCs w:val="20"/>
                <w:color w:val="auto"/>
              </w:rPr>
            </w:pPr>
          </w:p>
        </w:tc>
        <w:tc>
          <w:tcPr>
            <w:tcW w:w="438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Description of Facility</w:t>
            </w:r>
          </w:p>
        </w:tc>
        <w:tc>
          <w:tcPr>
            <w:tcW w:w="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Square Footage</w:t>
            </w: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Holliston, Massachusetts</w:t>
            </w:r>
          </w:p>
        </w:tc>
        <w:tc>
          <w:tcPr>
            <w:tcW w:w="4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Manufacturing facility and corporate headquarters</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83,000</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New Brighton, Minnesota</w:t>
            </w:r>
          </w:p>
        </w:tc>
        <w:tc>
          <w:tcPr>
            <w:tcW w:w="4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Manufacturing facility</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Reutlingen, Germany</w:t>
            </w:r>
          </w:p>
        </w:tc>
        <w:tc>
          <w:tcPr>
            <w:tcW w:w="4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Manufacturing facility</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Barcelona, Spain</w:t>
            </w:r>
          </w:p>
        </w:tc>
        <w:tc>
          <w:tcPr>
            <w:tcW w:w="4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Manufacturing facility</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March-Hugstetten, Germany</w:t>
            </w:r>
          </w:p>
        </w:tc>
        <w:tc>
          <w:tcPr>
            <w:tcW w:w="4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Manufacturing facility</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11,000</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We also lease facilities in Cambridge, England; Kista, Sweden; Beijing, China; and Shanghai, China. We believe our current facilities are adequate for our needs for the foreseeable future.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For information related to legal proceedings, see the discussion in Note 15 and Note 16 to the Consolidated Financial Statements included in “Part IV, Item 15. Exhibits, Financial Statement Schedules” of this report, which information is incorporated by reference into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symbol “HBIO.”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ind w:right="260" w:firstLine="450"/>
        <w:spacing w:after="0" w:line="266" w:lineRule="auto"/>
        <w:rPr>
          <w:sz w:val="20"/>
          <w:szCs w:val="20"/>
          <w:color w:val="auto"/>
        </w:rPr>
      </w:pPr>
      <w:r>
        <w:rPr>
          <w:rFonts w:ascii="Times New Roman" w:cs="Times New Roman" w:eastAsia="Times New Roman" w:hAnsi="Times New Roman"/>
          <w:sz w:val="18"/>
          <w:szCs w:val="18"/>
          <w:color w:val="auto"/>
        </w:rPr>
        <w:t>There were 90 holders of record of our common stock as of March 1, 2024.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b w:val="1"/>
          <w:bCs w:val="1"/>
          <w:i w:val="1"/>
          <w:iCs w:val="1"/>
          <w:color w:val="auto"/>
        </w:rPr>
        <w:t>.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following section of this Annual Report on Form 10-K contains statements that are not statements of historical fact and are forward-looking statements within the meaning of federal securities laws. These statements involve known and unknown risks, uncertainties and other factors that may cause our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in this Annual Report on Form 10-K. You should carefully review all of these factors, as well as the comprehensive discussion of forward-looking statements on page 1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Harvard Bioscience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CROs. With operations in the United States, Europe and China, we sell through a combination of direct and distribution channels to customers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Developments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business is affected by global and regional economic trends and uncertainties. The global economy has recently experienced increasing uncertainty, including inflationary pressure, rising interest rates, and fluctuations in exchange rates. Our business has also been affected by a recent softening of certain international markets, especially in China and the Asia-Pacific region, the events in Ukraine and the Middle East, as well as delays in government funding for our customers. These developments may lead to additional economic uncertainties.</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Overall, our results of operations were negatively impacted by the COVID-19 pandemic. However, we experienced a period of increased demand for certain of our products due to increased COVID-19 related research activity during the pandemic, which is unlikely to be repeated. Our business has been affected by a reduced demand from our biotechnology and pharmaceutical company customers, due principally to the increased cost of capital and a reduction in spending following the COVID-19 pandemic.</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If these trends are prolonged or are more severe, or if the recovery is less robust or takes longer than anticipated, our business, results of operations, and cash flow may be materially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Activities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On an ongoing basis, we review our business, the global economy, the healthcare industry, and the markets in which we compete to identify operational efficiencies, enhance commercial capabilities and align our cost base and infrastructure with customer needs and our strategic plans.</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During 2022, we reviewed our business and product portfolio and identified opportunities to rationalize our product portfolio, improve our cost structure and optimize our sales organization. In connection with this review, during the year ended December 31, 2022, we identified certain non-strategic products for discontinuation and recorded $1.5 million of inventory charges and also recorded $0.9 million in severance expenses in connection with headcount reductions in Europe and North America. During the year ended December 31, 2023, we incurred an additional $0.3 million in inventory charges and $0.1 million in remaining severance and other expenses related to completion of this restructuring program.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 the table below, we provide an overview of selected operating metrics for the year ended December 31, 2023, compared to the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112,250</w:t>
            </w:r>
          </w:p>
        </w:tc>
        <w:tc>
          <w:tcPr>
            <w:tcW w:w="1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equity securities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Revenues decreased $1.0 million, or 1.0%, to $112.3 million for the year ended December 31, 2023, compared to $113.3 million for the year ended December 31, 2022. Revenues included a net decrease of $5.0 million from the discontinuation of non-strategic products, which was largely offset by growth in preclinical product and service revenue. Foreign exchange favorably impacted revenue by $0.7 million during the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Gross profit increased $5.3 million, or 8.6%, to $66.1 million for the year ended December 31, 2023, compared with $60.8 million for the year ended December 31, 2022. Gross margin increased to 58.9% for the year ended December 31, 2023, compared with 53.7% for the year ended December 31, 2022. The increase in gross margin was due primarily to a higher mix of preclinical products, services, and software, which generally have higher gross margins than our other product lines, reduced revenue from lower margin products discontinued during the second half of 2022 and lower cost of sales resulting from restructuring activities related to discontinuing those products. Costs of goods sold for the year ended December 31, 2022, also included a $1.5 million inventory write down related to the discontinuation of certain non-strategic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$0.9 million, or 3.7%, to $24.1 million for the year ended December 31, 2023, compared to $25.0 million for the year ended December 31, 2022. A reduction in salaries due to lower headcount was partially offset by increases in variable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$1.7 million, or 7.0%, to $22.8 million for the year ended December 31, 2023, compared with $24.5 million for the year ended December 31, 2022. The decrease was primarily due to reduced consulting costs and severance costs incurred with restructuring activities in the prior period, partially offset by increases in salaries and variable compensation in the current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$0.5 million, or 4.6%, to $11.8 million for the year ended December 31, 2023, compared with $12.3 million for the year ended December 31, 2022. The decrease was primarily due to the capitalization of software development costs. Reduced salaries and consulting costs were offset by increases in variable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27"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$5.5 million for the year ended December 31, 2023, compared to $6.1 million for the year ended December 31, 2022. Amortization expense decreased as certain intangible assets became fully amortized during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recorded a net credit of $0.2 million related to the HRGN Settlement consisting of $5.2 million in settlement and legal expenses offset by credits of $5.4 million. The credits consisted of adjustments to the reserve against an indemnification receivable from HRGN to reflect: i) the issuance by HRGN of Series E Convertible Preferred Stock to us on June 10, 2022, in satisfaction of $4.0 million of Biostage’s total indemnification obligations, ii) the payment by HRGN of legal fees associated with the HRGN Settlement, and iii) other accrual adjustments.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April 6, 2023, all of the shares of Convertible Preferred Stock we held in HRGN were mandatorily converted into shares of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Interest expense increased $1.1 million, or 40.9%, to $3.6 million for the year ended December 31, 2023, compared with $2.5 million for the year ended December 31, 2022. The increase was the result of higher interest costs in a rising rate environment, which was partially offset by lower average borrowings during the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 on equity securities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connection with the settlement discussed above, as of December 31, 2023 we held shares of HRGN common stock with an estimated fair value of $3.5 million. During the year ended December 31, 2023, we recorded an unrealized loss of $0.6 million related to these shares. We determine the fair value of our HRGN common stock based on the closing price as quoted on the OTCQB Marketplace at the reporting date. Due to HRGN’s limited operating history, its overall financial condition and the limited trading volumes and liquidity of its common stock, the value of our investment in this common stock could fluctuate considerably or become worthless.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Income tax expense for the year ended December 31, 2023, was $0.9 million compared to $0.3 million for the year ended December 31, 2022. The effective tax rates for the years ended December 31, 2023 and 2022, were (33.5)% and (3.7)%, respectively. The difference between our effective tax rates compared to the U.S. statutory tax rate of 21% was primarily due to the mix of forecasted income or losses in our U.S. and foreign tax jurisdictions, the impact of the employee retention credit, and a Global Intangible Low-Taxed Income inclusion to taxable income. The effective tax rates in both the years ended December 31, 2023 and 2022, were also impacted by changes in valuation allowances associated with our assessment of the likelihood of the recoverability of our deferred tax assets. We have valuation allowances against substantially all of our net operating loss carryforwards and tax credit carryforwards.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salaries, inventory, and capital expenditures.</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As of December 31, 2023, we held cash and cash equivalents of $4.3 million, compared with $4.5 million at December 31, 2022. Borrowings outstanding under our Credit Agreement were $37.1 million and $47.7 million as of December 31, 2023 and 2022, respectively.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December 22, 2020, we entered into a Credit Agreement which provides for a term loan of $40.0 million and a $25.0 million senior revolving credit facility both maturing on December 22, 2025 (See Note 9 to the Consolidated Financial Statements included in “Part IV, Item 15. Exhibits, Financial Statement Schedules” of this report). As of December 31, 2023, the weighted average interest rate on our borrowings, inclusive of the effect of our interest rate swaps, was 7.4%, and the available and unused borrowing capacity under the Credit Agreement, as amended, was $10.8 million. Total revolver borrowing capacity is limited by our consolidated net leverage ratio as defined under the Credit Agreement, as amended.</w:t>
      </w:r>
    </w:p>
    <w:p>
      <w:pPr>
        <w:spacing w:after="0" w:line="18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plans, we expect that our available cash, cash generated from current operations and debt capacity will be sufficient to finance current operations and capital expenditures for at least the next 12 months. This assessment includes consideration of our best estimates of the impact of macroeconomic conditions on our financial results described above. Our forecast for the period of time through which our financial resources will be adequate to support our operations is a forward-looking statement that involves risks and uncertainties, and actual results could vary as a result of a number of factors.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Effect of exchange rate changes on cash</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Cash Flow Statements</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32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14,028</w:t>
            </w:r>
          </w:p>
        </w:tc>
        <w:tc>
          <w:tcPr>
            <w:tcW w:w="8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1,152</w:t>
            </w:r>
          </w:p>
        </w:tc>
      </w:tr>
      <w:tr>
        <w:trPr>
          <w:trHeight w:val="216"/>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34"/>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-719455</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-445135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-162560</wp:posOffset>
            </wp:positionV>
            <wp:extent cx="57003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340" w:space="460"/>
            <w:col w:w="7440"/>
          </w:cols>
          <w:pgMar w:left="320" w:top="121" w:right="339" w:bottom="1440" w:gutter="0" w:footer="0" w:header="0"/>
        </w:sect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Cash provided by operations was $14.0 million and $1.2 million for the years ended December 31, 2023 and 2022, respectively. Cash provided by operating activities for the year ended December 31, 2023 improved due to reductions in our net loss adjusted for non-cash items and increases in deferred revenue for service contracts. During the year ended December 31, 2022, cash used in operations was negatively impacted by the payment of approximately $4.0 million in connection with the HRGN Settlement.</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$1.8 million for the year ended December 31, 2023, and primarily consisted of $2.3 million of capital expenditures in manufacturing, information technology infrastructure, and capitalized software costs, offset by $0.5 million from proceeds from the sale our Hoefer product line. Cash used in investing activities was $1.6 million for the year ended December 31, 2022, and primarily consisted of capital expenditures in manufacturing and information technology infrastructure.</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$12.1 million for the year ended December 31, 2023. During this period, we made term loan installments payments under the Credit Agreement of $4.1 million, with net payments of $6.4 million under the revolving credit facility. We also received proceeds of $0.9 million from the exercise of stock options and the employee stock purchase plan and paid $2.5 million for taxes related to net share settlement of equity awards.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$2.8 million for the year ended December 31, 2022. During this period, we made term loan payments under the Credit Agreement of $3.2 million, with net borrowings of $1.4 million under the revolving facility. We also received proceeds of $0.6 million from the exercise of stock options and employee stock purchase plan purchases and paid $1.6 million for taxes related to net share settlement of equity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international operations in some instances operate as a natural hedge as we sell our products in many countries and a substantial portion of our revenues, costs and expenses are denominated in foreign currencies, primarily the euro and the British pound. During the year ended December 31, 2023, changes in foreign currency exchange rates resulted in a favorable effect on revenues of $0.7 million and an unfavorable effect on expenses of approximately $0.5 million.</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translation of foreign currency into U.S. dollars included as a component of comprehensive loss resulted in a gain (loss) of $1.5 million and $(2.6) million, respectively. In addition, the currency exchange rate fluctuations included as a component of net loss resulted in currency losses of $(0.2) million and $(0.4) million during the years ended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 Accounting Pronouncements” included in Note 2 to the Consolidated Financial Statements included in “Part IV, Item 15. Exhibits, Financial Statement Schedules”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investments, income taxes, litigation and other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following is one of the more significant judgments and estimates used in the preparation of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Our annual tax rate is based on income, statutory tax rates, tax reserve changes and tax planning opportunities available to us in the various jurisdictions in which we operate. We regularly assess the likelihood of tax adjustments in each of the tax jurisdictions in which we have operations and account for the related financial statement implications. We have established tax reserves that we believe are appropriate given the possibility of tax adjustments. Determining the appropriate level of tax reserves requires significant judgment regarding the uncertain application of tax laws. Reserves are adjusted when information becomes available or when an event occurs indicating a change in the reserve is appropriate. Changes in tax reserves could have a material impact on our financial condition or results of operations.</w:t>
      </w:r>
    </w:p>
    <w:p>
      <w:pPr>
        <w:spacing w:after="0" w:line="18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Significant judgment is also required in determining the amount of deferred tax assets that will ultimately be realized and any corresponding deferred tax asset valuation allowance. When estimating the necessary valuation allowance, we consider all available evidence for each jurisdiction including historical operating results, estimates of future taxable income and the feasibility of ongoing tax planning strategies. If new information becomes available that would alter our estimate of the amount of deferred tax assets that will ultimately be realized, we adjust the valuation allowance through income tax expense. Changes in the deferred tax asset valuation allowance could have a material impact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financial statements referenced in “Part IV, Item 15. Exhibits, Financial Statement Schedules” of this report, which financial statements are appended to this report. An index of those financial statements is found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72"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carried out an evaluation required by the Securities Exchange Act of 1934 (the “1934 Act”), under the supervision and with the participation of our principal executive officer and principal financial officer, of the effectiveness of the design and operation of our disclosure controls and procedures, as defined in Rule 13a-15(e) of the 1934 Act, as of December 31, 2023. Based on this evaluation, our principal executive officer and principal financial officer concluded that, as of December 31, 2023, our disclosure controls and procedures were effective to provide reasonable assurance that information required to be disclosed by us in the reports that we file or submit under the 1934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2023 based on criteria established in Internal Control — Integrated Framework (2013) issued by the Committee of Sponsoring Organizations of the Treadway Commission. As a result of this assessment, management concluded that, as of December 31, 2023, our internal control over financial reporting was effective in providing reasonable assurance regarding the reliability of financial reporting and the preparation of financial statements for external purposes in accordance with generally accepted accounting principles. Grant Thornton LLP has independently assessed the effectiveness of our internal control over financial reporting and its report is included below.</w:t>
      </w:r>
    </w:p>
    <w:p>
      <w:pPr>
        <w:spacing w:after="0" w:line="185" w:lineRule="exact"/>
        <w:rPr>
          <w:sz w:val="20"/>
          <w:szCs w:val="20"/>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last quarter ended December 31, 2023, that materially affected, or are reasonably likely to materially affect, our internal control over financial reporting.</w:t>
      </w:r>
    </w:p>
    <w:p>
      <w:pPr>
        <w:spacing w:after="0" w:line="158"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Controls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Harvard Bioscience, Inc. (a Delaware corporation) and subsidiaries (the “Company”) as of December 31, 2023,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2023, based on criteria established in the 2013 Internal Control—Integrated Framework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2023, and our report dated March 7,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On November 23, 2023, James Green, our Chairman, President and Chief Executive Officer, adopted a trading plan intended to satisfy the affirmative defense available under Rule 10b5-1(c) (the “Trading Plan”). The expiration date of the Trading Plan was February 7, 2025. The total number of shares of our common stock (the “Shares”) to be sold under the Trading Plan was a maximum of 240,000. Mr. Green terminated the Trading Plan on January 21, 2024. No Shares were sold under the Trading Plan prior to its termination.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2024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2024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2024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2024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2024 Annual Meeting of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 or incorporated by reference as indicated:</w:t>
      </w:r>
    </w:p>
    <w:p>
      <w:pPr>
        <w:spacing w:after="0" w:line="250"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Schedules, and Exhibits. </w:t>
      </w:r>
      <w:r>
        <w:rPr>
          <w:rFonts w:ascii="Times New Roman" w:cs="Times New Roman" w:eastAsia="Times New Roman" w:hAnsi="Times New Roman"/>
          <w:sz w:val="18"/>
          <w:szCs w:val="18"/>
          <w:color w:val="auto"/>
        </w:rPr>
        <w:t>We have listed our consolidated financial statements filed as part of this annual report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index to consolidated financial statements on page F-1.</w:t>
      </w:r>
    </w:p>
    <w:p>
      <w:pPr>
        <w:spacing w:after="0" w:line="158"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We have omitted all financial statement schedules because they are not applicable or not required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we have included the necessary information in our consolidated financial statements or related notes.</w:t>
      </w:r>
    </w:p>
    <w:p>
      <w:pPr>
        <w:spacing w:after="0" w:line="158"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We have listed the exhibits filed as part of this annual report in the accompanying exhibit index, which follows the signature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to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00"/>
        </w:trPr>
        <w:tc>
          <w:tcPr>
            <w:tcW w:w="12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20" w:type="dxa"/>
            <w:vAlign w:val="bottom"/>
          </w:tcPr>
          <w:p>
            <w:pPr>
              <w:jc w:val="center"/>
              <w:ind w:right="223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76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440" w:type="dxa"/>
            <w:vAlign w:val="bottom"/>
          </w:tcPr>
          <w:p>
            <w:pPr>
              <w:spacing w:after="0"/>
              <w:rPr>
                <w:sz w:val="24"/>
                <w:szCs w:val="24"/>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rPr>
              <w:t>F-2</w:t>
            </w:r>
          </w:p>
        </w:tc>
      </w:tr>
      <w:tr>
        <w:trPr>
          <w:trHeight w:val="412"/>
        </w:trPr>
        <w:tc>
          <w:tcPr>
            <w:tcW w:w="2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6"/>
          </w:tcPr>
          <w:p>
            <w:pPr>
              <w:spacing w:after="0"/>
              <w:rPr>
                <w:sz w:val="24"/>
                <w:szCs w:val="24"/>
                <w:color w:val="auto"/>
              </w:rPr>
            </w:pPr>
          </w:p>
        </w:tc>
        <w:tc>
          <w:tcPr>
            <w:tcW w:w="5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F-3</w:t>
            </w:r>
          </w:p>
        </w:tc>
        <w:tc>
          <w:tcPr>
            <w:tcW w:w="60" w:type="dxa"/>
            <w:vAlign w:val="bottom"/>
          </w:tcPr>
          <w:p>
            <w:pPr>
              <w:spacing w:after="0"/>
              <w:rPr>
                <w:sz w:val="24"/>
                <w:szCs w:val="24"/>
                <w:color w:val="auto"/>
              </w:rPr>
            </w:pPr>
          </w:p>
        </w:tc>
      </w:tr>
      <w:tr>
        <w:trPr>
          <w:trHeight w:val="412"/>
        </w:trPr>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1440" w:type="dxa"/>
            <w:vAlign w:val="bottom"/>
          </w:tcPr>
          <w:p>
            <w:pPr>
              <w:spacing w:after="0"/>
              <w:rPr>
                <w:sz w:val="24"/>
                <w:szCs w:val="24"/>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rPr>
              <w:t>F-4</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Loss</w:t>
            </w:r>
          </w:p>
        </w:tc>
        <w:tc>
          <w:tcPr>
            <w:tcW w:w="578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F-5</w:t>
            </w:r>
          </w:p>
        </w:tc>
        <w:tc>
          <w:tcPr>
            <w:tcW w:w="60" w:type="dxa"/>
            <w:vAlign w:val="bottom"/>
          </w:tcPr>
          <w:p>
            <w:pPr>
              <w:spacing w:after="0"/>
              <w:rPr>
                <w:sz w:val="24"/>
                <w:szCs w:val="24"/>
                <w:color w:val="auto"/>
              </w:rPr>
            </w:pPr>
          </w:p>
        </w:tc>
      </w:tr>
      <w:tr>
        <w:trPr>
          <w:trHeight w:val="412"/>
        </w:trPr>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440" w:type="dxa"/>
            <w:vAlign w:val="bottom"/>
          </w:tcPr>
          <w:p>
            <w:pPr>
              <w:spacing w:after="0"/>
              <w:rPr>
                <w:sz w:val="24"/>
                <w:szCs w:val="24"/>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rPr>
              <w:t>F-6</w:t>
            </w:r>
          </w:p>
        </w:tc>
      </w:tr>
      <w:tr>
        <w:trPr>
          <w:trHeight w:val="412"/>
        </w:trPr>
        <w:tc>
          <w:tcPr>
            <w:tcW w:w="28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tcBorders>
              <w:top w:val="single" w:sz="8" w:color="0000EE"/>
            </w:tcBorders>
            <w:gridSpan w:val="2"/>
          </w:tcPr>
          <w:p>
            <w:pPr>
              <w:spacing w:after="0"/>
              <w:rPr>
                <w:sz w:val="24"/>
                <w:szCs w:val="24"/>
                <w:color w:val="auto"/>
              </w:rPr>
            </w:pPr>
          </w:p>
        </w:tc>
        <w:tc>
          <w:tcPr>
            <w:tcW w:w="580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F-7</w:t>
            </w:r>
          </w:p>
        </w:tc>
        <w:tc>
          <w:tcPr>
            <w:tcW w:w="60" w:type="dxa"/>
            <w:vAlign w:val="bottom"/>
          </w:tcPr>
          <w:p>
            <w:pPr>
              <w:spacing w:after="0"/>
              <w:rPr>
                <w:sz w:val="24"/>
                <w:szCs w:val="24"/>
                <w:color w:val="auto"/>
              </w:rPr>
            </w:pPr>
          </w:p>
        </w:tc>
      </w:tr>
      <w:tr>
        <w:trPr>
          <w:trHeight w:val="412"/>
        </w:trPr>
        <w:tc>
          <w:tcPr>
            <w:tcW w:w="3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180" w:type="dxa"/>
            <w:vAlign w:val="bottom"/>
            <w:gridSpan w:val="4"/>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F-8</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Harvard Bioscience, Inc. (a Delaware corporation) and subsidiaries (the “Company”) as of December 31, 2023 and 2022, the related consolidated statements of operations,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the 2013 Internal Control—Integrated Framework issued by the Committee of Sponsoring Organizations of the Treadway Commission (“COSO”), and our report dated March 7, 2024,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73"/>
        </w:trPr>
        <w:tc>
          <w:tcPr>
            <w:tcW w:w="4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52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HARVARD BIOSCIENCE, INC.</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0"/>
        </w:trPr>
        <w:tc>
          <w:tcPr>
            <w:tcW w:w="4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7380" w:type="dxa"/>
            <w:vAlign w:val="bottom"/>
            <w:tcBorders>
              <w:bottom w:val="single" w:sz="8" w:color="CCEEFF"/>
            </w:tcBorders>
            <w:gridSpan w:val="3"/>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4,283</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16,099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16,705</w:t>
            </w: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26,439</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3,472</w:t>
            </w:r>
          </w:p>
        </w:tc>
      </w:tr>
      <w:tr>
        <w:trPr>
          <w:trHeight w:val="209"/>
        </w:trPr>
        <w:tc>
          <w:tcPr>
            <w:tcW w:w="78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49,038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51,124</w:t>
            </w: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5,816</w:t>
            </w: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57,065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56,260</w:t>
            </w:r>
          </w:p>
        </w:tc>
      </w:tr>
      <w:tr>
        <w:trPr>
          <w:trHeight w:val="216"/>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21,014</w:t>
            </w: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7,780</w:t>
            </w:r>
          </w:p>
        </w:tc>
      </w:tr>
      <w:tr>
        <w:trPr>
          <w:trHeight w:val="249"/>
        </w:trPr>
        <w:tc>
          <w:tcPr>
            <w:tcW w:w="78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137,366</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145,360</w:t>
            </w:r>
          </w:p>
        </w:tc>
      </w:tr>
      <w:tr>
        <w:trPr>
          <w:trHeight w:val="156"/>
        </w:trPr>
        <w:tc>
          <w:tcPr>
            <w:tcW w:w="7860" w:type="dxa"/>
            <w:vAlign w:val="bottom"/>
            <w:tcBorders>
              <w:top w:val="single" w:sz="8" w:color="CCEEFF"/>
            </w:tcBorders>
            <w:gridSpan w:val="4"/>
          </w:tcPr>
          <w:p>
            <w:pPr>
              <w:spacing w:after="0" w:line="15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5,859</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3,811</w:t>
            </w: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6,447</w:t>
            </w: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3,370</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7,486</w:t>
            </w:r>
          </w:p>
        </w:tc>
      </w:tr>
      <w:tr>
        <w:trPr>
          <w:trHeight w:val="210"/>
        </w:trPr>
        <w:tc>
          <w:tcPr>
            <w:tcW w:w="78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23,249</w:t>
            </w: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43,013</w:t>
            </w:r>
          </w:p>
        </w:tc>
      </w:tr>
      <w:tr>
        <w:trPr>
          <w:trHeight w:val="216"/>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78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w:t>
            </w:r>
          </w:p>
        </w:tc>
      </w:tr>
      <w:tr>
        <w:trPr>
          <w:trHeight w:val="210"/>
        </w:trPr>
        <w:tc>
          <w:tcPr>
            <w:tcW w:w="7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64,292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73,140</w:t>
            </w:r>
          </w:p>
        </w:tc>
      </w:tr>
      <w:tr>
        <w:trPr>
          <w:trHeight w:val="210"/>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Note 15</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43,394,509 shares issued and</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7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2023; 42,081,707 shares issued and outstanding at December 31, 2022</w:t>
            </w:r>
          </w:p>
        </w:tc>
        <w:tc>
          <w:tcPr>
            <w:tcW w:w="3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229,008</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(142,190)</w:t>
            </w:r>
          </w:p>
        </w:tc>
      </w:tr>
      <w:tr>
        <w:trPr>
          <w:trHeight w:val="216"/>
        </w:trPr>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r>
      <w:tr>
        <w:trPr>
          <w:trHeight w:val="210"/>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72,220</w:t>
            </w:r>
          </w:p>
        </w:tc>
      </w:tr>
      <w:tr>
        <w:trPr>
          <w:trHeight w:val="230"/>
        </w:trPr>
        <w:tc>
          <w:tcPr>
            <w:tcW w:w="78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137,366</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145,360</w:t>
            </w: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532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2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2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3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112,250</w:t>
            </w:r>
          </w:p>
        </w:tc>
        <w:tc>
          <w:tcPr>
            <w:tcW w:w="1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113,335</w:t>
            </w: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46,179</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52,516</w:t>
            </w:r>
          </w:p>
        </w:tc>
      </w:tr>
      <w:tr>
        <w:trPr>
          <w:trHeight w:val="209"/>
        </w:trPr>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66,071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60,819</w:t>
            </w:r>
          </w:p>
        </w:tc>
      </w:tr>
      <w:tr>
        <w:trPr>
          <w:trHeight w:val="210"/>
        </w:trPr>
        <w:tc>
          <w:tcPr>
            <w:tcW w:w="1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24,108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25,041</w:t>
            </w:r>
          </w:p>
        </w:tc>
      </w:tr>
      <w:tr>
        <w:trPr>
          <w:trHeight w:val="216"/>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24,493</w:t>
            </w:r>
          </w:p>
        </w:tc>
      </w:tr>
      <w:tr>
        <w:trPr>
          <w:trHeight w:val="216"/>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12,329</w:t>
            </w:r>
          </w:p>
        </w:tc>
      </w:tr>
      <w:tr>
        <w:trPr>
          <w:trHeight w:val="216"/>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6,122</w:t>
            </w:r>
          </w:p>
        </w:tc>
      </w:tr>
      <w:tr>
        <w:trPr>
          <w:trHeight w:val="216"/>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 - Note 16</w:t>
            </w:r>
          </w:p>
        </w:tc>
        <w:tc>
          <w:tcPr>
            <w:tcW w:w="4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64,177</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67,752</w:t>
            </w:r>
          </w:p>
        </w:tc>
      </w:tr>
      <w:tr>
        <w:trPr>
          <w:trHeight w:val="209"/>
        </w:trPr>
        <w:tc>
          <w:tcPr>
            <w:tcW w:w="1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09"/>
        </w:trPr>
        <w:tc>
          <w:tcPr>
            <w:tcW w:w="1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Unrealized loss on equity securities - Note 16</w:t>
            </w: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r>
      <w:tr>
        <w:trPr>
          <w:trHeight w:val="20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4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09"/>
        </w:trPr>
        <w:tc>
          <w:tcPr>
            <w:tcW w:w="1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r>
      <w:tr>
        <w:trPr>
          <w:trHeight w:val="216"/>
        </w:trPr>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r>
      <w:tr>
        <w:trPr>
          <w:trHeight w:val="20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3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0"/>
        </w:trPr>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6"/>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53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196"/>
        </w:trPr>
        <w:tc>
          <w:tcPr>
            <w:tcW w:w="128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c>
          <w:tcPr>
            <w:tcW w:w="43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42,420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41,413</w:t>
            </w:r>
          </w:p>
        </w:tc>
      </w:tr>
      <w:tr>
        <w:trPr>
          <w:trHeight w:val="20"/>
        </w:trPr>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10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10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Defined benefit pension plans, net of tax benefit of $137 and $566, respectively</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16"/>
        </w:trPr>
        <w:tc>
          <w:tcPr>
            <w:tcW w:w="7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qualifying as cash flow hedges, net of tax of $-0-</w:t>
            </w:r>
          </w:p>
        </w:tc>
        <w:tc>
          <w:tcPr>
            <w:tcW w:w="5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29"/>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(14,541)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gridSpan w:val="7"/>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HARVARD BIOSCIENCE,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720" w:type="dxa"/>
            <w:vAlign w:val="bottom"/>
            <w:gridSpan w:val="11"/>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4"/>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225,650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83,401</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4,411</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72,220</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4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43,395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r>
      <w:tr>
        <w:trPr>
          <w:trHeight w:val="20"/>
        </w:trPr>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24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8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24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Pr>
          <w:p>
            <w:pPr>
              <w:spacing w:after="0"/>
              <w:rPr>
                <w:sz w:val="18"/>
                <w:szCs w:val="18"/>
                <w:color w:val="auto"/>
              </w:rPr>
            </w:pPr>
          </w:p>
        </w:tc>
      </w:tr>
      <w:tr>
        <w:trPr>
          <w:trHeight w:val="210"/>
        </w:trPr>
        <w:tc>
          <w:tcPr>
            <w:tcW w:w="7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16"/>
        </w:trPr>
        <w:tc>
          <w:tcPr>
            <w:tcW w:w="7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6,122</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4,411</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10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equity securities - Note 16</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received in litigation settlement - Note 16</w:t>
            </w:r>
          </w:p>
        </w:tc>
        <w:tc>
          <w:tcPr>
            <w:tcW w:w="10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product line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4,780</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9"/>
        </w:trPr>
        <w:tc>
          <w:tcPr>
            <w:tcW w:w="7520" w:type="dxa"/>
            <w:vAlign w:val="bottom"/>
            <w:tcBorders>
              <w:bottom w:val="single" w:sz="8" w:color="CCEEFF"/>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14,028</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1,152</w:t>
            </w:r>
          </w:p>
        </w:tc>
      </w:tr>
      <w:tr>
        <w:trPr>
          <w:trHeight w:val="21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product line</w:t>
            </w:r>
          </w:p>
        </w:tc>
        <w:tc>
          <w:tcPr>
            <w:tcW w:w="10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10"/>
        </w:trPr>
        <w:tc>
          <w:tcPr>
            <w:tcW w:w="7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 from revolving line of credit</w:t>
            </w:r>
          </w:p>
        </w:tc>
        <w:tc>
          <w:tcPr>
            <w:tcW w:w="10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r>
      <w:tr>
        <w:trPr>
          <w:trHeight w:val="21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09"/>
        </w:trPr>
        <w:tc>
          <w:tcPr>
            <w:tcW w:w="7520" w:type="dxa"/>
            <w:vAlign w:val="bottom"/>
            <w:tcBorders>
              <w:bottom w:val="single" w:sz="8" w:color="CCEEFF"/>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1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7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7,821</w:t>
            </w:r>
          </w:p>
        </w:tc>
      </w:tr>
      <w:tr>
        <w:trPr>
          <w:trHeight w:val="250"/>
        </w:trPr>
        <w:tc>
          <w:tcPr>
            <w:tcW w:w="7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4,283</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4,508</w:t>
            </w:r>
          </w:p>
        </w:tc>
      </w:tr>
      <w:tr>
        <w:trPr>
          <w:trHeight w:val="196"/>
        </w:trPr>
        <w:tc>
          <w:tcPr>
            <w:tcW w:w="752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36"/>
        </w:trPr>
        <w:tc>
          <w:tcPr>
            <w:tcW w:w="7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3,795</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75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1240" w:type="dxa"/>
            <w:vAlign w:val="bottom"/>
            <w:gridSpan w:val="2"/>
          </w:tcPr>
          <w:p>
            <w:pPr>
              <w:jc w:val="right"/>
              <w:ind w:right="10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534</w:t>
            </w:r>
          </w:p>
        </w:tc>
      </w:tr>
      <w:tr>
        <w:trPr>
          <w:trHeight w:val="20"/>
        </w:trPr>
        <w:tc>
          <w:tcPr>
            <w:tcW w:w="1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Harvard Bioscience, Inc., a Delaware corporation (the “Company”),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The Company’s products and services are sold globally to customers ranging from renowned academic institutions and government laboratories to the world’s leading pharmaceutical, biotechnology and contract research organizations. With operations in the United States, Europe and China, the Company sells through a combination of direct and distribution channels to customers around the world.</w:t>
      </w:r>
    </w:p>
    <w:p>
      <w:pPr>
        <w:spacing w:after="0" w:line="210"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Harvard Bioscience, Inc. and its wholly-owned subsidiaries. All intercompany balances and transactions have been eliminated in consolidation.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the use of management estimates. Such estimates include the determination and establishment of certain accruals and provisions, including those for income taxes, credit losses on receivables. and defined benefit pension obligations. Estimates are also required to evaluate the value for inventories reported at lower of cost or net realizable value, stock-based compensation expense, and the recoverability of long-lived and intangible assets, including goodwill. On an ongoing basis, the Company reviews its estimates based upon currently available information. Actual results could differ materially from those estimates.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The Company has cash holdings in financial institutions that exceed insured limits for such financial institutions. The Company mitigates this risk by utilizing financial institutions of high credit quality.</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Approximately 49% of the Company’s cash and cash equivalents at December 31, 2023 was held by the Company’s foreign subsidiaries and subject to repatriation tax considerations. These foreign funds were held primarily by subsidiaries in the United Kingdom, Germany and Spain.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Equity securities traded in active markets are marked to market at each balance sheet date based on prices as quoted on the relevant stock exchange. Fair value mark-to-market adjustments are recorded as non-operating gains (losses) in the consolidated statement of operations. The Company’s investments in marketable equity securities are classified in the consolidated balance sheet based on the nature of the securities and their availability for use in current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 on Receivables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allowance for expected credit losses on receivables is used to present accounts receivable, net, at an amount that represents the Company’s estimate of the receivables expected to be collected from customers. The allowance represents an estimate of expected credit losses over the lifetime of the receivables, even if the loss is considered remote, and reflects expected recoveries of amounts previously written off. The Company estimates the allowance on the basis of specifically identified receivables that are evaluated individually for impairment and an analysis of the remaining receivables determined by reference to past default experience. The Company considers the need to adjust historical information to reflect the extent to which current conditions and reasonable forecasts are expected to differ from the conditions that existed for the historical period considered. Losses on receivables have not historically been significant.</w:t>
      </w:r>
    </w:p>
    <w:p>
      <w:pPr>
        <w:spacing w:after="0" w:line="18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judgments are used to determine when to charge off uncollectible trade accounts receivable. The Company bases these judgments on the age of the receivable, credit quality of the customer, current economic conditions, and other factors that may affect a customer’s ability and intent to pay. Customers are generally not required to provide collateral for purchases.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values inventories at the lower of cost (determined on a first-in, first-out method) or net realizable value. The Company regularly reviews inventory quantities on hand and writes down excess and obsolete inventories to estimated net realizable value if less than cost, based primarily on historical inventory usage and estimated forecast of product demand.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Property, plant and equipment are stated at cost and depreciated using the straight-line method over the estimated useful lives of the assets as follows:</w:t>
      </w:r>
    </w:p>
    <w:p>
      <w:pPr>
        <w:spacing w:after="0" w:line="255"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(years)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(years)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 (years)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 lease term or estimated useful life of the asset.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for the Company to control the use of the identified property, plant or equipment for a period of time in exchange for consideration. Leases with an initial term of 12 months or less are not recorded on the balance sheet. The Company recognizes these lease expenses on a straight-line basis over the lease term.</w:t>
      </w:r>
    </w:p>
    <w:p>
      <w:pPr>
        <w:spacing w:after="0" w:line="180"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6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the leases’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Company has lease agreements with lease and non-lease components, which are generally accounted for separately.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 The Company uses the flow-through method to account for investment tax credits. Under this method, the investment tax credits are recognized as a reduction of income tax expense.</w:t>
      </w:r>
    </w:p>
    <w:p>
      <w:pPr>
        <w:spacing w:after="0" w:line="18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 The Company’s policy is to account for Global Intangible Low-Taxed income as a period cost.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their local currency. All assets and liabilities of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accumulated other comprehensive income (loss) (“AOCI”) in the consolidated balance sheets. Gains and losses resulting from foreign currency transactions are included in other expense (income), net, in the Company’s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4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196"/>
        </w:trPr>
        <w:tc>
          <w:tcPr>
            <w:tcW w:w="40" w:type="dxa"/>
            <w:vAlign w:val="bottom"/>
          </w:tcPr>
          <w:p>
            <w:pPr>
              <w:spacing w:after="0"/>
              <w:rPr>
                <w:sz w:val="17"/>
                <w:szCs w:val="17"/>
                <w:color w:val="auto"/>
              </w:rPr>
            </w:pPr>
          </w:p>
        </w:tc>
        <w:tc>
          <w:tcPr>
            <w:tcW w:w="73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42,420</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41,413</w:t>
            </w:r>
          </w:p>
        </w:tc>
      </w:tr>
      <w:tr>
        <w:trPr>
          <w:trHeight w:val="216"/>
        </w:trPr>
        <w:tc>
          <w:tcPr>
            <w:tcW w:w="4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41,413</w:t>
            </w: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73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excluded from diluted loss per share due to their anti-dilutive effect</w:t>
            </w:r>
          </w:p>
        </w:tc>
        <w:tc>
          <w:tcPr>
            <w:tcW w:w="3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3,661</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Comprehensive income (loss) represents the change in equity resulting from items other than shareholder investments and distributions. The Company’s foreign currency translation adjustments, interest rate swap - cash flow hedge and minimum pension liability adjustments are included in AOCI. The components of other comprehensive income are reclassified as net income, net of tax, when the underlying component impacts earnings. Comprehensive income (loss) and the components of AOCI are presented in the accompanying consolidated statements of comprehensive loss and consolidated statements of equity.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Nature of contracts and customers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Company’s customers are primarily research scientists at pharmaceutical and biotechnology companies, universities, hospitals, government laboratories and contract research organizations. The Company also has global and regional distribution partners, and original equipment manufacturer customers who incorporate its products into their products under their own brands.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obligations under its revenue contracts consist of its instruments, equipment, accessories, services, software licenses and enhancements,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estimated relative standalone selling price, which does not materially differ from the stated price in the contract. In general, the Company’s list prices are indicative of standalone selling price, and the majority of the Company's contracts have a term of less than one year.</w:t>
      </w:r>
    </w:p>
    <w:p>
      <w:pPr>
        <w:spacing w:after="0" w:line="18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a right to payment and the customer has legal title to the asset and the customer or their selected carrier has possession, which is typically upon shipment. Sales of these items are therefore generally recognized at a point in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Company’s equipment revenue also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w:t>
      </w:r>
    </w:p>
    <w:p>
      <w:pPr>
        <w:spacing w:after="0" w:line="18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Service revenue consists of installation, training, data analysis and surgeries performed on research animals. Service revenue is recognized when the service is performed. Maintenance revenue consists of post-contract support provided in relation to software that is embedded within the equipment that is sold to the customer. The Company provides standard warranties that promise the customer that the product will work as promised and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maintenance and warranty contracts are recognized over time. The Company uses the input method to recognize revenue over time, which is generally on a straight-line basis over the service period.</w:t>
      </w:r>
    </w:p>
    <w:p>
      <w:pPr>
        <w:spacing w:after="0" w:line="18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18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Company’s payment terms are generally from zero to sixty days from the time of invoicing, which occurs at the time of shipment or prior to services being performed. Payment terms vary by the type of customers and the products or services offered.</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The Company records contract liabilities when cash is collected from customers prior to satisfaction of the Company’s performance obligation to the customer. Contract liabilities consist of amounts deferred related to service contracts and revenue deferred as a result of payments received in advance from customers. Contract liabilities are generally expected to be recognized within one year.</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amounts included in contract liabilities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for which they have made a prepayment.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Refer to Note 13 for revenue disaggregated by type and by geographic location as well as further information about the deferred revenue balances.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Software development costs for software products to be sold, leased or otherwise marketed that are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Intangible assets are comprised of existing technology, customer contracts and contractual relationships, and other definite-lived intangible assets. Identifiable intangible assets resulting from the acquisitions of entities accounted for using the purchase method of accounting are estimated by the Company based on the fair value of assets received. Identifiable definite-lived intangible assets are being amortized over the period of estimated benefit using the straight-line method and estimated useful lives ranging from four to fifteen years.</w:t>
      </w:r>
    </w:p>
    <w:p>
      <w:pPr>
        <w:spacing w:after="0" w:line="3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Goodwill acquired in a business combination and determined to have an indefinite useful life is not amortized, but instead is tested for impairment annually or more frequently if events or changes in circumstances indicate that the asset might be impaired.</w:t>
      </w:r>
    </w:p>
    <w:p>
      <w:pPr>
        <w:spacing w:after="0" w:line="162"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For the purpose of its goodwill analysis, the Company has one reporting unit. The Company conducts its annual impairment analysis in the fourth quarter of the fiscal year and more frequently if there is an indicator of impairment. The Company assesses qualitative factors of the reporting unit to determine whether it is more likely than not that the fair value of the reporting unit is less than its carrying value. If the qualitative assessment indicates a potential impairment, a quantitative analysis is performed. The Company compares the fair value of the reporting unit with its carrying amount. The Company typically estimates fair value using the income approach but will also consider market approaches when appropriate. Under the income approach, the Company uses a discounted cash flows model, which indicates the fair value of the reporting unit based on the present value of the cash flows that the Company expects the reporting unit to generate in the future. The Company's significant estimates in the discounted cash flows model include weighted average cost of capital, long-term rate of growth and profitability of the reporting unit, expected income tax rates and working capital effects. If the carrying amount of a reporting unit exceeds its fair value, goodwill is impaired, and the Company would recognize a loss equal to the excess.</w:t>
      </w:r>
    </w:p>
    <w:p>
      <w:pPr>
        <w:spacing w:after="0" w:line="18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evaluated its goodwill for impairment as of October 1, 2023 by performing a qualitative analysis and determined that it was more likely than not that the fair value of the reporting unit exceeded the carrying value.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assesses recoverability of its long-lived assets that are held for use, such as property, plant and equipment and amortizable intangible assets when events or changes in circumstances indicate that the carrying amount of an asset or asset group may not be recoverable. Factors which could trigger an impairment review include significant negative industry or economic trends, significant loss of clients, and significant changes in the manner of the Company’s use of the assets or the strategy for its overall business.</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The Company’s estimate of future cash flows requires significant judgment based on historical and anticipated results and are subject to many factors.</w:t>
      </w:r>
    </w:p>
    <w:p>
      <w:pPr>
        <w:spacing w:after="0" w:line="18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When the Company determines that the carrying value of the assets may not be recoverable based upon the existence of one or more of the above indicators of impairment, the Company measures the potential impairment based on a projected discounted cash flow method using a discount rate determined by management to be commensurate with the risk inherent in its current business model. An impairment loss is recognized only if the carrying amount of the asset is not recoverable and exceeds its fair value. Different assumptions and judgments could materially affect the calculation of the fair value of our assets. For the years ended December 31, 2023 and 2022, the Company concluded that there were no triggering events requiring the Company to assess the recoverability of its long-lived assets.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uses interest-rate-related derivative instruments to manage its exposure related to changes in interest rates on its variable-rate debt instruments. The Company only enters into derivative contracts that it intends to designate as a hedge of a forecasted transaction or the variability of cash flows to be received or paid related to a recognized asset or liability (cash flow hedge) and does not use derivative financial instruments for trading or speculative purposes. The Company recognizes all derivative instruments as either assets or liabilities in the balance sheet at their respective fair values.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For derivative instruments that are designated and qualify as part of a cash flow hedging relationship, the effective portion of the gain or loss on the derivative is reported as a component of other comprehensive income (loss) (“OCI”)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By using derivative financial instruments to hedge exposure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major financial institutions based upon their credit profile. 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 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reporting standards define a fair value hierarchy that consists of three levels:</w:t>
      </w:r>
    </w:p>
    <w:p>
      <w:pPr>
        <w:spacing w:after="0" w:line="225" w:lineRule="exact"/>
        <w:rPr>
          <w:sz w:val="20"/>
          <w:szCs w:val="20"/>
          <w:color w:val="auto"/>
        </w:rPr>
      </w:pPr>
    </w:p>
    <w:p>
      <w:pPr>
        <w:ind w:left="980" w:right="46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includes instruments for which quoted prices in active markets for identical assets or liabilities accessible to the Company at the measurement date.</w:t>
      </w:r>
    </w:p>
    <w:p>
      <w:pPr>
        <w:spacing w:after="0" w:line="161" w:lineRule="exact"/>
        <w:rPr>
          <w:rFonts w:ascii="Times New Roman" w:cs="Times New Roman" w:eastAsia="Times New Roman" w:hAnsi="Times New Roman"/>
          <w:sz w:val="18"/>
          <w:szCs w:val="18"/>
          <w:color w:val="auto"/>
        </w:rPr>
      </w:pPr>
    </w:p>
    <w:p>
      <w:pPr>
        <w:ind w:left="980" w:right="100" w:hanging="486"/>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valuations based on inputs that are unobservable and significant to the overall fair value measurement.</w:t>
      </w:r>
    </w:p>
    <w:p>
      <w:pPr>
        <w:spacing w:after="0" w:line="25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trade accounts receivable,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 (Level 2).</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expense for all stock-based payment awards made to employees and directors including stock options, restricted stock units, and restricted stock units with a market condition. The Company issues awards under the 2021 Incentive Plan (the “2021 Incentive Plan”) and the Fourth Amended and Restated 2000 Stock Option and Incentive Plan (the “2000 Incentive Plan” and together with the 2021 Incentive Plan, the “Incentive Plans”), as well as issues shares for employee stock purchases related to its Employee Stock Purchase Plan (as amended, the “ESPP”). The Company issues new shares from its registered but unissued stock pool to satisfy stock option exercises and vesting of the restricted stock units. Stock-based compensation expense is recorded on a straight-line basis over the applicable service period, which ranges from one to four years. The Company has elected as an accounting policy to account for forfeitures for service-based awards as they occur, with no adjustment for estimated forfeitures.</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fair value of restricted stock units is based on the market price of the Company’s stock on the date of grant. The Company values restricted stock units with a market condition using a Monte-Carlo valuation simulation. The determination of fair value of stock-based payment awards on the date of grant using a Monte-Carlo valuation simulation is affected by the Company’s stock price as well as assumptions regarding certain variables including, but are not limited to, the Company’s expected stock price volatility over the term of the awards, interest rate assumptions, and discounts to adjust for any holding period post-vest restrictions.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from stockholders. As of December 31, 2023 and 2022, the Company had no preferred stock issued or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Company operates in one segment which involves the design, development, production and distribution of products and services that enable fundamental advances in life science applications, including research, pharmaceutical and therapy discovery, bioproduction and preclinical testing for pharmaceutical and therapy development. The Company has a single, company-wide management team that administers all properties as a whole rather than as discrete operating segments. The chief operating decision maker, who is the Company's chief executive officer, measures financial performance as a single enterprise and allocates resources across the Company to maximize profitability, and not on geography, legal entity, or end market basis. The Company operates in a number of countries throughout the world in a variety of product lines. Information regarding product lines and geographic financial information is provided in Note 13, “Revenues” and Note 5, "Balance Sheet Information."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If a loss is probable and the loss or range of loss cannot be reasonably estimated, the Company discloses or states that such an estimate cannot be made. Refer to Note 15 Commitments and Contingencies for additional information. The Company accrues and expenses legal costs associated with contingencies when incurred.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Pronouncements Adopted in 2023</w:t>
      </w:r>
    </w:p>
    <w:p>
      <w:pPr>
        <w:spacing w:after="0" w:line="225"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ASU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w:t>
      </w:r>
      <w:r>
        <w:rPr>
          <w:rFonts w:ascii="Times New Roman" w:cs="Times New Roman" w:eastAsia="Times New Roman" w:hAnsi="Times New Roman"/>
          <w:sz w:val="18"/>
          <w:szCs w:val="18"/>
          <w:color w:val="auto"/>
        </w:rPr>
        <w:t>: Simplifying the Test for Goodwill Impairment (ASU 2017-04), which eliminates the performance of Step 2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The Company adopted ASU 2017-04 effective January 1, 2023, with no impact to the consolidated financial statements.</w:t>
      </w:r>
    </w:p>
    <w:p>
      <w:pPr>
        <w:spacing w:after="0" w:line="182"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Measurement of Credit Losses on Financial Instruments (ASU 2016-13),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The Company adopted ASU 2016-13 effective January 1, 2023, which resulted in an immaterial impact to the consolidated financial statements.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Pronouncements yet to be Adopted</w:t>
      </w:r>
    </w:p>
    <w:p>
      <w:pPr>
        <w:spacing w:after="0" w:line="22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which enhances disclosures related to the effective tax rate reconciliation, income taxes paid, as well as other disclosures. The new standard impacts footnote disclosures and is effective for the Company’s annual financial statements for the year ended December 31, 2025. The Company is currently evaluating the potential impact of adopting ASU 2023-09 will have on the disclosures in its consolidated financial statements.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Prior Period Financial Statement Reclassifications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identified immaterial misclassification errors in the financial statement footnote describing the components of AOCI as of December 31, 2022 and 2021. These misclassifications overstated the amount attributed to the defined benefit pension plans, net of tax, by $5.4 million and $5.1 million and understated the amount attributed to foreign currency translation adjustments by $(5.4) million and $(5.1) million as of December 31, 2022 and 2021, respectively. These misclassifications had no impact on total OCI for the year ended December 31, 2022, included in the consolidated statements of comprehensive loss, or the total AOCI included in the consolidated balance sheets as of December 31, 2022, and also had no impact on any of the Company’s previously reported consolidated statements of operations, stockholders’ equity, or cash flows. The correction of these offsetting misclassifications is included in these consolidated financial statements. See Note 3 below for further details.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loss, net of tax, for the years ended December 31, 2023 and 2022, respectively,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 Hedges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40" w:hanging="132"/>
        <w:spacing w:after="0"/>
        <w:tabs>
          <w:tab w:leader="none" w:pos="1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Prior Period Financial Statement Reclassifications</w:t>
      </w:r>
    </w:p>
    <w:p>
      <w:pPr>
        <w:spacing w:after="0" w:line="200" w:lineRule="exact"/>
        <w:rPr>
          <w:sz w:val="20"/>
          <w:szCs w:val="20"/>
          <w:color w:val="auto"/>
        </w:rPr>
      </w:pPr>
    </w:p>
    <w:p>
      <w:pPr>
        <w:spacing w:after="0" w:line="266"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56,260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56,260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Intangible assets at December 31, 2023 and 2022 consist of the following:</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Life*</w:t>
            </w: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91"/>
        </w:trPr>
        <w:tc>
          <w:tcPr>
            <w:tcW w:w="34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Distribution agreements/customer</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relationships</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16,038</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16,124</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Existing technology &amp; software development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11,067</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58,658</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15,829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61,196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20,790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Weighted average life in years as of December 31, 2023</w:t>
      </w:r>
    </w:p>
    <w:p>
      <w:pPr>
        <w:spacing w:after="0" w:line="22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wrote off approximately $3.7 million of fully amortized intangible assets of certain existing technology and other intangibles related to discontinued product lines. The Company capitalized $0.5 million of software development costs during the year ended December 31, 2023.</w:t>
      </w:r>
    </w:p>
    <w:p>
      <w:pPr>
        <w:spacing w:after="0" w:line="176"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Intangible asset amortization expense was $5.5 million and $6.1 million for the years ended December 31, 2023 and 2022, respectively. Estimated amortization expense of existing amortizable intangible assets for each of the five succeeding years and thereafter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9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4,027</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1,340</w:t>
            </w: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15,829</w:t>
            </w:r>
          </w:p>
        </w:tc>
      </w:tr>
      <w:tr>
        <w:trPr>
          <w:trHeight w:val="413"/>
        </w:trPr>
        <w:tc>
          <w:tcPr>
            <w:tcW w:w="3240" w:type="dxa"/>
            <w:vAlign w:val="bottom"/>
          </w:tcPr>
          <w:p>
            <w:pPr>
              <w:spacing w:after="0"/>
              <w:rPr>
                <w:sz w:val="24"/>
                <w:szCs w:val="24"/>
                <w:color w:val="auto"/>
              </w:rPr>
            </w:pPr>
          </w:p>
        </w:tc>
        <w:tc>
          <w:tcPr>
            <w:tcW w:w="6960" w:type="dxa"/>
            <w:vAlign w:val="bottom"/>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F- 15</w:t>
            </w:r>
          </w:p>
        </w:tc>
        <w:tc>
          <w:tcPr>
            <w:tcW w:w="1040" w:type="dxa"/>
            <w:vAlign w:val="bottom"/>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6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23"/>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3,776</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17,440</w:t>
            </w:r>
          </w:p>
        </w:tc>
      </w:tr>
      <w:tr>
        <w:trPr>
          <w:trHeight w:val="20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24,716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26,439</w:t>
            </w:r>
          </w:p>
        </w:tc>
      </w:tr>
      <w:tr>
        <w:trPr>
          <w:trHeight w:val="20"/>
        </w:trPr>
        <w:tc>
          <w:tcPr>
            <w:tcW w:w="12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8,154</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6,781</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18,212</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3,981</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3,366</w:t>
            </w:r>
          </w:p>
        </w:tc>
      </w:tr>
      <w:tr>
        <w:trPr>
          <w:trHeight w:val="20"/>
        </w:trPr>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Depreciation expense was $1.5 million for each of the years ended December 31, 2023 and 2022. During the year ended December 31, 2023, the Company wrote off approximately $2.0 million of fully depreciated property and equipment from its fixed asset records.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3,929</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by Geographic Area:</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Long-lived assets by geographic area, which include operating lease right-of-use assets, property, plant and equipment, and amortizable intangible assets,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21,558</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26,051</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2,432</w:t>
            </w:r>
          </w:p>
        </w:tc>
      </w:tr>
      <w:tr>
        <w:trPr>
          <w:trHeight w:val="216"/>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4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w:t>
            </w: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44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24,583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29,972</w:t>
            </w:r>
          </w:p>
        </w:tc>
      </w:tr>
      <w:tr>
        <w:trPr>
          <w:trHeight w:val="20"/>
        </w:trPr>
        <w:tc>
          <w:tcPr>
            <w:tcW w:w="3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3"/>
        </w:trPr>
        <w:tc>
          <w:tcPr>
            <w:tcW w:w="3520" w:type="dxa"/>
            <w:vAlign w:val="bottom"/>
          </w:tcPr>
          <w:p>
            <w:pPr>
              <w:spacing w:after="0"/>
              <w:rPr>
                <w:sz w:val="24"/>
                <w:szCs w:val="24"/>
                <w:color w:val="auto"/>
              </w:rPr>
            </w:pPr>
          </w:p>
        </w:tc>
        <w:tc>
          <w:tcPr>
            <w:tcW w:w="480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color w:val="auto"/>
              </w:rPr>
              <w:t>F- 16</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52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Exit Costs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activities from time to time to transform its business. A portion of these transformation activities are considered restructuring costs under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and are discussed below.</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reviewed its product portfolio and identified certain non-strategic products for discontinuation and incurred severance expenses in connection with headcount reductions in Europe and North America. The following table summarizes the restructuring activity for the years ended December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Substantially all of the severance and other costs detailed above have been included as a component of general and administrative expenses, and all inventory-related charges are included in cost of revenues.</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Employee Retirement Savings Plans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sponsors various qualified employee retirement savings plans and makes discretionary contributions to match a certain portion of employee contributions. The Company contributed $1.1 million to these plans for each of the years ended December 31, 2023 and 2022.</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Employee Pension Plans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Company’s subsidiary in the United Kingdom, Biochrom Ltd., maintains two defined benefit pension plans for its employees. In 2014, these defined benefit pension plans were closed to new employees, as well as closed to the future accrual of benefits for existing employees. The Company recognizes the funded status of the pension plans as an asset or liability in the consolidated balance sheets. The funded status equals the difference between the fair value of the plan’s assets and their benefit obligations and has historically measured each year as of December 31. The Company records net period benefit expense (credit) as a component of other expense in the Consolidated Statement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Company’s net period benefit expense (credit)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2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loss</w:t>
            </w:r>
          </w:p>
        </w:tc>
        <w:tc>
          <w:tcPr>
            <w:tcW w:w="39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expense (credit)</w:t>
            </w:r>
          </w:p>
        </w:tc>
        <w:tc>
          <w:tcPr>
            <w:tcW w:w="39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40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428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color w:val="auto"/>
              </w:rPr>
              <w:t>F- 17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plans’ fair value of assets and benefit obligations for the years ended December 31, 2023 and 2022, and a summary of the funded status as of December 31,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plan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Employer contributions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Benefits paid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0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27,252</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16,940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15,576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-993775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benefit obligation: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cost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Actuarial loss (gain)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Benefits paid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Currency translation adjustment</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0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13,263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22,562</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13,263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-993775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14,663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13,263</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funded status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2,313</w:t>
            </w: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Changes in the actuarial loss (gain) disclosed above are primarily the result of changes in the discount rate and inflation assumptions due to underlying market conditions.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amounts recognized in the consolidated balance sheets consist of:</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2,313</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r>
      <w:tr>
        <w:trPr>
          <w:trHeight w:val="414"/>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weighted average assumptions used in determining the net pension cost for these plans follows: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7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discount rate assumptions used for pension accounting reflect the prevailing rates available on high-quality, fixed-income debt instruments with terms that match the average expected duration of the Company’s defined benefit pension plan obligations.</w:t>
      </w:r>
    </w:p>
    <w:p>
      <w:pPr>
        <w:spacing w:after="0" w:line="16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Company’s mix of pension plan investments among asset classes also affects the long-term expected rate of return on plan assets. As of December 31, 2023, the Company’s actual asset mix approximated its target mix. Differences between actual and expected returns are recognized in the calculation of net periodic pension cost over the average remaining expected future working lifetime, which is approximately 7 years for active plan participants.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80"/>
        </w:trPr>
        <w:tc>
          <w:tcPr>
            <w:tcW w:w="10420" w:type="dxa"/>
            <w:vAlign w:val="bottom"/>
            <w:gridSpan w:val="12"/>
          </w:tcPr>
          <w:p>
            <w:pPr>
              <w:ind w:left="460"/>
              <w:spacing w:after="0"/>
              <w:rPr>
                <w:sz w:val="20"/>
                <w:szCs w:val="20"/>
                <w:color w:val="auto"/>
              </w:rPr>
            </w:pPr>
            <w:r>
              <w:rPr>
                <w:rFonts w:ascii="Times New Roman" w:cs="Times New Roman" w:eastAsia="Times New Roman" w:hAnsi="Times New Roman"/>
                <w:sz w:val="18"/>
                <w:szCs w:val="18"/>
                <w:color w:val="auto"/>
              </w:rPr>
              <w:t>The asset allocations and fair value of the Company’s pension benefits as of December 31, 2023 and 2022, were as follows:</w:t>
            </w:r>
          </w:p>
        </w:tc>
        <w:tc>
          <w:tcPr>
            <w:tcW w:w="820" w:type="dxa"/>
            <w:vAlign w:val="bottom"/>
          </w:tcPr>
          <w:p>
            <w:pPr>
              <w:spacing w:after="0"/>
              <w:rPr>
                <w:sz w:val="24"/>
                <w:szCs w:val="24"/>
                <w:color w:val="auto"/>
              </w:rPr>
            </w:pPr>
          </w:p>
        </w:tc>
      </w:tr>
      <w:tr>
        <w:trPr>
          <w:trHeight w:val="43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24"/>
                <w:szCs w:val="24"/>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(Level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Other Unobservable Inputs (Level 3)</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Level 1 assets consist of cash and cash equivalents held in the pension plans.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7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expects to contribute approximately $0.6 million to its pension plans during 2024. The benefits expected to be paid from the pension plans are $0.9 million in 2024, $0.7 million in 2025, $0.8 million in 2026, $1.0 million in 2027 and $0.8 million in 2028. The expected benefits to be paid in the five years from 2029 to 2033 are $5.0 million. The expected benefits are based on the same assumptions used to measure the Company’s benefit obligations at December 31, 2023.</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noncancelable operating leases for office space, manufacturing facilities, warehouse space, automobiles and equipment expiring at various dates through 2030.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2023 and 2022, are as follows: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ind w:left="46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5,816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94"/>
        </w:trPr>
        <w:tc>
          <w:tcPr>
            <w:tcW w:w="3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2,135</w:t>
            </w:r>
          </w:p>
        </w:tc>
      </w:tr>
      <w:tr>
        <w:trPr>
          <w:trHeight w:val="234"/>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5,282</w:t>
            </w:r>
          </w:p>
        </w:tc>
      </w:tr>
      <w:tr>
        <w:trPr>
          <w:trHeight w:val="210"/>
        </w:trPr>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6,210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7,417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94"/>
        </w:trPr>
        <w:tc>
          <w:tcPr>
            <w:tcW w:w="3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ectPr>
          <w:pgSz w:w="11900" w:h="16838" w:orient="portrait"/>
          <w:cols w:equalWidth="0" w:num="2">
            <w:col w:w="7560" w:space="360"/>
            <w:col w:w="3320"/>
          </w:cols>
          <w:pgMar w:left="320" w:top="108" w:right="339" w:bottom="1440" w:gutter="0" w:footer="0" w:header="0"/>
          <w:type w:val="continuous"/>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2,347</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December 31, 2023,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7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1,926</w:t>
            </w: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7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4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6,210</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37"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As of December 31, 2023 and 2022, the Company’s borrowings were comprised of the following:</w:t>
      </w:r>
    </w:p>
    <w:p>
      <w:pPr>
        <w:spacing w:after="0" w:line="200" w:lineRule="exact"/>
        <w:rPr>
          <w:sz w:val="20"/>
          <w:szCs w:val="20"/>
          <w:color w:val="auto"/>
        </w:rPr>
      </w:pPr>
    </w:p>
    <w:p>
      <w:pPr>
        <w:spacing w:after="0" w:line="266" w:lineRule="exact"/>
        <w:rPr>
          <w:sz w:val="20"/>
          <w:szCs w:val="20"/>
          <w:color w:val="auto"/>
        </w:rPr>
      </w:pPr>
    </w:p>
    <w:p>
      <w:pPr>
        <w:jc w:val="center"/>
        <w:ind w:right="64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center"/>
        <w:ind w:right="6320"/>
        <w:spacing w:after="0"/>
        <w:rPr>
          <w:sz w:val="20"/>
          <w:szCs w:val="20"/>
          <w:color w:val="auto"/>
        </w:rPr>
      </w:pPr>
      <w:r>
        <w:rPr>
          <w:rFonts w:ascii="Times New Roman" w:cs="Times New Roman" w:eastAsia="Times New Roman" w:hAnsi="Times New Roman"/>
          <w:sz w:val="18"/>
          <w:szCs w:val="18"/>
          <w:color w:val="auto"/>
        </w:rPr>
        <w:t>Long-term debt:</w:t>
      </w:r>
    </w:p>
    <w:p>
      <w:pPr>
        <w:spacing w:after="0" w:line="9" w:lineRule="exact"/>
        <w:rPr>
          <w:sz w:val="20"/>
          <w:szCs w:val="20"/>
          <w:color w:val="auto"/>
        </w:rPr>
      </w:pPr>
    </w:p>
    <w:p>
      <w:pPr>
        <w:jc w:val="center"/>
        <w:ind w:right="6440"/>
        <w:spacing w:after="0"/>
        <w:rPr>
          <w:sz w:val="20"/>
          <w:szCs w:val="20"/>
          <w:color w:val="auto"/>
        </w:rPr>
      </w:pPr>
      <w:r>
        <w:rPr>
          <w:rFonts w:ascii="Times New Roman" w:cs="Times New Roman" w:eastAsia="Times New Roman" w:hAnsi="Times New Roman"/>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Revolving line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Current unamortized deferred financing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aggregate amounts of debt maturities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34,814</w:t>
            </w:r>
          </w:p>
        </w:tc>
      </w:tr>
      <w:tr>
        <w:trPr>
          <w:trHeight w:val="216"/>
        </w:trPr>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12,850</w:t>
            </w:r>
          </w:p>
        </w:tc>
      </w:tr>
      <w:tr>
        <w:trPr>
          <w:trHeight w:val="234"/>
        </w:trPr>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191"/>
        </w:trPr>
        <w:tc>
          <w:tcPr>
            <w:tcW w:w="540" w:type="dxa"/>
            <w:vAlign w:val="bottom"/>
          </w:tcPr>
          <w:p>
            <w:pPr>
              <w:spacing w:after="0"/>
              <w:rPr>
                <w:sz w:val="16"/>
                <w:szCs w:val="16"/>
                <w:color w:val="auto"/>
              </w:rPr>
            </w:pP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36,563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46,824</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34"/>
        </w:trPr>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30,704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43,013</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680"/>
        <w:spacing w:after="0"/>
        <w:tabs>
          <w:tab w:leader="none" w:pos="2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6,139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5715</wp:posOffset>
            </wp:positionV>
            <wp:extent cx="9861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680"/>
        <w:spacing w:after="0"/>
        <w:tabs>
          <w:tab w:leader="none" w:pos="2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37,123</w:t>
      </w:r>
    </w:p>
    <w:p>
      <w:pPr>
        <w:spacing w:after="0" w:line="200" w:lineRule="exact"/>
        <w:rPr>
          <w:sz w:val="20"/>
          <w:szCs w:val="20"/>
          <w:color w:val="auto"/>
        </w:rPr>
      </w:pPr>
    </w:p>
    <w:p>
      <w:pPr>
        <w:sectPr>
          <w:pgSz w:w="11900" w:h="16838" w:orient="portrait"/>
          <w:cols w:equalWidth="0" w:num="2">
            <w:col w:w="7500" w:space="500"/>
            <w:col w:w="3240"/>
          </w:cols>
          <w:pgMar w:left="320" w:top="108" w:right="339" w:bottom="1440" w:gutter="0" w:footer="0" w:header="0"/>
          <w:type w:val="continuous"/>
        </w:sectPr>
      </w:pPr>
    </w:p>
    <w:p>
      <w:pPr>
        <w:spacing w:after="0" w:line="61"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On December 22, 2020, the Company entered into a Credit Agreement (the “Credit Agreement”) with Citizens Bank, N.A., Wells Fargo Bank, National Association, and Silicon Valley Bank, (together, the “Lenders”). Effective March 27, 2023, all commitments and obligations under the Credit Agreement previously held by Silicon Valley Bank were assumed by First Citizens Bank &amp; Trust Company. The Credit Agreement provides for a term loan of $40.0 million and a $25.0 million senior revolving credit facility (including a $10.0 million sub-facility for the issuance of letters of credit and a $10.0 million swingline loan sub-facility)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$10.8 million as of December 31, 2023, based on the Credit Agreement, as amended pursuant to the April 2022 Amendment and November 2022 Amendment as described below. Total revolver borrowing capacity is limited by the consolidated net leverage ratio as defined under the amended Credit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Borrowings under the amended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as amended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SOFR Loans, and from 1.5% per annum to 3.0% per annum for ABR Loans, in each case depending on the Company’s consolidated leverage ratio and is determined in accordance with a pricing grid set forth in the Credit Agreement. Interest on SOFR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SOFR Loan breakage and redeployment costs in certain circumstances.</w:t>
      </w:r>
    </w:p>
    <w:p>
      <w:pPr>
        <w:spacing w:after="0" w:line="194"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effective interest rate on the Company’s borrowings for the years ended December 31, 2023 and 2022, was 8.1% and 5.0%, respectively. The weighted average interest rate as of December 31, 2023, inclusive of the effect of the Company’s interest rate swaps, was 7.4%. The carrying value of the debt approximates fair value because the interest rate under the obligation approximates market rates of interest available to the Company for similar instruments.</w:t>
      </w:r>
    </w:p>
    <w:p>
      <w:pPr>
        <w:spacing w:after="0" w:line="180"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As of December 31, 2023, the term loan amortizes in quarterly installments of $1.0 million with a balloon payment at maturity. Furthermore, within ninety days after the end of the Company’s fiscal year, the term loans may be permanently reduced pursuant to certain mandatory prepayment events including an annual “excess cash flow sweep”, as defined in the agreement; provided that, in any fiscal year, any voluntary prepayments of the term loans shall be credited against the Company’s “excess cash flow” prepayment obligations on a dollar-for-dollar basis for such fiscal year. As of December 31, 2023, the current portion of long-term debt includes an excess cash flow sweep of $2.1 million to be paid by March 31, 2024. As of December 31, 2022, the current portion of long-term debt included an excess cash flow sweep of $1.1 million which was paid on March 31, 2023. Amounts outstanding under the revolving credit facility can be repaid at any time but are due in full at maturity.</w:t>
      </w:r>
    </w:p>
    <w:p>
      <w:pPr>
        <w:spacing w:after="0" w:line="18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Credit Agreement, as amended,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as amended, also includes customary events of default.</w:t>
      </w:r>
    </w:p>
    <w:p>
      <w:pPr>
        <w:spacing w:after="0" w:line="18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April 2022, the Company entered into an amendment to the Credit Agreement (the “April 2022 Amendment”) which modified, among other things, the financial covenant relating to the consolidated net leverage ratio, and provided consent for the HRGN Settlement (as defined in Note 16). In November 2022, the Company entered into a subsequent amendment to the Credit Agreement which modified, among other things, the financial covenant relating to the consolidated net leverage ratio, and the definition of Consolidated EBITDA used in the calculation of certain financial covenants (the “November 2022 Amendment”). The Company was in compliance with the covenants of the Credit Agreement, as amended, as of December 31, 2023.</w:t>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On February 28, 2023, the Company entered into an interest rate swap contract to improve the predictability of cash flows from interest payments related to its variable, SOFR-based debt. The swap contract has a notional amount of $27.4 million as of December 31, 2023,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9, Long-Term Debt. The swap contract is considered an effective cash flow hedge, and as a result, net gains or losses are reported as a component of OCI in the consolidated financial statements and are reclassified as net income when the underlying hedged interest impacts earnings. An assessment is performed quarterly to evaluate the ongoing hedge effectiveness.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100" w:type="dxa"/>
            <w:vAlign w:val="bottom"/>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 (a)</w:t>
            </w: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27,375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198" w:lineRule="exact"/>
        <w:rPr>
          <w:sz w:val="20"/>
          <w:szCs w:val="20"/>
          <w:color w:val="auto"/>
        </w:rPr>
      </w:pPr>
    </w:p>
    <w:p>
      <w:pPr>
        <w:ind w:left="5440" w:right="4780" w:hanging="4982"/>
        <w:spacing w:after="0" w:line="578" w:lineRule="auto"/>
        <w:tabs>
          <w:tab w:leader="none" w:pos="71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11 for the fair value measurements related to this financial instrument. 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derivatives designated as cash flow hedging instruments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Qualifying as Hedges, net of tax </w:t>
            </w: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loss recognized in OCI on derivatives (effective portion)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4"/>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to interest expense</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65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40" w:type="dxa"/>
            <w:vAlign w:val="bottom"/>
            <w:gridSpan w:val="13"/>
          </w:tcPr>
          <w:p>
            <w:pPr>
              <w:ind w:left="46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or liabilities measured at fair value on a recurring basis: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Assets (Liabilities) </w:t>
            </w:r>
            <w:r>
              <w:rPr>
                <w:rFonts w:ascii="Times New Roman" w:cs="Times New Roman" w:eastAsia="Times New Roman" w:hAnsi="Times New Roman"/>
                <w:sz w:val="18"/>
                <w:szCs w:val="18"/>
                <w:color w:val="auto"/>
              </w:rPr>
              <w:t>(in thousands)</w:t>
            </w:r>
          </w:p>
        </w:tc>
        <w:tc>
          <w:tcPr>
            <w:tcW w:w="120" w:type="dxa"/>
            <w:vAlign w:val="bottom"/>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2023</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assets and liabilities. The Company’s financial assets and liabilities carried at fair value include, when applicable, investments in common stock and derivative instruments used to hedge the Company’s interest rate risks. The fair value of the Company’s investment in common stock of Harvard Apparatus Regenerative Technologies (“HRGN” formerly known as Biostage, Inc.) (see Note 16 for information regarding the HRGN Settlement) was based on the closing price as quoted on the OTCQB Marketplace at the reporting date. The fair value of the Company’s interest rate swap agreements was based on SOFR-yield curves at the reporting date.</w:t>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Stock-based compensation expense for the years ended December 31, 2023 and 2022, is allocated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stock-based compensation expenses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121</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3,487</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compensation costs related to unvested awards not yet recognized is $4.7 million and the weighted average period over which it is expected to be recognized is approximately 1.6 years. During the years ended December 31, 2023 and 2022, the Company did not capitalize any stock-based compensation.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2021, the Company’s board of directors and stockholders adopted the 2021 Incentive Plan which authorized additional shares available for grants to officers, employees, non-employee directors and other key persons of the Company and its subsidiaries. As of December 31, 2023, there were approximately 3.1 million shares available for issuance under the 2021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with a Market Condition</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grants deferred awards of market condition restricted stock units (the “Market Condition RSUs”) to certain members of the Company’s management team. The vesting of the Market Condition RSUs is linked to the achievement of a relative total shareholder return (“TSR”) of the Company’s common stock measured from the earlier of (i) the measurement period as set out in the award agreement or (ii) upon a change of control (measured relative to the Nasdaq Biotechnology or Russell 2000 index and based on a 20-day trading average price) and is subject to a one-year holding period after vesting.</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Market Condition RSUs with a measurement period that concluded during the years ended December 31, 2023, the TSR of the Company’s common stock relative to the applicable index resulted in achieving 100% of the target. Market Condition RSUs outstanding as of December 31, 2023 remain subject to a TSR measurement which can result in vesting rates ranging from 0% to 150% of the target number.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the valuation of the Market Condition RSUs granted during the years ended December 31, 2023 and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Liquidity discount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used historical volatility to calculate the expected volatility matching the expected holding period. The risk-free interest rate assumption is based upon observed U.S. Treasury bill interest rates (risk-free) appropriate for the term of the award. Additionally, the Company assumes a liquidity discount to adjust the fair value for the one-year holding period post-vest restrictions.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Awards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RSU and Market Condition RSU activity for the years ended December 31,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Condition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1,141,164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860,155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918,870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320,272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1,093,801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646,235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1,350,125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558,958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1,164,996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801,845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1,404,816</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1,238,776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Exerciseable at December 31, 2023</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924,067</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Company’s closing stock price of $5.35 as of December 31, 2023, which would have been received by the option holders had all option holders exercised their options as of that date. The aggregate intrinsic value of options exercised was $0.6 million and $0.1 million for the years ended December 31, 2023 and 2022,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has an employee stock purchase plan under which eligible employees may purchase a limited number of shares of common stock at a discount of up to 15% of the market value of such stock at pre-determined and plan-defined dates. There were 0.1 million and 0.2 million shares issued under the ESPP during the years ended December 31, 2023 and 2022, respectively. As of December 31, 2023, there were 0.3 million shares available for issuance under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105,716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5,170</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112,250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113,335</w:t>
            </w:r>
          </w:p>
        </w:tc>
      </w:tr>
      <w:tr>
        <w:trPr>
          <w:trHeight w:val="413"/>
        </w:trPr>
        <w:tc>
          <w:tcPr>
            <w:tcW w:w="800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Revenues by timing of recognition are as follows:</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108,558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113,335</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60"/>
        <w:spacing w:after="0"/>
        <w:rPr>
          <w:sz w:val="20"/>
          <w:szCs w:val="20"/>
          <w:color w:val="auto"/>
        </w:rPr>
      </w:pPr>
      <w:r>
        <w:rPr>
          <w:rFonts w:ascii="Times New Roman" w:cs="Times New Roman" w:eastAsia="Times New Roman" w:hAnsi="Times New Roman"/>
          <w:sz w:val="18"/>
          <w:szCs w:val="18"/>
          <w:color w:val="auto"/>
        </w:rPr>
        <w:t>Revenues by geographic destination are as follows: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Greater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details of contract liabilities as of the periods indicated:</w:t>
      </w:r>
    </w:p>
    <w:p>
      <w:pPr>
        <w:spacing w:after="0" w:line="22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48,205</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49,912</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30,687</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16,393</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12,756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16,343</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112,250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113,335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contracts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1,319</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Changes in the Company’s contract liabilities are primarily due to the timing of receipt of payments under service and warranty contracts. During the years ended December 31, 2023 and 2022, the Company recognized revenue of $2.1 million and $2.5 million from contract liabilities existing at December 31, 2022 and 2021, respectively.</w:t>
      </w:r>
    </w:p>
    <w:p>
      <w:pPr>
        <w:sectPr>
          <w:pgSz w:w="11900" w:h="16838" w:orient="portrait"/>
          <w:cols w:equalWidth="0" w:num="1">
            <w:col w:w="11240"/>
          </w:cols>
          <w:pgMar w:left="320" w:top="121" w:right="339" w:bottom="1440" w:gutter="0" w:footer="0" w:header="0"/>
          <w:type w:val="continuous"/>
        </w:sectPr>
      </w:pP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Expected Credit Losses on Receivables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Activity in the provision for expected losses on receivables is as follows: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Charge-offs and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the revenues for the years ended December 31, 2023 and 2022, or for more than 10% of net accounts receivable at December 31, 2023 and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Warranties</w:t>
      </w:r>
    </w:p>
    <w:p>
      <w:pPr>
        <w:sectPr>
          <w:pgSz w:w="11900" w:h="16838" w:orient="portrait"/>
          <w:cols w:equalWidth="0" w:num="1">
            <w:col w:w="11240"/>
          </w:cols>
          <w:pgMar w:left="320" w:top="121" w:right="339" w:bottom="1440" w:gutter="0" w:footer="0" w:header="0"/>
        </w:sectPr>
      </w:pPr>
    </w:p>
    <w:p>
      <w:pPr>
        <w:spacing w:after="0" w:line="241"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18"/>
          <w:szCs w:val="18"/>
          <w:color w:val="auto"/>
        </w:rPr>
        <w:t>Activity in the product warranty accrual is as follows: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Warranty claims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48"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057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1"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 w:type="dxa"/>
            <w:vAlign w:val="bottom"/>
            <w:tcBorders>
              <w:top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4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240</w:t>
            </w:r>
          </w:p>
        </w:tc>
      </w:tr>
      <w:tr>
        <w:trPr>
          <w:trHeight w:val="216"/>
        </w:trPr>
        <w:tc>
          <w:tcPr>
            <w:tcW w:w="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34"/>
        </w:trPr>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0"/>
        </w:trPr>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27"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expense for the years ended December 31, 2023 and 2022, consisted of:</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effective tax rate for the year ended December 31, 2023 was (33.5)% as compared with (3.7)% for the same period in 2022. The difference between the Company’s effective tax rate year over year was primarily attributable to changes in the mix of pre-tax income and losses at individual subsidiaries, and the impact of changes in uncertain tax positions.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Income tax expense for the years ended December 31, 2023 and 2022, differed from the amount computed by applying the U.S. federal income tax rate of 21% to pre-tax loss as a result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computed at federal statutory tax rate</w:t>
            </w:r>
          </w:p>
        </w:tc>
        <w:tc>
          <w:tcPr>
            <w:tcW w:w="3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Permanent differences, net</w:t>
            </w:r>
          </w:p>
        </w:tc>
        <w:tc>
          <w:tcPr>
            <w:tcW w:w="3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3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true-ups and expirations</w:t>
            </w:r>
          </w:p>
        </w:tc>
        <w:tc>
          <w:tcPr>
            <w:tcW w:w="3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reserve for uncertain tax position</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change to prior year tax accruals</w:t>
            </w:r>
          </w:p>
        </w:tc>
        <w:tc>
          <w:tcPr>
            <w:tcW w:w="3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 allocated to income tax</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1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47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2"/>
        </w:trPr>
        <w:tc>
          <w:tcPr>
            <w:tcW w:w="4780" w:type="dxa"/>
            <w:vAlign w:val="bottom"/>
          </w:tcPr>
          <w:p>
            <w:pPr>
              <w:spacing w:after="0"/>
              <w:rPr>
                <w:sz w:val="24"/>
                <w:szCs w:val="24"/>
                <w:color w:val="auto"/>
              </w:rPr>
            </w:pPr>
          </w:p>
        </w:tc>
        <w:tc>
          <w:tcPr>
            <w:tcW w:w="3460" w:type="dxa"/>
            <w:vAlign w:val="bottom"/>
            <w:gridSpan w:val="2"/>
          </w:tcPr>
          <w:p>
            <w:pPr>
              <w:jc w:val="right"/>
              <w:ind w:right="2330"/>
              <w:spacing w:after="0"/>
              <w:rPr>
                <w:sz w:val="20"/>
                <w:szCs w:val="20"/>
                <w:color w:val="auto"/>
              </w:rPr>
            </w:pPr>
            <w:r>
              <w:rPr>
                <w:rFonts w:ascii="Times New Roman" w:cs="Times New Roman" w:eastAsia="Times New Roman" w:hAnsi="Times New Roman"/>
                <w:sz w:val="18"/>
                <w:szCs w:val="18"/>
                <w:color w:val="auto"/>
              </w:rPr>
              <w:t>F- 25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Income tax expense is based on the following pre-tax (loss) income from operations: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r>
    </w:tbl>
    <w:p>
      <w:pPr>
        <w:spacing w:after="0" w:line="198"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deferred tax liabilities at December 31, 2023 and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1,696</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 and credit carryforwards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14,883</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23,020</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(14,506)</w:t>
            </w:r>
          </w:p>
        </w:tc>
      </w:tr>
      <w:tr>
        <w:trPr>
          <w:trHeight w:val="24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8,514</w:t>
            </w:r>
          </w:p>
        </w:tc>
      </w:tr>
      <w:tr>
        <w:trPr>
          <w:trHeight w:val="197"/>
        </w:trPr>
        <w:tc>
          <w:tcPr>
            <w:tcW w:w="79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8,771</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 assets and liabilities by classification on the consolidated balance sheets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(included in other long-term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9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At December 31, 2023, the Company had state net operating loss carryforwards of $6.3 million, which expire between 2024 and 2043. The Company had net operating loss carryforwards of $7.8 million in certain foreign jurisdictions which may be carried forward indefinitely, partially offset by valuation allowances. The Company had $7.8 million of research and development tax credit carryforwards which begin to expire in 2024, and are partially offset by a reserve of $0.8 million for uncertain tax positions. The Company had a total of $2.7 million of state investment tax credit carryforwards, research and development tax credit carryforwards, and enterprise zone credit carryforwards, which begin to expire in 2024. In addition, the Company had a total of $0.4 million international R&amp;D credits which begin to expire in 2037. The Internal Revenue Code (“IRC”) limits the amounts of net operating loss carryforwards or credits that a company may use in any one year in the event of a change in ownership under IRC Sections 382 or 383. As a result of various acquisitions in prior years, certain losses and credit carryforwards are subject to these limitations.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 maintained a total valuation allowance of $15.2 million and $14.5 million, respectively, which relates to foreign, federal, and state deferred tax assets in both years. The valuation allowance is based on estimates of taxable income in each of the jurisdictions in which the Company operates and the period over which deferred tax assets will be recoverable. The net change in the total valuation allowance for the years ended December 31, 2023 and 2022, was an increase of $0.7 million and a decrease of $0.2 million, respectively. During the year ended December 31, 2023, the Company increased the valuation allowance related to the estimate of realizability of German deferred tax assets and deferred tax assets related to the Employee Retention Credit, offset by the utilization and expiration of certain U.S. federal and state net operating losses and the expiration of certain U.S. credits.</w:t>
      </w:r>
    </w:p>
    <w:p>
      <w:pPr>
        <w:spacing w:after="0" w:line="18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cash and cash equivalents held by the Company’s foreign subsidiaries were $2.1 million and $2.6 million, respectively. As of December 31, 2023, the Company has determined the potential income tax and withholding liability related to available cash balances at foreign subsidiaries to be immaterial.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summary of activity of unrecognized tax benefits is as follows: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9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of current year</w:t>
            </w: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9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decreases, net</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of current year</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decreases, net</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9"/>
        </w:trPr>
        <w:tc>
          <w:tcPr>
            <w:tcW w:w="9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2,222</w:t>
            </w:r>
          </w:p>
        </w:tc>
      </w:tr>
    </w:tbl>
    <w:p>
      <w:pPr>
        <w:spacing w:after="0" w:line="19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expect the amount of unrecognized tax benefits to change within the next twelve months, including the release of reserves of approximately $0.4 million. Substantially all of the liability for uncertain tax benefits related to various federal, state and foreign income tax matters would benefit the Company's effective tax rate, if recognized. The Company classifies interest and penalties related to unrecognized tax benefits as a component of income tax expense, which has not been significant during the years ended December 31, 2023 and 2022, respectively.</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With a few exceptions, the Company is no longer subject to income tax examinations by tax authorities in foreign jurisdictions for the years before 2019. In the U.S., the Company’s net operating loss and tax credit carryforward amounts remain subject to federal and state examination for tax years starting in 2004 as a result of tax losses incurred in prior years. There are currently no pending federal or state tax examinations.</w:t>
      </w:r>
    </w:p>
    <w:p>
      <w:pPr>
        <w:spacing w:after="0" w:line="199"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In April 2022, the Company and HRGN executed a settlement with the plaintiffs in the HRGN Litigation (as defined below), which resolves all claims relating to the litigation as described in Note 16, Litigation Settlement.</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December 31, 2023.</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is currently undergoing an unclaimed property audit. Based on the current stage of the audits, the Company has not accrued any significant losses related to these audits as of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Settlement</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April 2022, the Company and HRGN entered into a settlement of a litigation related to injuries allegedly caused by products produced by the Company and HRGN and utilized in connection with surgeries performed by third parties (the “HRGN Settlement”). The HRGN Settlement resolved and dismissed all claims by and between the parties. HRGN has indemnified the Company for all losses and expenses that the Company incurred in connection with such litigation and settlement.</w:t>
      </w:r>
    </w:p>
    <w:p>
      <w:pPr>
        <w:spacing w:after="0" w:line="18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connection with the HRGN Settlement, in June 2022, HRGN issued 4,000 shares of Series E Convertible Preferred Stock (the “Series E Preferred Stock”) to the Company in satisfaction of $4.0 million of its total indemnification obligations. The Company recorded the Series E Preferred Stock at an estimated fair value of $3.9 million using a Monte Carlo valuation simulation incorporating information from selected guideline companies. As of December 31, 2022, the book value of the shares of Series E Preferred Stock, inclusive of accrued dividends, was $4.1 million and was included in the consolidated balance sheet as a component of other long-term assets.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April 2023, all of the shares of Series E Preferred Stock the Company held in HRGN were mandatorily converted into shares of HRGN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held shares of HRGN common stock with an estimated fair value of $3.5 million, which are included in the consolidated balance sheet as a component of other long-term assets. During the year ended December 31, 2023, the Company recorded an unrealized loss related to these shares of $(0.6) million, which was recorded as other (expense) income, net, in the consolidated statements of operations. The Company determines the fair value of its HRGN common stock based on the closing price as quoted on the OTCQB Marketplace at the reporting date. Due to HRGN’s limited operating history, its overall financial condition and the limited trading volumes and liquidity of its common stock, the value of the Company’s investment in this common stock could fluctuate considerably or become worthless.</w:t>
      </w:r>
    </w:p>
    <w:p>
      <w:pPr>
        <w:spacing w:after="0" w:line="210"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Line Disposition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On February 17, 2023, the Company completed the disposition of its Hoefer product line for cash consideration of $0.5 million. The carrying value of assets sold was $0.1 million resulting in a gain on disposition of $0.4 million which is recorded in other (expense) income, net, in the consolidated statement of operations for the year ended December 31, 2023. Revenue and gross profit of this disposed product line included in the condensed consolidated statement of operations for the years ended December 31, 2023 and 2022, were not significant.</w:t>
      </w:r>
    </w:p>
    <w:p>
      <w:pPr>
        <w:spacing w:after="0" w:line="203"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As there is no authoritative guidance under U.S. GAAP on accounting for grants to for profit business entities from government entities, the Company accounts for government assistance by analogy to International Accounting Standards Topic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Government </w:t>
      </w:r>
      <w:r>
        <w:rPr>
          <w:rFonts w:ascii="Times New Roman" w:cs="Times New Roman" w:eastAsia="Times New Roman" w:hAnsi="Times New Roman"/>
          <w:sz w:val="18"/>
          <w:szCs w:val="18"/>
          <w:color w:val="auto"/>
        </w:rPr>
        <w:t>Assistance (IAS 20). Under IAS 20, grants related to income are presented as part of the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as a deduction of the related expense or reported separately in other income. The Company recognizes government assistance that supplements salaries or research activities as a reduction of the related operating expense over the period for which it is intended to compensate. Government assistance that is not directly related to expense reimbursement or relates to costs incurred in a previous fiscal period is recorded as other income.</w:t>
      </w:r>
    </w:p>
    <w:p>
      <w:pPr>
        <w:spacing w:after="0" w:line="18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received $0.2 million and $0.7 million, respectively, under government assistance programs. The majority of the assistance was a result of the Company’s German subsidiaries participating in programs established to offset the negative impact of COVID-19 on profitability, to support employment during the COVID-19 pandemic, and to offset the costs of qualifying research and development activities.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February 2024, the Company received and recorded $3.1 million for the Employee Retention Credit (“ERC”), which was enacted as part of the Coronavirus Aid, Relief, and Economic Security Act of 2020 (“CARES Act”) to provide financial incentives to eligible businesses to retain their workforce through the period of financial hardship resulting from the COVID-19 pandemic.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2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HARVARD BIOSCIENCE, INC.</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23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2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Green</w:t>
            </w:r>
          </w:p>
        </w:tc>
      </w:tr>
      <w:tr>
        <w:trPr>
          <w:trHeight w:val="234"/>
        </w:trPr>
        <w:tc>
          <w:tcPr>
            <w:tcW w:w="2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80" w:type="dxa"/>
            <w:vAlign w:val="bottom"/>
          </w:tcPr>
          <w:p>
            <w:pPr>
              <w:spacing w:after="0"/>
              <w:rPr>
                <w:sz w:val="20"/>
                <w:szCs w:val="20"/>
                <w:color w:val="auto"/>
              </w:rPr>
            </w:pPr>
          </w:p>
        </w:tc>
        <w:tc>
          <w:tcPr>
            <w:tcW w:w="60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JAMES GREEN</w:t>
            </w:r>
          </w:p>
        </w:tc>
        <w:tc>
          <w:tcPr>
            <w:tcW w:w="280" w:type="dxa"/>
            <w:vAlign w:val="bottom"/>
          </w:tcPr>
          <w:p>
            <w:pPr>
              <w:spacing w:after="0"/>
              <w:rPr>
                <w:sz w:val="24"/>
                <w:szCs w:val="24"/>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0" w:type="dxa"/>
            <w:vAlign w:val="bottom"/>
          </w:tcPr>
          <w:p>
            <w:pPr>
              <w:spacing w:after="0"/>
              <w:rPr>
                <w:sz w:val="1"/>
                <w:szCs w:val="1"/>
                <w:color w:val="auto"/>
              </w:rPr>
            </w:pPr>
          </w:p>
        </w:tc>
      </w:tr>
      <w:tr>
        <w:trPr>
          <w:trHeight w:val="232"/>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James Green</w:t>
            </w:r>
          </w:p>
        </w:tc>
        <w:tc>
          <w:tcPr>
            <w:tcW w:w="280" w:type="dxa"/>
            <w:vAlign w:val="bottom"/>
          </w:tcPr>
          <w:p>
            <w:pPr>
              <w:spacing w:after="0"/>
              <w:rPr>
                <w:sz w:val="20"/>
                <w:szCs w:val="20"/>
                <w:color w:val="auto"/>
              </w:rPr>
            </w:pPr>
          </w:p>
        </w:tc>
        <w:tc>
          <w:tcPr>
            <w:tcW w:w="6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JENNIFER COTE</w:t>
            </w:r>
          </w:p>
        </w:tc>
        <w:tc>
          <w:tcPr>
            <w:tcW w:w="280" w:type="dxa"/>
            <w:vAlign w:val="bottom"/>
          </w:tcPr>
          <w:p>
            <w:pPr>
              <w:spacing w:after="0"/>
              <w:rPr>
                <w:sz w:val="15"/>
                <w:szCs w:val="15"/>
                <w:color w:val="auto"/>
              </w:rPr>
            </w:pPr>
          </w:p>
        </w:tc>
        <w:tc>
          <w:tcPr>
            <w:tcW w:w="6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3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0" w:type="dxa"/>
            <w:vAlign w:val="bottom"/>
          </w:tcPr>
          <w:p>
            <w:pPr>
              <w:spacing w:after="0"/>
              <w:rPr>
                <w:sz w:val="1"/>
                <w:szCs w:val="1"/>
                <w:color w:val="auto"/>
              </w:rPr>
            </w:pPr>
          </w:p>
        </w:tc>
      </w:tr>
      <w:tr>
        <w:trPr>
          <w:trHeight w:val="232"/>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Jennifer Cote</w:t>
            </w:r>
          </w:p>
        </w:tc>
        <w:tc>
          <w:tcPr>
            <w:tcW w:w="2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KATHERINE A. EADE</w:t>
            </w:r>
          </w:p>
        </w:tc>
        <w:tc>
          <w:tcPr>
            <w:tcW w:w="280" w:type="dxa"/>
            <w:vAlign w:val="bottom"/>
          </w:tcPr>
          <w:p>
            <w:pPr>
              <w:spacing w:after="0"/>
              <w:rPr>
                <w:sz w:val="24"/>
                <w:szCs w:val="24"/>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0" w:type="dxa"/>
            <w:vAlign w:val="bottom"/>
          </w:tcPr>
          <w:p>
            <w:pPr>
              <w:spacing w:after="0"/>
              <w:rPr>
                <w:sz w:val="1"/>
                <w:szCs w:val="1"/>
                <w:color w:val="auto"/>
              </w:rPr>
            </w:pPr>
          </w:p>
        </w:tc>
      </w:tr>
      <w:tr>
        <w:trPr>
          <w:trHeight w:val="232"/>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Katherine A. Eade</w:t>
            </w:r>
          </w:p>
        </w:tc>
        <w:tc>
          <w:tcPr>
            <w:tcW w:w="2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EDRICK</w:t>
            </w:r>
          </w:p>
        </w:tc>
        <w:tc>
          <w:tcPr>
            <w:tcW w:w="280" w:type="dxa"/>
            <w:vAlign w:val="bottom"/>
          </w:tcPr>
          <w:p>
            <w:pPr>
              <w:spacing w:after="0"/>
              <w:rPr>
                <w:sz w:val="24"/>
                <w:szCs w:val="24"/>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0" w:type="dxa"/>
            <w:vAlign w:val="bottom"/>
          </w:tcPr>
          <w:p>
            <w:pPr>
              <w:spacing w:after="0"/>
              <w:rPr>
                <w:sz w:val="1"/>
                <w:szCs w:val="1"/>
                <w:color w:val="auto"/>
              </w:rPr>
            </w:pPr>
          </w:p>
        </w:tc>
      </w:tr>
      <w:tr>
        <w:trPr>
          <w:trHeight w:val="232"/>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Alan Edrick</w:t>
            </w:r>
          </w:p>
        </w:tc>
        <w:tc>
          <w:tcPr>
            <w:tcW w:w="2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W. LOEWALD</w:t>
            </w:r>
          </w:p>
        </w:tc>
        <w:tc>
          <w:tcPr>
            <w:tcW w:w="280" w:type="dxa"/>
            <w:vAlign w:val="bottom"/>
          </w:tcPr>
          <w:p>
            <w:pPr>
              <w:spacing w:after="0"/>
              <w:rPr>
                <w:sz w:val="24"/>
                <w:szCs w:val="24"/>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0" w:type="dxa"/>
            <w:vAlign w:val="bottom"/>
          </w:tcPr>
          <w:p>
            <w:pPr>
              <w:spacing w:after="0"/>
              <w:rPr>
                <w:sz w:val="1"/>
                <w:szCs w:val="1"/>
                <w:color w:val="auto"/>
              </w:rPr>
            </w:pPr>
          </w:p>
        </w:tc>
      </w:tr>
      <w:tr>
        <w:trPr>
          <w:trHeight w:val="232"/>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Thomas W. Loewald</w:t>
            </w:r>
          </w:p>
        </w:tc>
        <w:tc>
          <w:tcPr>
            <w:tcW w:w="2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BERTRAND LOY</w:t>
            </w:r>
          </w:p>
        </w:tc>
        <w:tc>
          <w:tcPr>
            <w:tcW w:w="280" w:type="dxa"/>
            <w:vAlign w:val="bottom"/>
          </w:tcPr>
          <w:p>
            <w:pPr>
              <w:spacing w:after="0"/>
              <w:rPr>
                <w:sz w:val="24"/>
                <w:szCs w:val="24"/>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0" w:type="dxa"/>
            <w:vAlign w:val="bottom"/>
          </w:tcPr>
          <w:p>
            <w:pPr>
              <w:spacing w:after="0"/>
              <w:rPr>
                <w:sz w:val="1"/>
                <w:szCs w:val="1"/>
                <w:color w:val="auto"/>
              </w:rPr>
            </w:pPr>
          </w:p>
        </w:tc>
      </w:tr>
      <w:tr>
        <w:trPr>
          <w:trHeight w:val="232"/>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Bertrand Loy</w:t>
            </w:r>
          </w:p>
        </w:tc>
        <w:tc>
          <w:tcPr>
            <w:tcW w:w="2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Where such filing is made by incorporation by reference to a previously filed document, such document is identified.</w:t>
      </w:r>
    </w:p>
    <w:p>
      <w:pPr>
        <w:sectPr>
          <w:pgSz w:w="11900" w:h="16838" w:orient="portrait"/>
          <w:cols w:equalWidth="0" w:num="1">
            <w:col w:w="11240"/>
          </w:cols>
          <w:pgMar w:left="320" w:top="121" w:right="339" w:bottom="533" w:gutter="0" w:footer="0" w:header="0"/>
        </w:sectPr>
      </w:pP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0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2.1§</w:t>
            </w:r>
          </w:p>
        </w:tc>
        <w:tc>
          <w:tcPr>
            <w:tcW w:w="5960" w:type="dxa"/>
            <w:vAlign w:val="bottom"/>
            <w:gridSpan w:val="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Separation and Distribution Agreement between Harvard Bioscience, Inc. and</w:t>
              </w:r>
            </w:hyperlink>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Biostage, Inc. (f/k/a Harvard Apparatus Regenerative Technology, Inc.) dated as of</w:t>
              </w:r>
            </w:hyperlink>
          </w:p>
        </w:tc>
      </w:tr>
      <w:tr>
        <w:trPr>
          <w:trHeight w:val="196"/>
        </w:trPr>
        <w:tc>
          <w:tcPr>
            <w:tcW w:w="106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October 31, 2013.</w:t>
              </w:r>
            </w:hyperlink>
          </w:p>
        </w:tc>
        <w:tc>
          <w:tcPr>
            <w:tcW w:w="4660" w:type="dxa"/>
            <w:vAlign w:val="bottom"/>
            <w:gridSpan w:val="5"/>
          </w:tcPr>
          <w:p>
            <w:pPr>
              <w:spacing w:after="0"/>
              <w:rPr>
                <w:sz w:val="17"/>
                <w:szCs w:val="17"/>
                <w:color w:val="auto"/>
              </w:rPr>
            </w:pPr>
          </w:p>
        </w:tc>
      </w:tr>
      <w:tr>
        <w:trPr>
          <w:trHeight w:val="412"/>
        </w:trPr>
        <w:tc>
          <w:tcPr>
            <w:tcW w:w="10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3.1</w:t>
            </w:r>
          </w:p>
        </w:tc>
        <w:tc>
          <w:tcPr>
            <w:tcW w:w="59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Second Amended and Restated Certificate of Incorporation of Harvard Bioscience,</w:t>
              </w:r>
            </w:hyperlink>
          </w:p>
        </w:tc>
      </w:tr>
      <w:tr>
        <w:trPr>
          <w:trHeight w:val="196"/>
        </w:trPr>
        <w:tc>
          <w:tcPr>
            <w:tcW w:w="1060" w:type="dxa"/>
            <w:vAlign w:val="bottom"/>
          </w:tcPr>
          <w:p>
            <w:pPr>
              <w:spacing w:after="0"/>
              <w:rPr>
                <w:sz w:val="17"/>
                <w:szCs w:val="17"/>
                <w:color w:val="auto"/>
              </w:rPr>
            </w:pPr>
          </w:p>
        </w:tc>
        <w:tc>
          <w:tcPr>
            <w:tcW w:w="5960" w:type="dxa"/>
            <w:vAlign w:val="bottom"/>
            <w:gridSpan w:val="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Inc.</w:t>
              </w:r>
            </w:hyperlink>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628"/>
        </w:trPr>
        <w:tc>
          <w:tcPr>
            <w:tcW w:w="10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3.2</w:t>
            </w:r>
          </w:p>
        </w:tc>
        <w:tc>
          <w:tcPr>
            <w:tcW w:w="4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By-laws of Harvard Bioscience, Inc.</w:t>
              </w:r>
            </w:hyperlink>
          </w:p>
        </w:tc>
        <w:tc>
          <w:tcPr>
            <w:tcW w:w="162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-419735</wp:posOffset>
            </wp:positionV>
            <wp:extent cx="285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Method of Filing</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November 6, 2013, and incorporated by reference thereto.</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Exhibit to the Registration Statement on Form S-1/A (File No. 333-45996) (filed November 9, 2000) and incorporated by reference thereto.</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Exhibit to the Registration Statement on Form S-1/A (File No. 333-45996) (filed November 9, 2000) and incorporated by reference thereto.</w:t>
      </w:r>
    </w:p>
    <w:p>
      <w:pPr>
        <w:spacing w:after="0" w:line="163" w:lineRule="exact"/>
        <w:rPr>
          <w:sz w:val="20"/>
          <w:szCs w:val="20"/>
          <w:color w:val="auto"/>
        </w:rPr>
      </w:pPr>
    </w:p>
    <w:p>
      <w:pPr>
        <w:sectPr>
          <w:pgSz w:w="11900" w:h="16838" w:orient="portrait"/>
          <w:cols w:equalWidth="0" w:num="2">
            <w:col w:w="7340" w:space="440"/>
            <w:col w:w="3460"/>
          </w:cols>
          <w:pgMar w:left="320" w:top="121" w:right="339" w:bottom="533"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3.3</w:t>
            </w:r>
          </w:p>
        </w:tc>
        <w:tc>
          <w:tcPr>
            <w:tcW w:w="61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Amendment No. 1 to Amended and Restated Bylaws of Harvard Bioscience, Inc. (as</w:t>
              </w:r>
            </w:hyperlink>
          </w:p>
        </w:tc>
      </w:tr>
      <w:tr>
        <w:trPr>
          <w:trHeight w:val="196"/>
        </w:trPr>
        <w:tc>
          <w:tcPr>
            <w:tcW w:w="920" w:type="dxa"/>
            <w:vAlign w:val="bottom"/>
          </w:tcPr>
          <w:p>
            <w:pPr>
              <w:spacing w:after="0"/>
              <w:rPr>
                <w:sz w:val="17"/>
                <w:szCs w:val="17"/>
                <w:color w:val="auto"/>
              </w:rPr>
            </w:pPr>
          </w:p>
        </w:tc>
        <w:tc>
          <w:tcPr>
            <w:tcW w:w="6100" w:type="dxa"/>
            <w:vAlign w:val="bottom"/>
            <w:gridSpan w:val="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adopted October 30, 2007).</w:t>
              </w:r>
            </w:hyperlink>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628"/>
        </w:trPr>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4.1</w:t>
            </w:r>
          </w:p>
        </w:tc>
        <w:tc>
          <w:tcPr>
            <w:tcW w:w="5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 xml:space="preserve">Specimen certificate for shares of Common Stock,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0.01 par value, of Harvard</w:t>
              </w:r>
            </w:hyperlink>
          </w:p>
        </w:tc>
        <w:tc>
          <w:tcPr>
            <w:tcW w:w="4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100" w:type="dxa"/>
            <w:vAlign w:val="bottom"/>
            <w:gridSpan w:val="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Bioscience, Inc.</w:t>
              </w:r>
            </w:hyperlink>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628"/>
        </w:trPr>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4.2</w:t>
            </w:r>
          </w:p>
        </w:tc>
        <w:tc>
          <w:tcPr>
            <w:tcW w:w="6100" w:type="dxa"/>
            <w:vAlign w:val="bottom"/>
            <w:gridSpan w:val="5"/>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Description of Securities.</w:t>
              </w:r>
            </w:hyperlink>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November 1, 2007) and incorporated by reference thereto.</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Exhibit to the Registration Statement on Form S-1/A (File No. 333-45996) (filed November 9, 2000) and incorporated by reference thereto.</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Exhibit to the Annual Report on Form 10-K (filed March 16, 2020) and incorporated by reference thereto.</w:t>
      </w:r>
    </w:p>
    <w:p>
      <w:pPr>
        <w:spacing w:after="0" w:line="163" w:lineRule="exact"/>
        <w:rPr>
          <w:sz w:val="20"/>
          <w:szCs w:val="20"/>
          <w:color w:val="auto"/>
        </w:rPr>
      </w:pPr>
    </w:p>
    <w:p>
      <w:pPr>
        <w:sectPr>
          <w:pgSz w:w="11900" w:h="16838" w:orient="portrait"/>
          <w:cols w:equalWidth="0" w:num="2">
            <w:col w:w="7480" w:space="300"/>
            <w:col w:w="3460"/>
          </w:cols>
          <w:pgMar w:left="320" w:top="121" w:right="339" w:bottom="533" w:gutter="0" w:footer="0" w:header="0"/>
          <w:type w:val="continuous"/>
        </w:sectPr>
      </w:pPr>
    </w:p>
    <w:tbl>
      <w:tblPr>
        <w:tblLayout w:type="fixed"/>
        <w:tblInd w:w="340" w:type="dxa"/>
        <w:tblCellMar>
          <w:top w:w="0" w:type="dxa"/>
          <w:left w:w="0" w:type="dxa"/>
          <w:bottom w:w="0" w:type="dxa"/>
          <w:right w:w="0" w:type="dxa"/>
        </w:tblCellMar>
      </w:tblPr>
      <w:tr>
        <w:trPr>
          <w:trHeight w:val="207"/>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10.1 #</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Harvard Bioscience, Inc. Fourth Amended and Restated 2000 Stock Option and</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Quarterly Report on Form 10-Q</w:t>
            </w:r>
          </w:p>
        </w:tc>
      </w:tr>
      <w:tr>
        <w:trPr>
          <w:trHeight w:val="196"/>
        </w:trPr>
        <w:tc>
          <w:tcPr>
            <w:tcW w:w="1040" w:type="dxa"/>
            <w:vAlign w:val="bottom"/>
          </w:tcPr>
          <w:p>
            <w:pPr>
              <w:spacing w:after="0"/>
              <w:rPr>
                <w:sz w:val="17"/>
                <w:szCs w:val="17"/>
                <w:color w:val="auto"/>
              </w:rPr>
            </w:pPr>
          </w:p>
        </w:tc>
        <w:tc>
          <w:tcPr>
            <w:tcW w:w="57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Incentive Plan.</w:t>
              </w:r>
            </w:hyperlink>
          </w:p>
        </w:tc>
        <w:tc>
          <w:tcPr>
            <w:tcW w:w="480" w:type="dxa"/>
            <w:vAlign w:val="bottom"/>
            <w:gridSpan w:val="2"/>
          </w:tcPr>
          <w:p>
            <w:pPr>
              <w:spacing w:after="0"/>
              <w:rPr>
                <w:sz w:val="17"/>
                <w:szCs w:val="17"/>
                <w:color w:val="auto"/>
              </w:rPr>
            </w:pPr>
          </w:p>
        </w:tc>
        <w:tc>
          <w:tcPr>
            <w:tcW w:w="36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filed August 10, 2020, and incorporated by</w:t>
            </w:r>
          </w:p>
        </w:tc>
      </w:tr>
      <w:tr>
        <w:trPr>
          <w:trHeight w:val="237"/>
        </w:trPr>
        <w:tc>
          <w:tcPr>
            <w:tcW w:w="1040" w:type="dxa"/>
            <w:vAlign w:val="bottom"/>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1"/>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10.2</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Harvard Bioscience, Inc. Employee Stock Purchase Plan, as amended.</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Disclosed as Appendix A to the Proxy</w:t>
            </w:r>
          </w:p>
        </w:tc>
      </w:tr>
      <w:tr>
        <w:trPr>
          <w:trHeight w:val="218"/>
        </w:trPr>
        <w:tc>
          <w:tcPr>
            <w:tcW w:w="104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Statement on Schedule 14A filed April 7, 2022,</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incorporated by reference thereto.</w:t>
            </w:r>
          </w:p>
        </w:tc>
      </w:tr>
      <w:tr>
        <w:trPr>
          <w:trHeight w:val="391"/>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10.3</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Director Indemnification Agreement.</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Quarterly Report on Form 10-Q</w:t>
            </w:r>
          </w:p>
        </w:tc>
      </w:tr>
      <w:tr>
        <w:trPr>
          <w:trHeight w:val="218"/>
        </w:trPr>
        <w:tc>
          <w:tcPr>
            <w:tcW w:w="104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May 8, 2020, and incorporated by</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2"/>
        </w:trPr>
        <w:tc>
          <w:tcPr>
            <w:tcW w:w="10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10.4 +</w:t>
            </w:r>
          </w:p>
        </w:tc>
        <w:tc>
          <w:tcPr>
            <w:tcW w:w="6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Trademark License Agreement, dated December 19, 2002, by and between Harvard</w:t>
              </w:r>
            </w:hyperlink>
          </w:p>
        </w:tc>
        <w:tc>
          <w:tcPr>
            <w:tcW w:w="1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196"/>
        </w:trPr>
        <w:tc>
          <w:tcPr>
            <w:tcW w:w="1040" w:type="dxa"/>
            <w:vAlign w:val="bottom"/>
          </w:tcPr>
          <w:p>
            <w:pPr>
              <w:spacing w:after="0"/>
              <w:rPr>
                <w:sz w:val="17"/>
                <w:szCs w:val="17"/>
                <w:color w:val="auto"/>
              </w:rPr>
            </w:pPr>
          </w:p>
        </w:tc>
        <w:tc>
          <w:tcPr>
            <w:tcW w:w="6200" w:type="dxa"/>
            <w:vAlign w:val="bottom"/>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Bioscience, Inc. and President and Fellows of Harvard College.</w:t>
              </w:r>
            </w:hyperlink>
          </w:p>
        </w:tc>
        <w:tc>
          <w:tcPr>
            <w:tcW w:w="36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filed March 9, 2023, and incorporated by</w:t>
            </w:r>
          </w:p>
        </w:tc>
      </w:tr>
      <w:tr>
        <w:trPr>
          <w:trHeight w:val="237"/>
        </w:trPr>
        <w:tc>
          <w:tcPr>
            <w:tcW w:w="1040" w:type="dxa"/>
            <w:vAlign w:val="bottom"/>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20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1"/>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10.5 #</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Incentive Stock Option Agreement (Executive Officers).</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8"/>
        </w:trPr>
        <w:tc>
          <w:tcPr>
            <w:tcW w:w="104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March 16, 2006, and incorporated by</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2"/>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10.6 #</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Non-Qualified Stock Option Agreement (Executive Officers).</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8"/>
        </w:trPr>
        <w:tc>
          <w:tcPr>
            <w:tcW w:w="104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March 16, 2006, and incorporated by</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1"/>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10.7 #</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Non-Qualified Stock Option Agreement (Non-Employee Directors).</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8"/>
        </w:trPr>
        <w:tc>
          <w:tcPr>
            <w:tcW w:w="104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March 16, 2006, and incorporated by</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2"/>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10.8 #</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Deferred Stock Award Agreement.</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8"/>
        </w:trPr>
        <w:tc>
          <w:tcPr>
            <w:tcW w:w="104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March 16, 2011, and incorporated by</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2"/>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10.9 #</w:t>
            </w:r>
          </w:p>
        </w:tc>
        <w:tc>
          <w:tcPr>
            <w:tcW w:w="6200" w:type="dxa"/>
            <w:vAlign w:val="bottom"/>
            <w:gridSpan w:val="12"/>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Market Condition Deferred Stock Award Agreement.</w:t>
              </w:r>
            </w:hyperlink>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to the Annual Report on Form 10-</w:t>
            </w:r>
          </w:p>
        </w:tc>
      </w:tr>
      <w:tr>
        <w:trPr>
          <w:trHeight w:val="218"/>
        </w:trPr>
        <w:tc>
          <w:tcPr>
            <w:tcW w:w="104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 filed March 16, 2020, and incorporated by</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thereto.</w:t>
            </w:r>
          </w:p>
        </w:tc>
      </w:tr>
    </w:tbl>
    <w:p>
      <w:pPr>
        <w:spacing w:after="0" w:line="198" w:lineRule="exact"/>
        <w:rPr>
          <w:sz w:val="20"/>
          <w:szCs w:val="20"/>
          <w:color w:val="auto"/>
        </w:rPr>
      </w:pPr>
    </w:p>
    <w:p>
      <w:pPr>
        <w:sectPr>
          <w:pgSz w:w="11900" w:h="16838" w:orient="portrait"/>
          <w:cols w:equalWidth="0" w:num="1">
            <w:col w:w="11240"/>
          </w:cols>
          <w:pgMar w:left="320" w:top="121" w:right="339" w:bottom="533" w:gutter="0" w:footer="0" w:header="0"/>
          <w:type w:val="continuous"/>
        </w:sectPr>
      </w:pPr>
    </w:p>
    <w:p>
      <w:pPr>
        <w:ind w:left="300"/>
        <w:spacing w:after="0"/>
        <w:tabs>
          <w:tab w:leader="none" w:pos="13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 #</w:t>
      </w:r>
      <w:r>
        <w:rPr>
          <w:sz w:val="20"/>
          <w:szCs w:val="20"/>
          <w:color w:val="auto"/>
        </w:rPr>
        <w:tab/>
      </w:r>
      <w:hyperlink r:id="rId109">
        <w:r>
          <w:rPr>
            <w:rFonts w:ascii="Times New Roman" w:cs="Times New Roman" w:eastAsia="Times New Roman" w:hAnsi="Times New Roman"/>
            <w:sz w:val="17"/>
            <w:szCs w:val="17"/>
            <w:u w:val="single" w:color="auto"/>
            <w:color w:val="0000EE"/>
          </w:rPr>
          <w:t>Employment Agreement between Harvard Bioscience, Inc. and James Green.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July 8, 2019, and incorporated by reference thereto.</w:t>
      </w:r>
    </w:p>
    <w:p>
      <w:pPr>
        <w:sectPr>
          <w:pgSz w:w="11900" w:h="16838" w:orient="portrait"/>
          <w:cols w:equalWidth="0" w:num="2">
            <w:col w:w="7060" w:space="720"/>
            <w:col w:w="3460"/>
          </w:cols>
          <w:pgMar w:left="320" w:top="121" w:right="339" w:bottom="533"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1">
        <w:r>
          <w:rPr>
            <w:rFonts w:ascii="Times New Roman" w:cs="Times New Roman" w:eastAsia="Times New Roman" w:hAnsi="Times New Roman"/>
            <w:sz w:val="18"/>
            <w:szCs w:val="18"/>
            <w:u w:val="single" w:color="auto"/>
            <w:color w:val="0000EE"/>
          </w:rPr>
          <w:t>Employment Agreement between Jennifer Cote and the Company dated June 19,</w:t>
        </w:r>
      </w:hyperlink>
    </w:p>
    <w:p>
      <w:pPr>
        <w:spacing w:after="0" w:line="27" w:lineRule="exact"/>
        <w:rPr>
          <w:sz w:val="20"/>
          <w:szCs w:val="20"/>
          <w:color w:val="auto"/>
        </w:rPr>
      </w:pPr>
    </w:p>
    <w:p>
      <w:pPr>
        <w:ind w:left="1380"/>
        <w:spacing w:after="0"/>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2023</w:t>
        </w:r>
      </w:hyperlink>
    </w:p>
    <w:p>
      <w:pPr>
        <w:spacing w:after="0" w:line="200" w:lineRule="exact"/>
        <w:rPr>
          <w:sz w:val="20"/>
          <w:szCs w:val="20"/>
          <w:color w:val="auto"/>
        </w:rPr>
      </w:pPr>
    </w:p>
    <w:p>
      <w:pPr>
        <w:spacing w:after="0" w:line="223" w:lineRule="exact"/>
        <w:rPr>
          <w:sz w:val="20"/>
          <w:szCs w:val="20"/>
          <w:color w:val="auto"/>
        </w:rPr>
      </w:pPr>
    </w:p>
    <w:p>
      <w:pPr>
        <w:jc w:val="both"/>
        <w:ind w:left="1380" w:right="20" w:hanging="998"/>
        <w:spacing w:after="0" w:line="282"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2">
        <w:r>
          <w:rPr>
            <w:rFonts w:ascii="Times New Roman" w:cs="Times New Roman" w:eastAsia="Times New Roman" w:hAnsi="Times New Roman"/>
            <w:sz w:val="18"/>
            <w:szCs w:val="18"/>
            <w:u w:val="single" w:color="auto"/>
            <w:color w:val="0000EE"/>
          </w:rPr>
          <w:t>Consulting Agreement, dated as of March 2, 2020, by and between Harvard</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Bioscience, Inc. and Chane Graziano.</w:t>
        </w:r>
      </w:hyperlink>
    </w:p>
    <w:p>
      <w:pPr>
        <w:spacing w:after="0" w:line="378" w:lineRule="exact"/>
        <w:rPr>
          <w:sz w:val="20"/>
          <w:szCs w:val="20"/>
          <w:color w:val="auto"/>
        </w:rPr>
      </w:pPr>
    </w:p>
    <w:p>
      <w:pPr>
        <w:jc w:val="both"/>
        <w:ind w:left="1380" w:hanging="998"/>
        <w:spacing w:after="0" w:line="266"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13">
        <w:r>
          <w:rPr>
            <w:rFonts w:ascii="Times New Roman" w:cs="Times New Roman" w:eastAsia="Times New Roman" w:hAnsi="Times New Roman"/>
            <w:sz w:val="18"/>
            <w:szCs w:val="18"/>
            <w:u w:val="single" w:color="auto"/>
            <w:color w:val="0000EE"/>
          </w:rPr>
          <w:t>Credit Agreement dated as of December 22, 2020 among Harvard Bioscience, Inc.,</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as borrower, the lenders party thereto, and Citizens Bank, N.A., as administrative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agent.</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80" w:hanging="998"/>
        <w:spacing w:after="0" w:line="266"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14">
        <w:r>
          <w:rPr>
            <w:rFonts w:ascii="Times New Roman" w:cs="Times New Roman" w:eastAsia="Times New Roman" w:hAnsi="Times New Roman"/>
            <w:sz w:val="18"/>
            <w:szCs w:val="18"/>
            <w:u w:val="single" w:color="auto"/>
            <w:color w:val="0000EE"/>
          </w:rPr>
          <w:t>Pledge and Security Agreement dated as of December 22, 2020 among Harvard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Bioscience, Inc., certain of Harvard Bioscience’s direct and indirect subsidiaries and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Citizens Bank, N.A., as administrative agent.</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80" w:hanging="998"/>
        <w:spacing w:after="0" w:line="266"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15">
        <w:r>
          <w:rPr>
            <w:rFonts w:ascii="Times New Roman" w:cs="Times New Roman" w:eastAsia="Times New Roman" w:hAnsi="Times New Roman"/>
            <w:sz w:val="18"/>
            <w:szCs w:val="18"/>
            <w:u w:val="single" w:color="auto"/>
            <w:color w:val="0000EE"/>
          </w:rPr>
          <w:t>First Amendment to Credit Agreement and Amendment to Pledge and Security</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Agreement, dated April 28, 2022, among Harvard Bioscience, Inc., Citizens Bank,</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N.A., as the administrative agent, and the lenders party thereto.</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80" w:hanging="998"/>
        <w:spacing w:after="0" w:line="266"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16">
        <w:r>
          <w:rPr>
            <w:rFonts w:ascii="Times New Roman" w:cs="Times New Roman" w:eastAsia="Times New Roman" w:hAnsi="Times New Roman"/>
            <w:sz w:val="18"/>
            <w:szCs w:val="18"/>
            <w:u w:val="single" w:color="auto"/>
            <w:color w:val="0000EE"/>
          </w:rPr>
          <w:t>Second Amendment to Credit Agreement and Amendment to Pledge and Security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Agreement, dated November 8, 2022, among Harvard Bioscience, Inc., Citizens</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Bank, N.A., as the administrative agent, and the lenders party thereto.</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80" w:right="20" w:hanging="998"/>
        <w:spacing w:after="0" w:line="266"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17">
        <w:r>
          <w:rPr>
            <w:rFonts w:ascii="Times New Roman" w:cs="Times New Roman" w:eastAsia="Times New Roman" w:hAnsi="Times New Roman"/>
            <w:sz w:val="18"/>
            <w:szCs w:val="18"/>
            <w:u w:val="single" w:color="auto"/>
            <w:color w:val="0000EE"/>
          </w:rPr>
          <w:t>Guarantee Agreement dated as of December 22, 2020 among Harvard Bioscience,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Inc., certain of Harvard Bioscience’s direct and indirect subsidiaries and Citizens</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Bank, N.A., as administrative agent.</w:t>
        </w:r>
      </w:hyperlink>
    </w:p>
    <w:p>
      <w:pPr>
        <w:spacing w:after="0" w:line="176" w:lineRule="exact"/>
        <w:rPr>
          <w:rFonts w:ascii="Times New Roman" w:cs="Times New Roman" w:eastAsia="Times New Roman" w:hAnsi="Times New Roman"/>
          <w:sz w:val="18"/>
          <w:szCs w:val="18"/>
          <w:u w:val="single" w:color="auto"/>
          <w:color w:val="0000EE"/>
        </w:rPr>
      </w:pPr>
    </w:p>
    <w:p>
      <w:pPr>
        <w:ind w:left="320"/>
        <w:spacing w:after="0"/>
        <w:tabs>
          <w:tab w:leader="none" w:pos="13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18">
        <w:r>
          <w:rPr>
            <w:rFonts w:ascii="Times New Roman" w:cs="Times New Roman" w:eastAsia="Times New Roman" w:hAnsi="Times New Roman"/>
            <w:sz w:val="17"/>
            <w:szCs w:val="17"/>
            <w:u w:val="single" w:color="auto"/>
            <w:color w:val="0000EE"/>
          </w:rPr>
          <w:t>Harvard Bioscience, Inc. 2021 Incentive Plan.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June 20, 2023, and incorporated by reference thereto.</w:t>
      </w:r>
    </w:p>
    <w:p>
      <w:pPr>
        <w:spacing w:after="0" w:line="176"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March 6, 2020, and incorporated by reference thereto.</w:t>
      </w:r>
    </w:p>
    <w:p>
      <w:pPr>
        <w:spacing w:after="0" w:line="176"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December 23, 2020, and incorporated by reference thereto.</w:t>
      </w:r>
    </w:p>
    <w:p>
      <w:pPr>
        <w:spacing w:after="0" w:line="176"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December 23, 2020, and incorporated by reference thereto.</w:t>
      </w:r>
    </w:p>
    <w:p>
      <w:pPr>
        <w:spacing w:after="0" w:line="176"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April 28, 2022, and incorporated by reference thereto.</w:t>
      </w:r>
    </w:p>
    <w:p>
      <w:pPr>
        <w:spacing w:after="0" w:line="176" w:lineRule="exact"/>
        <w:rPr>
          <w:rFonts w:ascii="Times New Roman" w:cs="Times New Roman" w:eastAsia="Times New Roman" w:hAnsi="Times New Roman"/>
          <w:sz w:val="18"/>
          <w:szCs w:val="18"/>
          <w:u w:val="single" w:color="auto"/>
          <w:color w:val="0000EE"/>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Exhibit to the Form 10-Q filed November 9, 2022, and incorporated by reference thereto.</w:t>
      </w:r>
    </w:p>
    <w:p>
      <w:pPr>
        <w:spacing w:after="0" w:line="356"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December 23, 2020, and incorporated by reference thereto.</w:t>
      </w:r>
    </w:p>
    <w:p>
      <w:pPr>
        <w:spacing w:after="0" w:line="176"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May 19, 2021, and incorporated by reference thereto.</w:t>
      </w:r>
    </w:p>
    <w:p>
      <w:pPr>
        <w:spacing w:after="0" w:line="16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560" w:space="220"/>
            <w:col w:w="3460"/>
          </w:cols>
          <w:pgMar w:left="320" w:top="121" w:right="339" w:bottom="636" w:gutter="0" w:footer="0" w:header="0"/>
        </w:sectPr>
      </w:pPr>
    </w:p>
    <w:tbl>
      <w:tblPr>
        <w:tblLayout w:type="fixed"/>
        <w:tblInd w:w="320" w:type="dxa"/>
        <w:tblCellMar>
          <w:top w:w="0" w:type="dxa"/>
          <w:left w:w="0" w:type="dxa"/>
          <w:bottom w:w="0" w:type="dxa"/>
          <w:right w:w="0" w:type="dxa"/>
        </w:tblCellMar>
      </w:tblPr>
      <w:tr>
        <w:trPr>
          <w:trHeight w:val="207"/>
        </w:trPr>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10.19#</w:t>
            </w:r>
          </w:p>
        </w:tc>
        <w:tc>
          <w:tcPr>
            <w:tcW w:w="5260" w:type="dxa"/>
            <w:vAlign w:val="bottom"/>
            <w:gridSpan w:val="3"/>
          </w:tcPr>
          <w:p>
            <w:pPr>
              <w:ind w:left="280"/>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Performance RSU Award Agreement - 2021 Incentive Plan.</w:t>
              </w:r>
            </w:hyperlink>
          </w:p>
        </w:tc>
        <w:tc>
          <w:tcPr>
            <w:tcW w:w="458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Exhibit to the Annual Report on Form 10-K</w:t>
            </w:r>
          </w:p>
        </w:tc>
      </w:tr>
      <w:tr>
        <w:trPr>
          <w:trHeight w:val="218"/>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filed March 11, 2022, and incorporated by</w:t>
            </w:r>
          </w:p>
        </w:tc>
      </w:tr>
      <w:tr>
        <w:trPr>
          <w:trHeight w:val="234"/>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91"/>
        </w:trPr>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10.20#</w:t>
            </w:r>
          </w:p>
        </w:tc>
        <w:tc>
          <w:tcPr>
            <w:tcW w:w="5260" w:type="dxa"/>
            <w:vAlign w:val="bottom"/>
            <w:gridSpan w:val="3"/>
          </w:tcPr>
          <w:p>
            <w:pPr>
              <w:ind w:left="280"/>
              <w:spacing w:after="0"/>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Form of Time-Based RSU Awards Agreement – 2021 Incentive Plan.</w:t>
              </w:r>
            </w:hyperlink>
          </w:p>
        </w:tc>
        <w:tc>
          <w:tcPr>
            <w:tcW w:w="458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Exhibit to the Annual Report on Form 10-K</w:t>
            </w:r>
          </w:p>
        </w:tc>
      </w:tr>
      <w:tr>
        <w:trPr>
          <w:trHeight w:val="218"/>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5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filed March 11, 2022, and incorporated by</w:t>
            </w:r>
          </w:p>
        </w:tc>
      </w:tr>
      <w:tr>
        <w:trPr>
          <w:trHeight w:val="234"/>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reference thereto.</w:t>
            </w:r>
          </w:p>
        </w:tc>
      </w:tr>
    </w:tbl>
    <w:p>
      <w:pPr>
        <w:spacing w:after="0" w:line="198" w:lineRule="exact"/>
        <w:rPr>
          <w:sz w:val="20"/>
          <w:szCs w:val="20"/>
          <w:color w:val="auto"/>
        </w:rPr>
      </w:pPr>
    </w:p>
    <w:p>
      <w:pPr>
        <w:sectPr>
          <w:pgSz w:w="11900" w:h="16838" w:orient="portrait"/>
          <w:cols w:equalWidth="0" w:num="1">
            <w:col w:w="11240"/>
          </w:cols>
          <w:pgMar w:left="320" w:top="121" w:right="339" w:bottom="636" w:gutter="0" w:footer="0" w:header="0"/>
          <w:type w:val="continuous"/>
        </w:sectPr>
      </w:pPr>
    </w:p>
    <w:p>
      <w:pPr>
        <w:ind w:left="320"/>
        <w:spacing w:after="0"/>
        <w:tabs>
          <w:tab w:leader="none" w:pos="13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21">
        <w:r>
          <w:rPr>
            <w:rFonts w:ascii="Times New Roman" w:cs="Times New Roman" w:eastAsia="Times New Roman" w:hAnsi="Times New Roman"/>
            <w:sz w:val="17"/>
            <w:szCs w:val="17"/>
            <w:u w:val="single" w:color="auto"/>
            <w:color w:val="0000EE"/>
          </w:rPr>
          <w:t>Form of RSU Award for Directors – 2021 Incentive Plan.</w:t>
        </w:r>
      </w:hyperlink>
    </w:p>
    <w:p>
      <w:pPr>
        <w:spacing w:after="0" w:line="20" w:lineRule="exact"/>
        <w:rPr>
          <w:sz w:val="20"/>
          <w:szCs w:val="20"/>
          <w:color w:val="auto"/>
        </w:rPr>
      </w:pPr>
      <w:r>
        <w:rPr>
          <w:sz w:val="20"/>
          <w:szCs w:val="20"/>
          <w:color w:val="auto"/>
        </w:rPr>
        <w:br w:type="column"/>
      </w:r>
    </w:p>
    <w:p>
      <w:pPr>
        <w:ind w:right="300"/>
        <w:spacing w:after="0" w:line="266" w:lineRule="auto"/>
        <w:rPr>
          <w:sz w:val="20"/>
          <w:szCs w:val="20"/>
          <w:color w:val="auto"/>
        </w:rPr>
      </w:pPr>
      <w:r>
        <w:rPr>
          <w:rFonts w:ascii="Times New Roman" w:cs="Times New Roman" w:eastAsia="Times New Roman" w:hAnsi="Times New Roman"/>
          <w:sz w:val="18"/>
          <w:szCs w:val="18"/>
          <w:color w:val="auto"/>
        </w:rPr>
        <w:t>Exhibit to the Annual Report on Form 10-K filed March 11, 2022, and incorporated by reference thereto.</w:t>
      </w:r>
    </w:p>
    <w:p>
      <w:pPr>
        <w:spacing w:after="0" w:line="163" w:lineRule="exact"/>
        <w:rPr>
          <w:sz w:val="20"/>
          <w:szCs w:val="20"/>
          <w:color w:val="auto"/>
        </w:rPr>
      </w:pPr>
    </w:p>
    <w:p>
      <w:pPr>
        <w:sectPr>
          <w:pgSz w:w="11900" w:h="16838" w:orient="portrait"/>
          <w:cols w:equalWidth="0" w:num="2">
            <w:col w:w="7060" w:space="720"/>
            <w:col w:w="3460"/>
          </w:cols>
          <w:pgMar w:left="320" w:top="121" w:right="339" w:bottom="636" w:gutter="0" w:footer="0" w:header="0"/>
          <w:type w:val="continuous"/>
        </w:sectPr>
      </w:pPr>
    </w:p>
    <w:tbl>
      <w:tblPr>
        <w:tblLayout w:type="fixed"/>
        <w:tblInd w:w="320" w:type="dxa"/>
        <w:tblCellMar>
          <w:top w:w="0" w:type="dxa"/>
          <w:left w:w="0" w:type="dxa"/>
          <w:bottom w:w="0" w:type="dxa"/>
          <w:right w:w="0" w:type="dxa"/>
        </w:tblCellMar>
      </w:tblPr>
      <w:tr>
        <w:trPr>
          <w:trHeight w:val="207"/>
        </w:trPr>
        <w:tc>
          <w:tcPr>
            <w:tcW w:w="10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10.22#</w:t>
            </w:r>
          </w:p>
        </w:tc>
        <w:tc>
          <w:tcPr>
            <w:tcW w:w="6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Separation Agreement and Release between Harvard Bioscience, Inc. and Ken Olson,</w:t>
              </w:r>
            </w:hyperlink>
          </w:p>
        </w:tc>
      </w:tr>
      <w:tr>
        <w:trPr>
          <w:trHeight w:val="196"/>
        </w:trPr>
        <w:tc>
          <w:tcPr>
            <w:tcW w:w="106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dated as of January 26, 2022.</w:t>
              </w:r>
            </w:hyperlink>
          </w:p>
        </w:tc>
        <w:tc>
          <w:tcPr>
            <w:tcW w:w="4060" w:type="dxa"/>
            <w:vAlign w:val="bottom"/>
            <w:gridSpan w:val="7"/>
          </w:tcPr>
          <w:p>
            <w:pPr>
              <w:spacing w:after="0"/>
              <w:rPr>
                <w:sz w:val="17"/>
                <w:szCs w:val="17"/>
                <w:color w:val="auto"/>
              </w:rPr>
            </w:pPr>
          </w:p>
        </w:tc>
      </w:tr>
      <w:tr>
        <w:trPr>
          <w:trHeight w:val="628"/>
        </w:trPr>
        <w:tc>
          <w:tcPr>
            <w:tcW w:w="10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10.23#</w:t>
            </w:r>
          </w:p>
        </w:tc>
        <w:tc>
          <w:tcPr>
            <w:tcW w:w="59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Separation Agreement and Release between Harvard Bioscience, Inc. and Michael</w:t>
              </w:r>
            </w:hyperlink>
          </w:p>
        </w:tc>
        <w:tc>
          <w:tcPr>
            <w:tcW w:w="22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Rossi, dated January 18, 2023</w:t>
              </w:r>
            </w:hyperlink>
          </w:p>
        </w:tc>
        <w:tc>
          <w:tcPr>
            <w:tcW w:w="4000" w:type="dxa"/>
            <w:vAlign w:val="bottom"/>
            <w:gridSpan w:val="5"/>
          </w:tcPr>
          <w:p>
            <w:pPr>
              <w:spacing w:after="0"/>
              <w:rPr>
                <w:sz w:val="17"/>
                <w:szCs w:val="17"/>
                <w:color w:val="auto"/>
              </w:rPr>
            </w:pPr>
          </w:p>
        </w:tc>
      </w:tr>
      <w:tr>
        <w:trPr>
          <w:trHeight w:val="628"/>
        </w:trPr>
        <w:tc>
          <w:tcPr>
            <w:tcW w:w="10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Subsidiaries of the Registrant</w:t>
            </w:r>
          </w:p>
        </w:tc>
        <w:tc>
          <w:tcPr>
            <w:tcW w:w="4040" w:type="dxa"/>
            <w:vAlign w:val="bottom"/>
            <w:gridSpan w:val="6"/>
          </w:tcPr>
          <w:p>
            <w:pPr>
              <w:spacing w:after="0"/>
              <w:rPr>
                <w:sz w:val="24"/>
                <w:szCs w:val="24"/>
                <w:color w:val="auto"/>
              </w:rPr>
            </w:pPr>
          </w:p>
        </w:tc>
      </w:tr>
      <w:tr>
        <w:trPr>
          <w:trHeight w:val="412"/>
        </w:trPr>
        <w:tc>
          <w:tcPr>
            <w:tcW w:w="10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23.1</w:t>
            </w:r>
          </w:p>
        </w:tc>
        <w:tc>
          <w:tcPr>
            <w:tcW w:w="2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Grant Thornton LLP</w:t>
            </w:r>
          </w:p>
        </w:tc>
        <w:tc>
          <w:tcPr>
            <w:tcW w:w="3840" w:type="dxa"/>
            <w:vAlign w:val="bottom"/>
            <w:gridSpan w:val="4"/>
          </w:tcPr>
          <w:p>
            <w:pPr>
              <w:spacing w:after="0"/>
              <w:rPr>
                <w:sz w:val="24"/>
                <w:szCs w:val="24"/>
                <w:color w:val="auto"/>
              </w:rPr>
            </w:pPr>
          </w:p>
        </w:tc>
      </w:tr>
      <w:tr>
        <w:trPr>
          <w:trHeight w:val="412"/>
        </w:trPr>
        <w:tc>
          <w:tcPr>
            <w:tcW w:w="10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31.1</w:t>
            </w:r>
          </w:p>
        </w:tc>
        <w:tc>
          <w:tcPr>
            <w:tcW w:w="5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of Harvard Bioscience, Inc., pursuant to</w:t>
            </w:r>
          </w:p>
        </w:tc>
        <w:tc>
          <w:tcPr>
            <w:tcW w:w="4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Rules 13a-15(e) and 15d-15(e), as adopted pursuant to Section 302 of the Sarbanes-</w:t>
            </w:r>
          </w:p>
        </w:tc>
      </w:tr>
      <w:tr>
        <w:trPr>
          <w:trHeight w:val="196"/>
        </w:trPr>
        <w:tc>
          <w:tcPr>
            <w:tcW w:w="106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4680" w:type="dxa"/>
            <w:vAlign w:val="bottom"/>
            <w:tcBorders>
              <w:top w:val="single" w:sz="8" w:color="0000EE"/>
            </w:tcBorders>
            <w:gridSpan w:val="7"/>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January 28, 2022, and incorporated by reference thereto.</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to the Current Report on Form 8-K filed January 19, 2023, and incorporated by reference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632" w:lineRule="exact"/>
        <w:rPr>
          <w:sz w:val="20"/>
          <w:szCs w:val="20"/>
          <w:color w:val="auto"/>
        </w:rPr>
      </w:pPr>
    </w:p>
    <w:p>
      <w:pPr>
        <w:sectPr>
          <w:pgSz w:w="11900" w:h="16838" w:orient="portrait"/>
          <w:cols w:equalWidth="0" w:num="2">
            <w:col w:w="7540" w:space="240"/>
            <w:col w:w="3460"/>
          </w:cols>
          <w:pgMar w:left="320" w:top="121" w:right="339" w:bottom="636"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31.2</w:t>
            </w: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of Harvard Bioscience, Inc., pursuant to</w:t>
            </w:r>
          </w:p>
        </w:tc>
        <w:tc>
          <w:tcPr>
            <w:tcW w:w="366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20"/>
        </w:trPr>
        <w:tc>
          <w:tcPr>
            <w:tcW w:w="1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6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Rules 13a-15(e) and 15d-15(e), as adopted pursuant to Section 302 of the Sarbanes-</w:t>
            </w:r>
          </w:p>
        </w:tc>
        <w:tc>
          <w:tcPr>
            <w:tcW w:w="36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4680" w:type="dxa"/>
            <w:vAlign w:val="bottom"/>
            <w:tcBorders>
              <w:top w:val="single" w:sz="8" w:color="0000EE"/>
            </w:tcBorders>
            <w:gridSpan w:val="3"/>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412"/>
        </w:trPr>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32.1</w:t>
            </w: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Harvard Bioscience, Inc., pursuant to 18</w:t>
            </w:r>
          </w:p>
        </w:tc>
        <w:tc>
          <w:tcPr>
            <w:tcW w:w="366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6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w:t>
            </w:r>
          </w:p>
        </w:tc>
        <w:tc>
          <w:tcPr>
            <w:tcW w:w="36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0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594"/>
        </w:trPr>
        <w:tc>
          <w:tcPr>
            <w:tcW w:w="138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636" w:gutter="0" w:footer="0" w:header="0"/>
          <w:type w:val="continuous"/>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jc w:val="right"/>
              <w:ind w:right="45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6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Harvard Bioscience, Inc., pursuant to 18</w:t>
            </w:r>
          </w:p>
        </w:tc>
        <w:tc>
          <w:tcPr>
            <w:tcW w:w="180" w:type="dxa"/>
            <w:vAlign w:val="bottom"/>
          </w:tcPr>
          <w:p>
            <w:pPr>
              <w:spacing w:after="0"/>
              <w:rPr>
                <w:sz w:val="24"/>
                <w:szCs w:val="24"/>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w:t>
            </w: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3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Harvard Bioscience Inc., Dodd-Frank Clawback Policy</w:t>
            </w:r>
          </w:p>
        </w:tc>
        <w:tc>
          <w:tcPr>
            <w:tcW w:w="2220" w:type="dxa"/>
            <w:vAlign w:val="bottom"/>
            <w:gridSpan w:val="2"/>
          </w:tcPr>
          <w:p>
            <w:pPr>
              <w:spacing w:after="0"/>
              <w:rPr>
                <w:sz w:val="24"/>
                <w:szCs w:val="24"/>
                <w:color w:val="auto"/>
              </w:rPr>
            </w:pPr>
          </w:p>
        </w:tc>
        <w:tc>
          <w:tcPr>
            <w:tcW w:w="1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453"/>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101.INS</w:t>
            </w: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432"/>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101.SCH</w:t>
            </w: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432"/>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101.CAL</w:t>
            </w: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432"/>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101.DEF</w:t>
            </w: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432"/>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101.LAB</w:t>
            </w: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432"/>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101.PRE</w:t>
            </w: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Filed with this report</w:t>
            </w:r>
          </w:p>
        </w:tc>
      </w:tr>
    </w:tbl>
    <w:p>
      <w:pPr>
        <w:spacing w:after="0" w:line="198" w:lineRule="exact"/>
        <w:rPr>
          <w:sz w:val="20"/>
          <w:szCs w:val="20"/>
          <w:color w:val="auto"/>
        </w:rPr>
      </w:pPr>
    </w:p>
    <w:p>
      <w:pPr>
        <w:ind w:left="1380" w:right="4300" w:hanging="940"/>
        <w:spacing w:after="0" w:line="282" w:lineRule="auto"/>
        <w:tabs>
          <w:tab w:leader="none" w:pos="13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460" w:hanging="391"/>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601(b)(10) of Regulation S-K.</w:t>
      </w:r>
    </w:p>
    <w:p>
      <w:pPr>
        <w:spacing w:after="0" w:line="225" w:lineRule="exact"/>
        <w:rPr>
          <w:sz w:val="20"/>
          <w:szCs w:val="20"/>
          <w:color w:val="auto"/>
        </w:rPr>
      </w:pPr>
    </w:p>
    <w:p>
      <w:pPr>
        <w:jc w:val="both"/>
        <w:ind w:left="460" w:hanging="391"/>
        <w:spacing w:after="0" w:line="266"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76" w:lineRule="exact"/>
        <w:rPr>
          <w:sz w:val="20"/>
          <w:szCs w:val="20"/>
          <w:color w:val="auto"/>
        </w:rPr>
      </w:pPr>
    </w:p>
    <w:p>
      <w:pPr>
        <w:ind w:left="460" w:hanging="391"/>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ind w:left="460" w:right="20" w:hanging="391"/>
        <w:spacing w:after="0" w:line="532"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have been omitted. A copy of any omitted schedule or exhibit will be furnished to the SEC supplementally upon request. The Company will furnish to stockholders a copy of any exhibit without charge upon written request.</w:t>
      </w:r>
    </w:p>
    <w:p>
      <w:pPr>
        <w:sectPr>
          <w:pgSz w:w="11900" w:h="16838" w:orient="portrait"/>
          <w:cols w:equalWidth="0" w:num="1">
            <w:col w:w="11160"/>
          </w:cols>
          <w:pgMar w:left="320" w:top="108" w:right="4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3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Harvard Bioscience, Inc.</w:t>
            </w:r>
          </w:p>
        </w:tc>
      </w:tr>
      <w:tr>
        <w:trPr>
          <w:trHeight w:val="39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
        </w:trPr>
        <w:tc>
          <w:tcPr>
            <w:tcW w:w="46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191"/>
        </w:trPr>
        <w:tc>
          <w:tcPr>
            <w:tcW w:w="39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Biochrom Limited</w:t>
            </w:r>
          </w:p>
        </w:tc>
        <w:tc>
          <w:tcPr>
            <w:tcW w:w="172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Biochrom US, Inc.</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Microdialysis Ab</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International, Inc.</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(UK) Mn, Ltd.</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Eurl</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GmbH</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DSI (Shanghai) Trading Co Ltd.</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Harvard Bioscience (Shanghai) Co. Ltd.</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Hugo Sachs Elektronik - Harvard Apparatus GmbH</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Multichannel Systems MCS GmbH</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Panlab S.L.</w:t>
            </w:r>
          </w:p>
        </w:tc>
        <w:tc>
          <w:tcPr>
            <w:tcW w:w="17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issued our reports dated March 7, 2024, with respect to the consolidated financial statements and internal control over financial reporting included in the Annual Report of Harvard Bioscience, Inc. on Form 10-K for the year ended December 31, 2023. We consent to the incorporation by reference of said reports in the Registration Statements of Harvard Bioscience, Inc. on Forms S-8 (File No. 333-249943, File No. 333-53848, File No. 333-104544, File No. 333-135418 File No. 333-151003, File No. 333-174476, File No. 333-189175, File No. 333-204760, File No. 333-218497, File No. 333-225365, File No. 333-231825, File No. 333-256295, and File No. 333-265487).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Cote, certify that:</w:t>
      </w:r>
    </w:p>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Cote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Green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her knowledge that the Company’s annual report on Form 10-K for the year ended December 31, 2023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Jennifer Cote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60"/>
          </w:cols>
          <w:pgMar w:left="30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annual report on Form 10-K for the year ended December 31, 2023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Green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60"/>
          </w:cols>
          <w:pgMar w:left="30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u w:val="single" w:color="auto"/>
          <w:color w:val="auto"/>
        </w:rPr>
        <w:t>HARVARD BIOSCIENCE, INC. DODD-FRANK CLAWBACK POLICY</w:t>
      </w:r>
    </w:p>
    <w:p>
      <w:pPr>
        <w:spacing w:after="0" w:line="229"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8"/>
          <w:szCs w:val="18"/>
          <w:color w:val="auto"/>
        </w:rPr>
        <w:t>This document sets forth the Dodd-Frank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as adopted by Harvard Bioscience, Inc. (the “Company”) on October 31,</w:t>
      </w:r>
    </w:p>
    <w:p>
      <w:pPr>
        <w:spacing w:after="0" w:line="27" w:lineRule="exact"/>
        <w:rPr>
          <w:sz w:val="20"/>
          <w:szCs w:val="20"/>
          <w:color w:val="auto"/>
        </w:rPr>
      </w:pPr>
    </w:p>
    <w:p>
      <w:pPr>
        <w:ind w:left="8" w:right="500"/>
        <w:spacing w:after="0" w:line="255" w:lineRule="auto"/>
        <w:rPr>
          <w:sz w:val="20"/>
          <w:szCs w:val="20"/>
          <w:color w:val="auto"/>
        </w:rPr>
      </w:pPr>
      <w:r>
        <w:rPr>
          <w:rFonts w:ascii="Times New Roman" w:cs="Times New Roman" w:eastAsia="Times New Roman" w:hAnsi="Times New Roman"/>
          <w:sz w:val="18"/>
          <w:szCs w:val="18"/>
          <w:color w:val="auto"/>
        </w:rPr>
        <w:t>2023. This Policy shall be interpreted to comply with the clawback rules found in 17 C.F.R. §240.10D and the related listing rules of the national securities exchange or national securities association (“Exchange”) on which the Company has listed securities, and, to the extent this Policy is any manner deemed inconsistent with such rules, this Policy shall be treated as retroactively amended to be compliant with such rules.</w:t>
      </w:r>
    </w:p>
    <w:p>
      <w:pPr>
        <w:spacing w:after="0" w:line="186" w:lineRule="exact"/>
        <w:rPr>
          <w:sz w:val="20"/>
          <w:szCs w:val="20"/>
          <w:color w:val="auto"/>
        </w:rPr>
      </w:pPr>
    </w:p>
    <w:p>
      <w:pPr>
        <w:ind w:left="8" w:right="140" w:hanging="8"/>
        <w:spacing w:after="0" w:line="282" w:lineRule="auto"/>
        <w:tabs>
          <w:tab w:leader="none" w:pos="2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17 C.F.R. §240.10D-1(d) defines the terms “Executive Officer,” “Financial Reporting Measures,” “Incentive-Based Compensation,” and “Received.” As used herein, these terms shall have the same meaning as in that regulation.</w:t>
      </w:r>
    </w:p>
    <w:p>
      <w:pPr>
        <w:spacing w:after="0" w:line="161" w:lineRule="exact"/>
        <w:rPr>
          <w:rFonts w:ascii="Times New Roman" w:cs="Times New Roman" w:eastAsia="Times New Roman" w:hAnsi="Times New Roman"/>
          <w:sz w:val="18"/>
          <w:szCs w:val="18"/>
          <w:color w:val="auto"/>
        </w:rPr>
      </w:pPr>
    </w:p>
    <w:p>
      <w:pPr>
        <w:ind w:left="8" w:right="120" w:hanging="8"/>
        <w:spacing w:after="0" w:line="261" w:lineRule="auto"/>
        <w:tabs>
          <w:tab w:leader="none" w:pos="2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the Policy</w:t>
      </w:r>
      <w:r>
        <w:rPr>
          <w:rFonts w:ascii="Times New Roman" w:cs="Times New Roman" w:eastAsia="Times New Roman" w:hAnsi="Times New Roman"/>
          <w:sz w:val="18"/>
          <w:szCs w:val="18"/>
          <w:color w:val="auto"/>
        </w:rPr>
        <w:t>. This Policy shall only apply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9" w:lineRule="exact"/>
        <w:rPr>
          <w:rFonts w:ascii="Times New Roman" w:cs="Times New Roman" w:eastAsia="Times New Roman" w:hAnsi="Times New Roman"/>
          <w:sz w:val="18"/>
          <w:szCs w:val="18"/>
          <w:color w:val="auto"/>
        </w:rPr>
      </w:pPr>
    </w:p>
    <w:p>
      <w:pPr>
        <w:ind w:left="8" w:right="20" w:hanging="8"/>
        <w:spacing w:after="0" w:line="261" w:lineRule="auto"/>
        <w:tabs>
          <w:tab w:leader="none" w:pos="2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Period</w:t>
      </w:r>
      <w:r>
        <w:rPr>
          <w:rFonts w:ascii="Times New Roman" w:cs="Times New Roman" w:eastAsia="Times New Roman" w:hAnsi="Times New Roman"/>
          <w:sz w:val="18"/>
          <w:szCs w:val="18"/>
          <w:color w:val="auto"/>
        </w:rPr>
        <w:t>. The Incentive-Based Compensation subject to clawback is the Incentive-Based Compensation Received during the three completed fiscal years immediately preceding the date that the Company is required to prepare an accounting restatement as described in section 2, provided that the person served as an Executive Officer at any time during the performance period applicable to the Incentive-Based Compensation in question. The date that the Company is required to prepare an accounting restatement shall be determined pursuant to 17 C.F.R. §240.10D-1(b)(1)(ii).</w:t>
      </w:r>
    </w:p>
    <w:p>
      <w:pPr>
        <w:spacing w:after="0" w:line="179" w:lineRule="exact"/>
        <w:rPr>
          <w:rFonts w:ascii="Times New Roman" w:cs="Times New Roman" w:eastAsia="Times New Roman" w:hAnsi="Times New Roman"/>
          <w:sz w:val="18"/>
          <w:szCs w:val="18"/>
          <w:color w:val="auto"/>
        </w:rPr>
      </w:pPr>
    </w:p>
    <w:p>
      <w:pPr>
        <w:ind w:left="488" w:right="20" w:hanging="2"/>
        <w:spacing w:after="0" w:line="282" w:lineRule="auto"/>
        <w:tabs>
          <w:tab w:leader="none" w:pos="73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Policy shall only apply if the Incentive-Based Compensation is Received (1) while the Company has a class of securities listed on an Exchange and (2) on or after October 2, 2023.</w:t>
      </w:r>
    </w:p>
    <w:p>
      <w:pPr>
        <w:spacing w:after="0" w:line="161" w:lineRule="exact"/>
        <w:rPr>
          <w:rFonts w:ascii="Times New Roman" w:cs="Times New Roman" w:eastAsia="Times New Roman" w:hAnsi="Times New Roman"/>
          <w:sz w:val="18"/>
          <w:szCs w:val="18"/>
          <w:color w:val="auto"/>
        </w:rPr>
      </w:pPr>
    </w:p>
    <w:p>
      <w:pPr>
        <w:ind w:left="488" w:right="320" w:hanging="2"/>
        <w:spacing w:after="0" w:line="282" w:lineRule="auto"/>
        <w:tabs>
          <w:tab w:leader="none" w:pos="74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17 C.F.R. §240.10D-1(b)(1)(i) for certain circumstances under which the Policy will apply to Incentive-Based Compensation Received during a transition period arising due to a change in the Company’s fiscal year.</w:t>
      </w:r>
    </w:p>
    <w:p>
      <w:pPr>
        <w:spacing w:after="0" w:line="161" w:lineRule="exact"/>
        <w:rPr>
          <w:rFonts w:ascii="Times New Roman" w:cs="Times New Roman" w:eastAsia="Times New Roman" w:hAnsi="Times New Roman"/>
          <w:sz w:val="18"/>
          <w:szCs w:val="18"/>
          <w:color w:val="auto"/>
        </w:rPr>
      </w:pPr>
    </w:p>
    <w:p>
      <w:pPr>
        <w:ind w:left="8" w:right="140" w:hanging="8"/>
        <w:spacing w:after="0" w:line="254" w:lineRule="auto"/>
        <w:tabs>
          <w:tab w:leader="none" w:pos="2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The amount of Incentive-Based Compensation subject to recovery under this Policy (“Erroneously Awarded Compensation”) is the amount of Incentive-Based Compensation Received that exceeds the amount of Incentive Based-Compensation that otherwise would have been Received had it been determined based on the restated amounts and shall be computed without regard to any taxes paid. For Incentive-Based Compensation based on the Company’s stock price or total shareholder return, where the amount of Erroneously Awarded Compensation is not subject to mathematical recalculation directly from the information in an accounting restatement: (1) the amount shall be based on a reasonable estimate of the effect of the accounting restatement on the Company’s stock price or total shareholder return upon which the Incentive-Based Compensation was Received; and (2) the Company must maintain documentation of the determination of that reasonable estimate and provide such documentation to the Exchange.</w:t>
      </w:r>
    </w:p>
    <w:p>
      <w:pPr>
        <w:spacing w:after="0" w:line="191" w:lineRule="exact"/>
        <w:rPr>
          <w:rFonts w:ascii="Times New Roman" w:cs="Times New Roman" w:eastAsia="Times New Roman" w:hAnsi="Times New Roman"/>
          <w:sz w:val="18"/>
          <w:szCs w:val="18"/>
          <w:color w:val="auto"/>
        </w:rPr>
      </w:pPr>
    </w:p>
    <w:p>
      <w:pPr>
        <w:ind w:left="8" w:right="120" w:hanging="8"/>
        <w:spacing w:after="0" w:line="256" w:lineRule="auto"/>
        <w:tabs>
          <w:tab w:leader="none" w:pos="2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recover reasonably promptly any Erroneously Awarded Compensation except to the extent that the conditions of paragraphs (a), (b), or (c) below apply. The Compensation Committee of the Board of Directors of the Company (the “Committee”) shall determine the repayment schedule for each amount of Erroneously Awarded Compensation in a manner that complies with this “reasonably promptly” requirement. Such determination shall be consistent with any applicable legal guidance, by the U.S. Securities and Exchange Commission (the “SEC”), judicial opinion, or otherwise. The determination of “reasonably promptly” may vary from case to case and the Committee is authorized to adopt additional rules to further describe what repayment schedules satisfy this requirement.</w:t>
      </w:r>
    </w:p>
    <w:p>
      <w:pPr>
        <w:spacing w:after="0" w:line="187" w:lineRule="exact"/>
        <w:rPr>
          <w:rFonts w:ascii="Times New Roman" w:cs="Times New Roman" w:eastAsia="Times New Roman" w:hAnsi="Times New Roman"/>
          <w:sz w:val="18"/>
          <w:szCs w:val="18"/>
          <w:color w:val="auto"/>
        </w:rPr>
      </w:pPr>
    </w:p>
    <w:p>
      <w:pPr>
        <w:ind w:left="488" w:right="40" w:hanging="2"/>
        <w:spacing w:after="0" w:line="258" w:lineRule="auto"/>
        <w:tabs>
          <w:tab w:leader="none" w:pos="73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183" w:lineRule="exact"/>
        <w:rPr>
          <w:rFonts w:ascii="Times New Roman" w:cs="Times New Roman" w:eastAsia="Times New Roman" w:hAnsi="Times New Roman"/>
          <w:sz w:val="18"/>
          <w:szCs w:val="18"/>
          <w:color w:val="auto"/>
        </w:rPr>
      </w:pPr>
    </w:p>
    <w:p>
      <w:pPr>
        <w:ind w:left="488" w:right="240" w:hanging="2"/>
        <w:spacing w:after="0" w:line="261" w:lineRule="auto"/>
        <w:tabs>
          <w:tab w:leader="none" w:pos="74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348615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117" w:right="339" w:bottom="1440" w:gutter="0" w:footer="0" w:header="0"/>
        </w:sectPr>
      </w:pPr>
    </w:p>
    <w:bookmarkStart w:id="66" w:name="page67"/>
    <w:bookmarkEnd w:id="66"/>
    <w:p>
      <w:pPr>
        <w:jc w:val="both"/>
        <w:ind w:left="488" w:right="180" w:hanging="2"/>
        <w:spacing w:after="0" w:line="266" w:lineRule="auto"/>
        <w:tabs>
          <w:tab w:leader="none" w:pos="7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w:t>
      </w:r>
    </w:p>
    <w:p>
      <w:pPr>
        <w:spacing w:after="0" w:line="175" w:lineRule="exact"/>
        <w:rPr>
          <w:rFonts w:ascii="Times New Roman" w:cs="Times New Roman" w:eastAsia="Times New Roman" w:hAnsi="Times New Roman"/>
          <w:sz w:val="18"/>
          <w:szCs w:val="18"/>
          <w:color w:val="auto"/>
        </w:rPr>
      </w:pPr>
    </w:p>
    <w:p>
      <w:pPr>
        <w:ind w:left="8" w:right="100" w:hanging="8"/>
        <w:spacing w:after="0" w:line="282" w:lineRule="auto"/>
        <w:tabs>
          <w:tab w:leader="none" w:pos="2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Decisions</w:t>
      </w:r>
      <w:r>
        <w:rPr>
          <w:rFonts w:ascii="Times New Roman" w:cs="Times New Roman" w:eastAsia="Times New Roman" w:hAnsi="Times New Roman"/>
          <w:sz w:val="18"/>
          <w:szCs w:val="18"/>
          <w:color w:val="auto"/>
        </w:rPr>
        <w:t>. Decisions of the Committee with respect to this Policy shall be final, conclusive and binding on all Executive Officers subject to this policy, unless determined to be an abuse of discretion.</w:t>
      </w:r>
    </w:p>
    <w:p>
      <w:pPr>
        <w:spacing w:after="0" w:line="161" w:lineRule="exact"/>
        <w:rPr>
          <w:rFonts w:ascii="Times New Roman" w:cs="Times New Roman" w:eastAsia="Times New Roman" w:hAnsi="Times New Roman"/>
          <w:sz w:val="18"/>
          <w:szCs w:val="18"/>
          <w:color w:val="auto"/>
        </w:rPr>
      </w:pPr>
    </w:p>
    <w:p>
      <w:pPr>
        <w:ind w:left="8" w:right="60" w:hanging="8"/>
        <w:spacing w:after="0" w:line="266" w:lineRule="auto"/>
        <w:tabs>
          <w:tab w:leader="none" w:pos="2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Indemnification</w:t>
      </w:r>
      <w:r>
        <w:rPr>
          <w:rFonts w:ascii="Times New Roman" w:cs="Times New Roman" w:eastAsia="Times New Roman" w:hAnsi="Times New Roman"/>
          <w:sz w:val="18"/>
          <w:szCs w:val="18"/>
          <w:color w:val="auto"/>
        </w:rPr>
        <w:t>. Notwithstanding anything to the contrary in any other policy of the Company or any agreement between the Company and an Executive Officer, no Executive Officer shall be indemnified by the Company against the loss of any Erroneously Awarded Compensation or any claims related to the Company’s enforcement of its rights under this Policy.</w:t>
      </w:r>
    </w:p>
    <w:p>
      <w:pPr>
        <w:spacing w:after="0" w:line="175" w:lineRule="exact"/>
        <w:rPr>
          <w:rFonts w:ascii="Times New Roman" w:cs="Times New Roman" w:eastAsia="Times New Roman" w:hAnsi="Times New Roman"/>
          <w:sz w:val="18"/>
          <w:szCs w:val="18"/>
          <w:color w:val="auto"/>
        </w:rPr>
      </w:pPr>
    </w:p>
    <w:p>
      <w:pPr>
        <w:ind w:left="8" w:right="240" w:hanging="8"/>
        <w:spacing w:after="0" w:line="289" w:lineRule="auto"/>
        <w:tabs>
          <w:tab w:leader="none" w:pos="23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to Policy by Executive Officers</w:t>
      </w:r>
      <w:r>
        <w:rPr>
          <w:rFonts w:ascii="Times New Roman" w:cs="Times New Roman" w:eastAsia="Times New Roman" w:hAnsi="Times New Roman"/>
          <w:sz w:val="17"/>
          <w:szCs w:val="17"/>
          <w:color w:val="auto"/>
        </w:rPr>
        <w:t>. The Committee shall take reasonable steps to inform Executive Officers of this Policy and obtain their agreement to this Policy, which steps may include the inclusion of this Policy as an attachment to, or reference to this Policy in, any award that is accepted by the Executive Officer, or by reference to the Company’s clawback policies in any plan or arrangement under which an award is provided.</w:t>
      </w:r>
    </w:p>
    <w:p>
      <w:pPr>
        <w:spacing w:after="0" w:line="157" w:lineRule="exact"/>
        <w:rPr>
          <w:rFonts w:ascii="Times New Roman" w:cs="Times New Roman" w:eastAsia="Times New Roman" w:hAnsi="Times New Roman"/>
          <w:sz w:val="17"/>
          <w:szCs w:val="17"/>
          <w:color w:val="auto"/>
        </w:rPr>
      </w:pPr>
    </w:p>
    <w:p>
      <w:pPr>
        <w:ind w:left="8" w:hanging="8"/>
        <w:spacing w:after="0" w:line="254" w:lineRule="auto"/>
        <w:tabs>
          <w:tab w:leader="none" w:pos="2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Recovery Rights</w:t>
      </w:r>
      <w:r>
        <w:rPr>
          <w:rFonts w:ascii="Times New Roman" w:cs="Times New Roman" w:eastAsia="Times New Roman" w:hAnsi="Times New Roman"/>
          <w:sz w:val="18"/>
          <w:szCs w:val="18"/>
          <w:color w:val="auto"/>
        </w:rPr>
        <w:t>.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 (individually or collectively, an “Arrangement”). The Committee may, subject to applicable law and in its sole discretion, seek recovery under such Arrangement of amounts in excess of the amount subject to recovery under this Policy. Notwithstanding the foregoing, there shall be no duplication of recovery of the same Erroneously Awarded Compensation under this Policy, unless required by applicable law.</w:t>
      </w:r>
    </w:p>
    <w:p>
      <w:pPr>
        <w:spacing w:after="0" w:line="191" w:lineRule="exact"/>
        <w:rPr>
          <w:rFonts w:ascii="Times New Roman" w:cs="Times New Roman" w:eastAsia="Times New Roman" w:hAnsi="Times New Roman"/>
          <w:sz w:val="18"/>
          <w:szCs w:val="18"/>
          <w:color w:val="auto"/>
        </w:rPr>
      </w:pPr>
    </w:p>
    <w:p>
      <w:pPr>
        <w:ind w:left="8" w:right="400" w:hanging="8"/>
        <w:spacing w:after="0" w:line="261" w:lineRule="auto"/>
        <w:tabs>
          <w:tab w:leader="none" w:pos="2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Committee may amend this Policy from time to time in its discretion and shall amend this Policy as it deems necessary. Notwithstanding anything in this Section 10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Exchange rule.</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Adopted: October 31, 2023</w:t>
      </w:r>
    </w:p>
    <w:sectPr>
      <w:pgSz w:w="11900" w:h="16838" w:orient="portrait"/>
      <w:cols w:equalWidth="0" w:num="1">
        <w:col w:w="11028"/>
      </w:cols>
      <w:pgMar w:left="472" w:top="5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lowerLetter"/>
      <w:start w:val="3"/>
    </w:lvl>
  </w:abstractNum>
  <w:abstractNum w:abstractNumId="9">
    <w:nsid w:val="79838CB2"/>
    <w:multiLevelType w:val="hybridMultilevel"/>
    <w:lvl w:ilvl="0">
      <w:lvlJc w:val="left"/>
      <w:lvlText w:val="(%1)"/>
      <w:numFmt w:val="lowerLetter"/>
      <w:start w:val="4"/>
    </w:lvl>
  </w:abstractNum>
  <w:abstractNum w:abstractNumId="10">
    <w:nsid w:val="4353D0CD"/>
    <w:multiLevelType w:val="hybridMultilevel"/>
    <w:lvl w:ilvl="0">
      <w:lvlJc w:val="left"/>
      <w:lvlText w:val="(%1)"/>
      <w:numFmt w:val="lowerLetter"/>
      <w:start w:val="5"/>
    </w:lvl>
  </w:abstractNum>
  <w:abstractNum w:abstractNumId="11">
    <w:nsid w:val="B03E0C6"/>
    <w:multiLevelType w:val="hybridMultilevel"/>
    <w:lvl w:ilvl="0">
      <w:lvlJc w:val="left"/>
      <w:lvlText w:val="(%1)"/>
      <w:numFmt w:val="lowerLetter"/>
      <w:start w:val="1"/>
    </w:lvl>
    <w:lvl w:ilvl="1">
      <w:lvlJc w:val="left"/>
      <w:lvlText w:val="(%2)"/>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2"/>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3"/>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4"/>
    </w:lvl>
  </w:abstractNum>
  <w:abstractNum w:abstractNumId="18">
    <w:nsid w:val="3A95F874"/>
    <w:multiLevelType w:val="hybridMultilevel"/>
    <w:lvl w:ilvl="0">
      <w:lvlJc w:val="left"/>
      <w:lvlText w:val="%1."/>
      <w:numFmt w:val="decimal"/>
      <w:start w:val="6"/>
    </w:lvl>
  </w:abstractNum>
  <w:abstractNum w:abstractNumId="19">
    <w:nsid w:val="8138641"/>
    <w:multiLevelType w:val="hybridMultilevel"/>
    <w:lvl w:ilvl="0">
      <w:lvlJc w:val="left"/>
      <w:lvlText w:val="%1."/>
      <w:numFmt w:val="decimal"/>
      <w:start w:val="7"/>
    </w:lvl>
  </w:abstractNum>
  <w:abstractNum w:abstractNumId="20">
    <w:nsid w:val="1E7FF521"/>
    <w:multiLevelType w:val="hybridMultilevel"/>
    <w:lvl w:ilvl="0">
      <w:lvlJc w:val="left"/>
      <w:lvlText w:val="%1."/>
      <w:numFmt w:val="decimal"/>
      <w:start w:val="8"/>
    </w:lvl>
  </w:abstractNum>
  <w:abstractNum w:abstractNumId="21">
    <w:nsid w:val="7C3DBD3D"/>
    <w:multiLevelType w:val="hybridMultilevel"/>
    <w:lvl w:ilvl="0">
      <w:lvlJc w:val="left"/>
      <w:lvlText w:val="%1."/>
      <w:numFmt w:val="decimal"/>
      <w:start w:val="9"/>
    </w:lvl>
  </w:abstractNum>
  <w:abstractNum w:abstractNumId="22">
    <w:nsid w:val="737B8DDC"/>
    <w:multiLevelType w:val="hybridMultilevel"/>
    <w:lvl w:ilvl="0">
      <w:lvlJc w:val="left"/>
      <w:lvlText w:val="%1."/>
      <w:numFmt w:val="decimal"/>
      <w:start w:val="10"/>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decimal"/>
      <w:start w:val="12"/>
    </w:lvl>
  </w:abstractNum>
  <w:abstractNum w:abstractNumId="25">
    <w:nsid w:val="4516DDE9"/>
    <w:multiLevelType w:val="hybridMultilevel"/>
    <w:lvl w:ilvl="0">
      <w:lvlJc w:val="left"/>
      <w:lvlText w:val="%1."/>
      <w:numFmt w:val="decimal"/>
      <w:start w:val="13"/>
    </w:lvl>
  </w:abstractNum>
  <w:abstractNum w:abstractNumId="26">
    <w:nsid w:val="3006C83E"/>
    <w:multiLevelType w:val="hybridMultilevel"/>
    <w:lvl w:ilvl="0">
      <w:lvlJc w:val="left"/>
      <w:lvlText w:val="%1."/>
      <w:numFmt w:val="decimal"/>
      <w:start w:val="14"/>
    </w:lvl>
  </w:abstractNum>
  <w:abstractNum w:abstractNumId="27">
    <w:nsid w:val="614FD4A1"/>
    <w:multiLevelType w:val="hybridMultilevel"/>
    <w:lvl w:ilvl="0">
      <w:lvlJc w:val="left"/>
      <w:lvlText w:val="%1."/>
      <w:numFmt w:val="decimal"/>
      <w:start w:val="15"/>
    </w:lvl>
  </w:abstractNum>
  <w:abstractNum w:abstractNumId="28">
    <w:nsid w:val="419AC241"/>
    <w:multiLevelType w:val="hybridMultilevel"/>
    <w:lvl w:ilvl="0">
      <w:lvlJc w:val="left"/>
      <w:lvlText w:val="%1."/>
      <w:numFmt w:val="decimal"/>
      <w:start w:val="16"/>
    </w:lvl>
  </w:abstractNum>
  <w:abstractNum w:abstractNumId="29">
    <w:nsid w:val="5577F8E1"/>
    <w:multiLevelType w:val="hybridMultilevel"/>
    <w:lvl w:ilvl="0">
      <w:lvlJc w:val="left"/>
      <w:lvlText w:val="%1."/>
      <w:numFmt w:val="decimal"/>
      <w:start w:val="17"/>
    </w:lvl>
  </w:abstractNum>
  <w:abstractNum w:abstractNumId="30">
    <w:nsid w:val="440BADFC"/>
    <w:multiLevelType w:val="hybridMultilevel"/>
    <w:lvl w:ilvl="0">
      <w:lvlJc w:val="left"/>
      <w:lvlText w:val="%1."/>
      <w:numFmt w:val="decimal"/>
      <w:start w:val="18"/>
    </w:lvl>
  </w:abstractNum>
  <w:abstractNum w:abstractNumId="31">
    <w:nsid w:val="5072367"/>
    <w:multiLevelType w:val="hybridMultilevel"/>
    <w:lvl w:ilvl="0">
      <w:lvlJc w:val="left"/>
      <w:lvlText w:val="+"/>
      <w:numFmt w:val="bullet"/>
      <w:start w:val="1"/>
    </w:lvl>
    <w:lvl w:ilvl="1">
      <w:lvlJc w:val="left"/>
      <w:lvlText w:val="%2"/>
      <w:numFmt w:val="decimal"/>
      <w:start w:val="104"/>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3"/>
    </w:lvl>
  </w:abstractNum>
  <w:abstractNum w:abstractNumId="39">
    <w:nsid w:val="2D517796"/>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6" Type="http://schemas.openxmlformats.org/officeDocument/2006/relationships/image" Target="media/image86.png"/><Relationship Id="rId110" Type="http://schemas.openxmlformats.org/officeDocument/2006/relationships/image" Target="media/image87.png"/><Relationship Id="rId124" Type="http://schemas.openxmlformats.org/officeDocument/2006/relationships/image" Target="media/image88.png"/><Relationship Id="rId93" Type="http://schemas.openxmlformats.org/officeDocument/2006/relationships/hyperlink" Target="http://www.sec.gov/Archives/edgar/data/1123494/000114420413059290/v359438_ex2-1.htm" TargetMode="External"/><Relationship Id="rId94" Type="http://schemas.openxmlformats.org/officeDocument/2006/relationships/hyperlink" Target="http://www.sec.gov/Archives/edgar/data/1123494/000091205700047957/a2029062zex-3_2.txt" TargetMode="External"/><Relationship Id="rId95" Type="http://schemas.openxmlformats.org/officeDocument/2006/relationships/hyperlink" Target="http://www.sec.gov/Archives/edgar/data/1123494/000091205700047957/a2029062zex-3_3.txt" TargetMode="External"/><Relationship Id="rId97" Type="http://schemas.openxmlformats.org/officeDocument/2006/relationships/hyperlink" Target="http://www.sec.gov/Archives/edgar/data/1123494/000119312507232564/dex31.htm" TargetMode="External"/><Relationship Id="rId98" Type="http://schemas.openxmlformats.org/officeDocument/2006/relationships/hyperlink" Target="http://www.sec.gov/Archives/edgar/data/1123494/000091205700047957/a2029062zex-4_1.txt" TargetMode="External"/><Relationship Id="rId99" Type="http://schemas.openxmlformats.org/officeDocument/2006/relationships/hyperlink" Target="http://www.sec.gov/Archives/edgar/data/0001123494/000117184320001755/exh_42.htm" TargetMode="External"/><Relationship Id="rId100" Type="http://schemas.openxmlformats.org/officeDocument/2006/relationships/hyperlink" Target="http://www.sec.gov/Archives/edgar/data/0001123494/000117184320005789/ex_196561.htm" TargetMode="External"/><Relationship Id="rId101" Type="http://schemas.openxmlformats.org/officeDocument/2006/relationships/hyperlink" Target="http://www.sec.gov/Archives/edgar/data/1123494/000117184322002450/def14a_040722.htm" TargetMode="External"/><Relationship Id="rId102" Type="http://schemas.openxmlformats.org/officeDocument/2006/relationships/hyperlink" Target="http://www.sec.gov/Archives/edgar/data/0001123494/000117184320003556/exh_102.htm" TargetMode="External"/><Relationship Id="rId103" Type="http://schemas.openxmlformats.org/officeDocument/2006/relationships/hyperlink" Target="http://www.sec.gov/Archives/edgar/data/1123494/000117184323001566/ex_484741.htm" TargetMode="External"/><Relationship Id="rId104" Type="http://schemas.openxmlformats.org/officeDocument/2006/relationships/hyperlink" Target="http://www.sec.gov/Archives/edgar/data/1123494/000110465906017303/a06-2607_1ex10d27.htm" TargetMode="External"/><Relationship Id="rId105" Type="http://schemas.openxmlformats.org/officeDocument/2006/relationships/hyperlink" Target="http://www.sec.gov/Archives/edgar/data/1123494/000110465906017303/a06-2607_1ex10d28.htm" TargetMode="External"/><Relationship Id="rId106" Type="http://schemas.openxmlformats.org/officeDocument/2006/relationships/hyperlink" Target="http://www.sec.gov/Archives/edgar/data/1123494/000110465906017303/a06-2607_1ex10d29.htm" TargetMode="External"/><Relationship Id="rId107" Type="http://schemas.openxmlformats.org/officeDocument/2006/relationships/hyperlink" Target="http://www.sec.gov/Archives/edgar/data/1123494/000119312511068577/dex1026.htm" TargetMode="External"/><Relationship Id="rId108" Type="http://schemas.openxmlformats.org/officeDocument/2006/relationships/hyperlink" Target="http://www.sec.gov/Archives/edgar/data/0001123494/000117184320001755/exh_1012.htm" TargetMode="External"/><Relationship Id="rId109" Type="http://schemas.openxmlformats.org/officeDocument/2006/relationships/hyperlink" Target="http://www.sec.gov/Archives/edgar/data/1123494/000117184319004441/exh_101.htm" TargetMode="External"/><Relationship Id="rId111" Type="http://schemas.openxmlformats.org/officeDocument/2006/relationships/hyperlink" Target="http://www.sec.gov/Archives/edgar/data/1123494/000117184323003988/exh_101.htm" TargetMode="External"/><Relationship Id="rId112" Type="http://schemas.openxmlformats.org/officeDocument/2006/relationships/hyperlink" Target="http://www.sec.gov/Archives/edgar/data/1123494/000117184320001543/exh_101.htm" TargetMode="External"/><Relationship Id="rId113" Type="http://schemas.openxmlformats.org/officeDocument/2006/relationships/hyperlink" Target="http://www.sec.gov/Archives/edgar/data/1123494/000117184320008774/exh_101.htm" TargetMode="External"/><Relationship Id="rId114" Type="http://schemas.openxmlformats.org/officeDocument/2006/relationships/hyperlink" Target="http://www.sec.gov/Archives/edgar/data/1123494/000117184320008774/exh_102.htm" TargetMode="External"/><Relationship Id="rId115" Type="http://schemas.openxmlformats.org/officeDocument/2006/relationships/hyperlink" Target="http://www.sec.gov/Archives/edgar/data/0001123494/000119380522000698/e621557_ex10-1.htm" TargetMode="External"/><Relationship Id="rId116" Type="http://schemas.openxmlformats.org/officeDocument/2006/relationships/hyperlink" Target="http://www.sec.gov/Archives/edgar/data/1123494/000117184322007249/ex_444158.htm" TargetMode="External"/><Relationship Id="rId117" Type="http://schemas.openxmlformats.org/officeDocument/2006/relationships/hyperlink" Target="http://www.sec.gov/Archives/edgar/data/0001123494/000117184320008774/exh_103.htm" TargetMode="External"/><Relationship Id="rId118" Type="http://schemas.openxmlformats.org/officeDocument/2006/relationships/hyperlink" Target="http://www.sec.gov/Archives/edgar/data/1123494/000117184321003642/exh_101.htm" TargetMode="External"/><Relationship Id="rId119" Type="http://schemas.openxmlformats.org/officeDocument/2006/relationships/hyperlink" Target="http://www.sec.gov/Archives/edgar/data/1123494/000117184322001806/ex_344349.htm" TargetMode="External"/><Relationship Id="rId120" Type="http://schemas.openxmlformats.org/officeDocument/2006/relationships/hyperlink" Target="http://www.sec.gov/Archives/edgar/data/1123494/000117184322001806/ex_344351.htm" TargetMode="External"/><Relationship Id="rId121" Type="http://schemas.openxmlformats.org/officeDocument/2006/relationships/hyperlink" Target="http://www.sec.gov/Archives/edgar/data/1123494/000117184322001806/ex_344350.htm" TargetMode="External"/><Relationship Id="rId122" Type="http://schemas.openxmlformats.org/officeDocument/2006/relationships/hyperlink" Target="http://www.sec.gov/Archives/edgar/data/1123494/000119380522000124/e621242_ex10-1.htm" TargetMode="External"/><Relationship Id="rId123" Type="http://schemas.openxmlformats.org/officeDocument/2006/relationships/hyperlink" Target="http://www.sec.gov/Archives/edgar/data/1123494/000117184323000339/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2024-03-07T16:18:59Z</dcterms:created>
  <dcterms:modified xsi:type="dcterms:W3CDTF">2024-03-07T16:18:59Z</dcterms:modified>
</cp:coreProperties>
</file>