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153035</wp:posOffset>
            </wp:positionH>
            <wp:positionV relativeFrom="page">
              <wp:posOffset>153035</wp:posOffset>
            </wp:positionV>
            <wp:extent cx="72555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5510" cy="8255"/>
                    </a:xfrm>
                    <a:prstGeom prst="rect">
                      <a:avLst/>
                    </a:prstGeom>
                    <a:noFill/>
                  </pic:spPr>
                </pic:pic>
              </a:graphicData>
            </a:graphic>
          </wp:anchor>
        </w:drawing>
        <w:drawing>
          <wp:anchor simplePos="0" relativeHeight="251657728" behindDoc="1" locked="0" layoutInCell="0" allowOverlap="1">
            <wp:simplePos x="0" y="0"/>
            <wp:positionH relativeFrom="page">
              <wp:posOffset>153035</wp:posOffset>
            </wp:positionH>
            <wp:positionV relativeFrom="page">
              <wp:posOffset>177165</wp:posOffset>
            </wp:positionV>
            <wp:extent cx="7255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551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2314575</wp:posOffset>
            </wp:positionH>
            <wp:positionV relativeFrom="paragraph">
              <wp:posOffset>140335</wp:posOffset>
            </wp:positionV>
            <wp:extent cx="2626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699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222" w:lineRule="exact"/>
        <w:rPr>
          <w:sz w:val="24"/>
          <w:szCs w:val="24"/>
          <w:color w:val="auto"/>
        </w:rPr>
      </w:pPr>
    </w:p>
    <w:p>
      <w:pPr>
        <w:ind w:left="4120" w:right="3980" w:hanging="3511"/>
        <w:spacing w:after="0" w:line="292" w:lineRule="auto"/>
        <w:tabs>
          <w:tab w:leader="none" w:pos="1328"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 For the fiscal year ended December 31, 2017</w:t>
      </w:r>
    </w:p>
    <w:tbl>
      <w:tblPr>
        <w:tblLayout w:type="fixed"/>
        <w:tblInd w:w="600" w:type="dxa"/>
        <w:tblCellMar>
          <w:top w:w="0" w:type="dxa"/>
          <w:left w:w="0" w:type="dxa"/>
          <w:bottom w:w="0" w:type="dxa"/>
          <w:right w:w="0" w:type="dxa"/>
        </w:tblCellMar>
      </w:tblPr>
      <w:tr>
        <w:trPr>
          <w:trHeight w:val="188"/>
        </w:trPr>
        <w:tc>
          <w:tcPr>
            <w:tcW w:w="440" w:type="dxa"/>
            <w:vAlign w:val="bottom"/>
            <w:vMerge w:val="restart"/>
          </w:tcPr>
          <w:p>
            <w:pPr>
              <w:spacing w:after="0" w:line="171" w:lineRule="exact"/>
              <w:rPr>
                <w:sz w:val="20"/>
                <w:szCs w:val="20"/>
                <w:color w:val="auto"/>
              </w:rPr>
            </w:pPr>
            <w:r>
              <w:rPr>
                <w:rFonts w:ascii="MS PGothic" w:cs="MS PGothic" w:eastAsia="MS PGothic" w:hAnsi="MS PGothic"/>
                <w:sz w:val="17"/>
                <w:szCs w:val="17"/>
                <w:color w:val="auto"/>
              </w:rPr>
              <w:t>☐</w:t>
            </w:r>
          </w:p>
        </w:tc>
        <w:tc>
          <w:tcPr>
            <w:tcW w:w="5420" w:type="dxa"/>
            <w:vAlign w:val="bottom"/>
          </w:tcPr>
          <w:p>
            <w:pPr>
              <w:jc w:val="center"/>
              <w:ind w:left="3856"/>
              <w:spacing w:after="0" w:line="188" w:lineRule="exact"/>
              <w:rPr>
                <w:sz w:val="20"/>
                <w:szCs w:val="20"/>
                <w:color w:val="auto"/>
              </w:rPr>
            </w:pPr>
            <w:r>
              <w:rPr>
                <w:rFonts w:ascii="Arial" w:cs="Arial" w:eastAsia="Arial" w:hAnsi="Arial"/>
                <w:sz w:val="17"/>
                <w:szCs w:val="17"/>
                <w:b w:val="1"/>
                <w:bCs w:val="1"/>
                <w:color w:val="auto"/>
                <w:w w:val="93"/>
              </w:rPr>
              <w:t>or</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0" w:type="dxa"/>
            <w:vAlign w:val="bottom"/>
            <w:vMerge w:val="continue"/>
          </w:tcPr>
          <w:p>
            <w:pPr>
              <w:spacing w:after="0"/>
              <w:rPr>
                <w:sz w:val="17"/>
                <w:szCs w:val="17"/>
                <w:color w:val="auto"/>
              </w:rPr>
            </w:pPr>
          </w:p>
        </w:tc>
        <w:tc>
          <w:tcPr>
            <w:tcW w:w="6600" w:type="dxa"/>
            <w:vAlign w:val="bottom"/>
            <w:gridSpan w:val="2"/>
          </w:tcPr>
          <w:p>
            <w:pPr>
              <w:ind w:left="280"/>
              <w:spacing w:after="0"/>
              <w:rPr>
                <w:sz w:val="20"/>
                <w:szCs w:val="20"/>
                <w:color w:val="auto"/>
              </w:rPr>
            </w:pPr>
            <w:r>
              <w:rPr>
                <w:rFonts w:ascii="Arial" w:cs="Arial" w:eastAsia="Arial" w:hAnsi="Arial"/>
                <w:sz w:val="17"/>
                <w:szCs w:val="17"/>
                <w:b w:val="1"/>
                <w:bCs w:val="1"/>
                <w:color w:val="auto"/>
                <w:w w:val="88"/>
              </w:rPr>
              <w:t>Transition report pursuant to Section 13 or 15(d) of the Securities Exchange Act of 1934</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5420" w:type="dxa"/>
            <w:vAlign w:val="bottom"/>
          </w:tcPr>
          <w:p>
            <w:pPr>
              <w:ind w:left="2940"/>
              <w:spacing w:after="0"/>
              <w:rPr>
                <w:sz w:val="20"/>
                <w:szCs w:val="20"/>
                <w:color w:val="auto"/>
              </w:rPr>
            </w:pPr>
            <w:r>
              <w:rPr>
                <w:rFonts w:ascii="Arial" w:cs="Arial" w:eastAsia="Arial" w:hAnsi="Arial"/>
                <w:sz w:val="17"/>
                <w:szCs w:val="17"/>
                <w:b w:val="1"/>
                <w:bCs w:val="1"/>
                <w:color w:val="auto"/>
              </w:rPr>
              <w:t>For the transition period from</w:t>
            </w:r>
          </w:p>
        </w:tc>
        <w:tc>
          <w:tcPr>
            <w:tcW w:w="1180" w:type="dxa"/>
            <w:vAlign w:val="bottom"/>
          </w:tcPr>
          <w:p>
            <w:pPr>
              <w:ind w:left="300"/>
              <w:spacing w:after="0"/>
              <w:rPr>
                <w:sz w:val="20"/>
                <w:szCs w:val="20"/>
                <w:color w:val="auto"/>
              </w:rPr>
            </w:pPr>
            <w:r>
              <w:rPr>
                <w:rFonts w:ascii="Arial" w:cs="Arial" w:eastAsia="Arial" w:hAnsi="Arial"/>
                <w:sz w:val="17"/>
                <w:szCs w:val="17"/>
                <w:b w:val="1"/>
                <w:bCs w:val="1"/>
                <w:color w:val="auto"/>
              </w:rPr>
              <w:t>to</w:t>
            </w: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6600" w:type="dxa"/>
            <w:vAlign w:val="bottom"/>
            <w:gridSpan w:val="2"/>
          </w:tcPr>
          <w:p>
            <w:pPr>
              <w:jc w:val="center"/>
              <w:ind w:left="2656"/>
              <w:spacing w:after="0"/>
              <w:rPr>
                <w:sz w:val="20"/>
                <w:szCs w:val="20"/>
                <w:color w:val="auto"/>
              </w:rPr>
            </w:pPr>
            <w:r>
              <w:rPr>
                <w:rFonts w:ascii="Arial" w:cs="Arial" w:eastAsia="Arial" w:hAnsi="Arial"/>
                <w:sz w:val="17"/>
                <w:szCs w:val="17"/>
                <w:b w:val="1"/>
                <w:bCs w:val="1"/>
                <w:color w:val="auto"/>
                <w:w w:val="90"/>
              </w:rPr>
              <w:t>Commission File Number 001-33957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2314575</wp:posOffset>
            </wp:positionH>
            <wp:positionV relativeFrom="paragraph">
              <wp:posOffset>137160</wp:posOffset>
            </wp:positionV>
            <wp:extent cx="2626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26995"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HARVARD BIOSCIENCE,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91" w:lineRule="exact"/>
        <w:rPr>
          <w:sz w:val="24"/>
          <w:szCs w:val="24"/>
          <w:color w:val="auto"/>
        </w:rPr>
      </w:pPr>
    </w:p>
    <w:tbl>
      <w:tblPr>
        <w:tblLayout w:type="fixed"/>
        <w:tblInd w:w="1840" w:type="dxa"/>
        <w:tblCellMar>
          <w:top w:w="0" w:type="dxa"/>
          <w:left w:w="0" w:type="dxa"/>
          <w:bottom w:w="0" w:type="dxa"/>
          <w:right w:w="0" w:type="dxa"/>
        </w:tblCellMar>
      </w:tblPr>
      <w:tr>
        <w:trPr>
          <w:trHeight w:val="206"/>
        </w:trPr>
        <w:tc>
          <w:tcPr>
            <w:tcW w:w="4080" w:type="dxa"/>
            <w:vAlign w:val="bottom"/>
          </w:tcPr>
          <w:p>
            <w:pPr>
              <w:jc w:val="center"/>
              <w:ind w:right="1956"/>
              <w:spacing w:after="0"/>
              <w:rPr>
                <w:sz w:val="20"/>
                <w:szCs w:val="20"/>
                <w:color w:val="auto"/>
              </w:rPr>
            </w:pPr>
            <w:r>
              <w:rPr>
                <w:rFonts w:ascii="Arial" w:cs="Arial" w:eastAsia="Arial" w:hAnsi="Arial"/>
                <w:sz w:val="17"/>
                <w:szCs w:val="17"/>
                <w:b w:val="1"/>
                <w:bCs w:val="1"/>
                <w:color w:val="auto"/>
                <w:w w:val="91"/>
              </w:rPr>
              <w:t>Delaware</w:t>
            </w:r>
          </w:p>
        </w:tc>
        <w:tc>
          <w:tcPr>
            <w:tcW w:w="3280" w:type="dxa"/>
            <w:vAlign w:val="bottom"/>
          </w:tcPr>
          <w:p>
            <w:pPr>
              <w:jc w:val="center"/>
              <w:ind w:left="1936"/>
              <w:spacing w:after="0"/>
              <w:rPr>
                <w:sz w:val="20"/>
                <w:szCs w:val="20"/>
                <w:color w:val="auto"/>
              </w:rPr>
            </w:pPr>
            <w:r>
              <w:rPr>
                <w:rFonts w:ascii="Arial" w:cs="Arial" w:eastAsia="Arial" w:hAnsi="Arial"/>
                <w:sz w:val="17"/>
                <w:szCs w:val="17"/>
                <w:b w:val="1"/>
                <w:bCs w:val="1"/>
                <w:color w:val="auto"/>
                <w:w w:val="90"/>
              </w:rPr>
              <w:t>04-3306140</w:t>
            </w:r>
          </w:p>
        </w:tc>
      </w:tr>
      <w:tr>
        <w:trPr>
          <w:trHeight w:val="202"/>
        </w:trPr>
        <w:tc>
          <w:tcPr>
            <w:tcW w:w="4080" w:type="dxa"/>
            <w:vAlign w:val="bottom"/>
          </w:tcPr>
          <w:p>
            <w:pPr>
              <w:jc w:val="center"/>
              <w:ind w:right="1956"/>
              <w:spacing w:after="0"/>
              <w:rPr>
                <w:sz w:val="20"/>
                <w:szCs w:val="20"/>
                <w:color w:val="auto"/>
              </w:rPr>
            </w:pPr>
            <w:r>
              <w:rPr>
                <w:rFonts w:ascii="Arial" w:cs="Arial" w:eastAsia="Arial" w:hAnsi="Arial"/>
                <w:sz w:val="17"/>
                <w:szCs w:val="17"/>
                <w:color w:val="auto"/>
                <w:w w:val="92"/>
              </w:rPr>
              <w:t>(State or other jurisdiction of</w:t>
            </w:r>
          </w:p>
        </w:tc>
        <w:tc>
          <w:tcPr>
            <w:tcW w:w="3280" w:type="dxa"/>
            <w:vAlign w:val="bottom"/>
          </w:tcPr>
          <w:p>
            <w:pPr>
              <w:jc w:val="center"/>
              <w:ind w:left="1936"/>
              <w:spacing w:after="0"/>
              <w:rPr>
                <w:sz w:val="20"/>
                <w:szCs w:val="20"/>
                <w:color w:val="auto"/>
              </w:rPr>
            </w:pPr>
            <w:r>
              <w:rPr>
                <w:rFonts w:ascii="Arial" w:cs="Arial" w:eastAsia="Arial" w:hAnsi="Arial"/>
                <w:sz w:val="17"/>
                <w:szCs w:val="17"/>
                <w:color w:val="auto"/>
                <w:w w:val="91"/>
              </w:rPr>
              <w:t>(I.R.S. Employer</w:t>
            </w:r>
          </w:p>
        </w:tc>
      </w:tr>
      <w:tr>
        <w:trPr>
          <w:trHeight w:val="214"/>
        </w:trPr>
        <w:tc>
          <w:tcPr>
            <w:tcW w:w="4080" w:type="dxa"/>
            <w:vAlign w:val="bottom"/>
          </w:tcPr>
          <w:p>
            <w:pPr>
              <w:jc w:val="center"/>
              <w:ind w:right="1956"/>
              <w:spacing w:after="0"/>
              <w:rPr>
                <w:sz w:val="20"/>
                <w:szCs w:val="20"/>
                <w:color w:val="auto"/>
              </w:rPr>
            </w:pPr>
            <w:r>
              <w:rPr>
                <w:rFonts w:ascii="Arial" w:cs="Arial" w:eastAsia="Arial" w:hAnsi="Arial"/>
                <w:sz w:val="17"/>
                <w:szCs w:val="17"/>
                <w:color w:val="auto"/>
                <w:w w:val="91"/>
              </w:rPr>
              <w:t>Incorporation or organization)</w:t>
            </w:r>
          </w:p>
        </w:tc>
        <w:tc>
          <w:tcPr>
            <w:tcW w:w="3280" w:type="dxa"/>
            <w:vAlign w:val="bottom"/>
          </w:tcPr>
          <w:p>
            <w:pPr>
              <w:jc w:val="center"/>
              <w:ind w:left="1936"/>
              <w:spacing w:after="0"/>
              <w:rPr>
                <w:sz w:val="20"/>
                <w:szCs w:val="20"/>
                <w:color w:val="auto"/>
              </w:rPr>
            </w:pPr>
            <w:r>
              <w:rPr>
                <w:rFonts w:ascii="Arial" w:cs="Arial" w:eastAsia="Arial" w:hAnsi="Arial"/>
                <w:sz w:val="17"/>
                <w:szCs w:val="17"/>
                <w:color w:val="auto"/>
                <w:w w:val="95"/>
              </w:rPr>
              <w:t>Identification No.)</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84 October Hill Road, Holliston, Massachusetts 01746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(508) 893-8999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396"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040" w:type="dxa"/>
            <w:vAlign w:val="bottom"/>
            <w:tcBorders>
              <w:bottom w:val="single" w:sz="8" w:color="auto"/>
            </w:tcBorders>
          </w:tcPr>
          <w:p>
            <w:pPr>
              <w:jc w:val="center"/>
              <w:ind w:left="1602"/>
              <w:spacing w:after="0"/>
              <w:rPr>
                <w:sz w:val="20"/>
                <w:szCs w:val="20"/>
                <w:color w:val="auto"/>
              </w:rPr>
            </w:pPr>
            <w:r>
              <w:rPr>
                <w:rFonts w:ascii="Arial" w:cs="Arial" w:eastAsia="Arial" w:hAnsi="Arial"/>
                <w:sz w:val="17"/>
                <w:szCs w:val="17"/>
                <w:b w:val="1"/>
                <w:bCs w:val="1"/>
                <w:color w:val="auto"/>
                <w:w w:val="87"/>
              </w:rPr>
              <w:t>Title of each class</w:t>
            </w:r>
          </w:p>
        </w:tc>
        <w:tc>
          <w:tcPr>
            <w:tcW w:w="7380" w:type="dxa"/>
            <w:vAlign w:val="bottom"/>
            <w:tcBorders>
              <w:bottom w:val="single" w:sz="8" w:color="auto"/>
            </w:tcBorders>
            <w:gridSpan w:val="2"/>
          </w:tcPr>
          <w:p>
            <w:pPr>
              <w:jc w:val="center"/>
              <w:ind w:left="1602"/>
              <w:spacing w:after="0"/>
              <w:rPr>
                <w:sz w:val="20"/>
                <w:szCs w:val="20"/>
                <w:color w:val="auto"/>
              </w:rPr>
            </w:pPr>
            <w:r>
              <w:rPr>
                <w:rFonts w:ascii="Arial" w:cs="Arial" w:eastAsia="Arial" w:hAnsi="Arial"/>
                <w:sz w:val="17"/>
                <w:szCs w:val="17"/>
                <w:b w:val="1"/>
                <w:bCs w:val="1"/>
                <w:color w:val="auto"/>
                <w:w w:val="87"/>
              </w:rPr>
              <w:t>Name of each exchange on which registered</w:t>
            </w:r>
          </w:p>
        </w:tc>
      </w:tr>
      <w:tr>
        <w:trPr>
          <w:trHeight w:val="239"/>
        </w:trPr>
        <w:tc>
          <w:tcPr>
            <w:tcW w:w="4040" w:type="dxa"/>
            <w:vAlign w:val="bottom"/>
          </w:tcPr>
          <w:p>
            <w:pPr>
              <w:jc w:val="center"/>
              <w:ind w:left="1602"/>
              <w:spacing w:after="0"/>
              <w:rPr>
                <w:sz w:val="20"/>
                <w:szCs w:val="20"/>
                <w:color w:val="auto"/>
              </w:rPr>
            </w:pPr>
            <w:r>
              <w:rPr>
                <w:rFonts w:ascii="Arial" w:cs="Arial" w:eastAsia="Arial" w:hAnsi="Arial"/>
                <w:sz w:val="17"/>
                <w:szCs w:val="17"/>
                <w:b w:val="1"/>
                <w:bCs w:val="1"/>
                <w:color w:val="auto"/>
                <w:w w:val="89"/>
              </w:rPr>
              <w:t>Common Stock, $0.01 par value</w:t>
            </w:r>
          </w:p>
        </w:tc>
        <w:tc>
          <w:tcPr>
            <w:tcW w:w="7380" w:type="dxa"/>
            <w:vAlign w:val="bottom"/>
            <w:gridSpan w:val="2"/>
          </w:tcPr>
          <w:p>
            <w:pPr>
              <w:jc w:val="center"/>
              <w:ind w:left="1602"/>
              <w:spacing w:after="0"/>
              <w:rPr>
                <w:sz w:val="20"/>
                <w:szCs w:val="20"/>
                <w:color w:val="auto"/>
              </w:rPr>
            </w:pPr>
            <w:r>
              <w:rPr>
                <w:rFonts w:ascii="Arial" w:cs="Arial" w:eastAsia="Arial" w:hAnsi="Arial"/>
                <w:sz w:val="17"/>
                <w:szCs w:val="17"/>
                <w:b w:val="1"/>
                <w:bCs w:val="1"/>
                <w:color w:val="auto"/>
                <w:w w:val="94"/>
              </w:rPr>
              <w:t>The NASDAQ Global Market</w:t>
            </w:r>
          </w:p>
        </w:tc>
      </w:tr>
      <w:tr>
        <w:trPr>
          <w:trHeight w:val="338"/>
        </w:trPr>
        <w:tc>
          <w:tcPr>
            <w:tcW w:w="4040" w:type="dxa"/>
            <w:vAlign w:val="bottom"/>
          </w:tcPr>
          <w:p>
            <w:pPr>
              <w:spacing w:after="0"/>
              <w:rPr>
                <w:sz w:val="24"/>
                <w:szCs w:val="24"/>
                <w:color w:val="auto"/>
              </w:rPr>
            </w:pPr>
          </w:p>
        </w:tc>
        <w:tc>
          <w:tcPr>
            <w:tcW w:w="3600" w:type="dxa"/>
            <w:vAlign w:val="bottom"/>
          </w:tcPr>
          <w:p>
            <w:pPr>
              <w:jc w:val="center"/>
              <w:ind w:right="182"/>
              <w:spacing w:after="0"/>
              <w:rPr>
                <w:sz w:val="20"/>
                <w:szCs w:val="20"/>
                <w:color w:val="auto"/>
              </w:rPr>
            </w:pPr>
            <w:r>
              <w:rPr>
                <w:rFonts w:ascii="Arial" w:cs="Arial" w:eastAsia="Arial" w:hAnsi="Arial"/>
                <w:sz w:val="14"/>
                <w:szCs w:val="14"/>
                <w:color w:val="auto"/>
                <w:w w:val="92"/>
              </w:rPr>
              <w:t>Securities registered pursuant to Section 12(g) of the Act:</w:t>
            </w:r>
          </w:p>
        </w:tc>
        <w:tc>
          <w:tcPr>
            <w:tcW w:w="3780" w:type="dxa"/>
            <w:vAlign w:val="bottom"/>
          </w:tcPr>
          <w:p>
            <w:pPr>
              <w:spacing w:after="0"/>
              <w:rPr>
                <w:sz w:val="24"/>
                <w:szCs w:val="24"/>
                <w:color w:val="auto"/>
              </w:rPr>
            </w:pPr>
          </w:p>
        </w:tc>
      </w:tr>
      <w:tr>
        <w:trPr>
          <w:trHeight w:val="186"/>
        </w:trPr>
        <w:tc>
          <w:tcPr>
            <w:tcW w:w="4040" w:type="dxa"/>
            <w:vAlign w:val="bottom"/>
          </w:tcPr>
          <w:p>
            <w:pPr>
              <w:spacing w:after="0"/>
              <w:rPr>
                <w:sz w:val="16"/>
                <w:szCs w:val="16"/>
                <w:color w:val="auto"/>
              </w:rPr>
            </w:pPr>
          </w:p>
        </w:tc>
        <w:tc>
          <w:tcPr>
            <w:tcW w:w="3600" w:type="dxa"/>
            <w:vAlign w:val="bottom"/>
          </w:tcPr>
          <w:p>
            <w:pPr>
              <w:jc w:val="center"/>
              <w:ind w:right="162"/>
              <w:spacing w:after="0"/>
              <w:rPr>
                <w:sz w:val="20"/>
                <w:szCs w:val="20"/>
                <w:color w:val="auto"/>
              </w:rPr>
            </w:pPr>
            <w:r>
              <w:rPr>
                <w:rFonts w:ascii="Arial" w:cs="Arial" w:eastAsia="Arial" w:hAnsi="Arial"/>
                <w:sz w:val="14"/>
                <w:szCs w:val="14"/>
                <w:b w:val="1"/>
                <w:bCs w:val="1"/>
                <w:color w:val="auto"/>
                <w:w w:val="91"/>
              </w:rPr>
              <w:t>None</w:t>
            </w:r>
          </w:p>
        </w:tc>
        <w:tc>
          <w:tcPr>
            <w:tcW w:w="3780" w:type="dxa"/>
            <w:vAlign w:val="bottom"/>
          </w:tcPr>
          <w:p>
            <w:pPr>
              <w:spacing w:after="0"/>
              <w:rPr>
                <w:sz w:val="16"/>
                <w:szCs w:val="16"/>
                <w:color w:val="auto"/>
              </w:rPr>
            </w:pPr>
          </w:p>
        </w:tc>
      </w:tr>
      <w:tr>
        <w:trPr>
          <w:trHeight w:val="332"/>
        </w:trPr>
        <w:tc>
          <w:tcPr>
            <w:tcW w:w="7640" w:type="dxa"/>
            <w:vAlign w:val="bottom"/>
            <w:gridSpan w:val="2"/>
          </w:tcPr>
          <w:p>
            <w:pPr>
              <w:ind w:left="32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4"/>
              </w:rPr>
              <w:t>☐</w:t>
            </w:r>
          </w:p>
        </w:tc>
        <w:tc>
          <w:tcPr>
            <w:tcW w:w="378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380"/>
        </w:trPr>
        <w:tc>
          <w:tcPr>
            <w:tcW w:w="7640" w:type="dxa"/>
            <w:vAlign w:val="bottom"/>
            <w:gridSpan w:val="2"/>
          </w:tcPr>
          <w:p>
            <w:pPr>
              <w:ind w:left="320"/>
              <w:spacing w:after="0" w:line="161" w:lineRule="exact"/>
              <w:rPr>
                <w:sz w:val="20"/>
                <w:szCs w:val="20"/>
                <w:color w:val="auto"/>
              </w:rPr>
            </w:pPr>
            <w:r>
              <w:rPr>
                <w:rFonts w:ascii="Arial" w:cs="Arial" w:eastAsia="Arial" w:hAnsi="Arial"/>
                <w:sz w:val="14"/>
                <w:szCs w:val="14"/>
                <w:color w:val="auto"/>
                <w:w w:val="93"/>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3"/>
              </w:rPr>
              <w:t>☐</w:t>
            </w:r>
          </w:p>
        </w:tc>
        <w:tc>
          <w:tcPr>
            <w:tcW w:w="378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19" w:lineRule="exact"/>
        <w:rPr>
          <w:sz w:val="24"/>
          <w:szCs w:val="24"/>
          <w:color w:val="auto"/>
        </w:rPr>
      </w:pPr>
    </w:p>
    <w:p>
      <w:pPr>
        <w:ind w:right="140" w:firstLine="309"/>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5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49" w:lineRule="exact"/>
        <w:rPr>
          <w:sz w:val="24"/>
          <w:szCs w:val="24"/>
          <w:color w:val="auto"/>
        </w:rPr>
      </w:pPr>
    </w:p>
    <w:p>
      <w:pPr>
        <w:ind w:right="140" w:firstLine="309"/>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20" w:lineRule="exact"/>
        <w:rPr>
          <w:sz w:val="24"/>
          <w:szCs w:val="24"/>
          <w:color w:val="auto"/>
        </w:rPr>
      </w:pPr>
    </w:p>
    <w:p>
      <w:pPr>
        <w:ind w:right="400" w:firstLine="309"/>
        <w:spacing w:after="0" w:line="181"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20" w:lineRule="exact"/>
        <w:rPr>
          <w:sz w:val="24"/>
          <w:szCs w:val="24"/>
          <w:color w:val="auto"/>
        </w:rPr>
      </w:pPr>
    </w:p>
    <w:p>
      <w:pPr>
        <w:ind w:right="260" w:firstLine="309"/>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228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4540" w:type="dxa"/>
            <w:vAlign w:val="bottom"/>
          </w:tcPr>
          <w:p>
            <w:pPr>
              <w:spacing w:after="0"/>
              <w:rPr>
                <w:sz w:val="15"/>
                <w:szCs w:val="15"/>
                <w:color w:val="auto"/>
              </w:rPr>
            </w:pPr>
          </w:p>
        </w:tc>
        <w:tc>
          <w:tcPr>
            <w:tcW w:w="2800" w:type="dxa"/>
            <w:vAlign w:val="bottom"/>
          </w:tcPr>
          <w:p>
            <w:pPr>
              <w:ind w:left="108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02"/>
        </w:trPr>
        <w:tc>
          <w:tcPr>
            <w:tcW w:w="228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4540" w:type="dxa"/>
            <w:vAlign w:val="bottom"/>
          </w:tcPr>
          <w:p>
            <w:pPr>
              <w:ind w:left="800"/>
              <w:spacing w:after="0"/>
              <w:rPr>
                <w:sz w:val="20"/>
                <w:szCs w:val="20"/>
                <w:color w:val="auto"/>
              </w:rPr>
            </w:pPr>
            <w:r>
              <w:rPr>
                <w:rFonts w:ascii="Arial" w:cs="Arial" w:eastAsia="Arial" w:hAnsi="Arial"/>
                <w:sz w:val="14"/>
                <w:szCs w:val="14"/>
                <w:color w:val="auto"/>
              </w:rPr>
              <w:t>(Do not check if a smaller reporting company)</w:t>
            </w:r>
          </w:p>
        </w:tc>
        <w:tc>
          <w:tcPr>
            <w:tcW w:w="2800" w:type="dxa"/>
            <w:vAlign w:val="bottom"/>
          </w:tcPr>
          <w:p>
            <w:pPr>
              <w:ind w:left="1080"/>
              <w:spacing w:after="0" w:line="161" w:lineRule="exact"/>
              <w:rPr>
                <w:sz w:val="20"/>
                <w:szCs w:val="20"/>
                <w:color w:val="auto"/>
              </w:rPr>
            </w:pPr>
            <w:r>
              <w:rPr>
                <w:rFonts w:ascii="Arial" w:cs="Arial" w:eastAsia="Arial" w:hAnsi="Arial"/>
                <w:sz w:val="14"/>
                <w:szCs w:val="14"/>
                <w:color w:val="auto"/>
                <w:w w:val="91"/>
              </w:rPr>
              <w:t xml:space="preserve">Smaller reporting company </w:t>
            </w:r>
            <w:r>
              <w:rPr>
                <w:rFonts w:ascii="MS PGothic" w:cs="MS PGothic" w:eastAsia="MS PGothic" w:hAnsi="MS PGothic"/>
                <w:sz w:val="14"/>
                <w:szCs w:val="14"/>
                <w:color w:val="auto"/>
                <w:w w:val="91"/>
              </w:rPr>
              <w:t>☐</w:t>
            </w:r>
          </w:p>
        </w:tc>
      </w:tr>
      <w:tr>
        <w:trPr>
          <w:trHeight w:val="225"/>
        </w:trPr>
        <w:tc>
          <w:tcPr>
            <w:tcW w:w="2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800" w:type="dxa"/>
            <w:vAlign w:val="bottom"/>
          </w:tcPr>
          <w:p>
            <w:pPr>
              <w:ind w:left="1080"/>
              <w:spacing w:after="0" w:line="161" w:lineRule="exact"/>
              <w:rPr>
                <w:sz w:val="20"/>
                <w:szCs w:val="20"/>
                <w:color w:val="auto"/>
              </w:rPr>
            </w:pPr>
            <w:r>
              <w:rPr>
                <w:rFonts w:ascii="Arial" w:cs="Arial" w:eastAsia="Arial" w:hAnsi="Arial"/>
                <w:sz w:val="14"/>
                <w:szCs w:val="14"/>
                <w:color w:val="auto"/>
                <w:w w:val="92"/>
              </w:rPr>
              <w:t xml:space="preserve">Emerging growth company </w:t>
            </w:r>
            <w:r>
              <w:rPr>
                <w:rFonts w:ascii="MS PGothic" w:cs="MS PGothic" w:eastAsia="MS PGothic" w:hAnsi="MS PGothic"/>
                <w:sz w:val="14"/>
                <w:szCs w:val="14"/>
                <w:color w:val="auto"/>
                <w:w w:val="92"/>
              </w:rPr>
              <w:t>☐</w:t>
            </w:r>
          </w:p>
        </w:tc>
      </w:tr>
    </w:tbl>
    <w:p>
      <w:pPr>
        <w:spacing w:after="0" w:line="119" w:lineRule="exact"/>
        <w:rPr>
          <w:sz w:val="24"/>
          <w:szCs w:val="24"/>
          <w:color w:val="auto"/>
        </w:rPr>
      </w:pPr>
    </w:p>
    <w:p>
      <w:pPr>
        <w:ind w:right="480" w:firstLine="309"/>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6" w:lineRule="exact"/>
        <w:rPr>
          <w:sz w:val="24"/>
          <w:szCs w:val="24"/>
          <w:color w:val="auto"/>
        </w:rPr>
      </w:pPr>
    </w:p>
    <w:p>
      <w:pPr>
        <w:ind w:left="320"/>
        <w:spacing w:after="0" w:line="150" w:lineRule="exact"/>
        <w:tabs>
          <w:tab w:leader="none" w:pos="736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94" w:lineRule="exact"/>
        <w:rPr>
          <w:sz w:val="24"/>
          <w:szCs w:val="24"/>
          <w:color w:val="auto"/>
        </w:rPr>
      </w:pPr>
    </w:p>
    <w:p>
      <w:pPr>
        <w:ind w:right="60" w:firstLine="309"/>
        <w:spacing w:after="0" w:line="237" w:lineRule="auto"/>
        <w:rPr>
          <w:sz w:val="20"/>
          <w:szCs w:val="20"/>
          <w:color w:val="auto"/>
        </w:rPr>
      </w:pPr>
      <w:r>
        <w:rPr>
          <w:rFonts w:ascii="Arial" w:cs="Arial" w:eastAsia="Arial" w:hAnsi="Arial"/>
          <w:sz w:val="14"/>
          <w:szCs w:val="14"/>
          <w:color w:val="auto"/>
        </w:rPr>
        <w:t>The aggregate market value of 28,652,635 shares of voting common equity held by non-affiliates of the registrant as of June 30, 2017 was approximately $73,064,219 based on the closing sales price of the registrant’s common stock, par value $0.01 per share on that date. Shares of the registrant’s common stock held by each officer and director and each person known to the registrant to own 10% or more of the outstanding voting power of the registrant have been excluded in that such persons may be deemed affiliates. This determination of affiliate status is not a determination for other purposes. The registrant has no shares of non-voting common stock authorized or outstanding.</w:t>
      </w:r>
    </w:p>
    <w:p>
      <w:pPr>
        <w:spacing w:after="0" w:line="123" w:lineRule="exact"/>
        <w:rPr>
          <w:sz w:val="24"/>
          <w:szCs w:val="24"/>
          <w:color w:val="auto"/>
        </w:rPr>
      </w:pPr>
    </w:p>
    <w:p>
      <w:pPr>
        <w:ind w:left="320"/>
        <w:spacing w:after="0"/>
        <w:rPr>
          <w:sz w:val="20"/>
          <w:szCs w:val="20"/>
          <w:color w:val="auto"/>
        </w:rPr>
      </w:pPr>
      <w:r>
        <w:rPr>
          <w:rFonts w:ascii="Arial" w:cs="Arial" w:eastAsia="Arial" w:hAnsi="Arial"/>
          <w:sz w:val="14"/>
          <w:szCs w:val="14"/>
          <w:color w:val="auto"/>
        </w:rPr>
        <w:t>At March 9, 2018, there were 35,594,802 shares of the registrant’s common stock issued and outstanding.</w:t>
      </w:r>
    </w:p>
    <w:p>
      <w:pPr>
        <w:spacing w:after="0" w:line="139"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47" w:lineRule="exact"/>
        <w:rPr>
          <w:sz w:val="24"/>
          <w:szCs w:val="24"/>
          <w:color w:val="auto"/>
        </w:rPr>
      </w:pPr>
    </w:p>
    <w:p>
      <w:pPr>
        <w:ind w:firstLine="309"/>
        <w:spacing w:after="0" w:line="241" w:lineRule="auto"/>
        <w:rPr>
          <w:sz w:val="20"/>
          <w:szCs w:val="20"/>
          <w:color w:val="auto"/>
        </w:rPr>
      </w:pPr>
      <w:r>
        <w:rPr>
          <w:rFonts w:ascii="Arial" w:cs="Arial" w:eastAsia="Arial" w:hAnsi="Arial"/>
          <w:sz w:val="14"/>
          <w:szCs w:val="14"/>
          <w:color w:val="auto"/>
        </w:rPr>
        <w:t>Portions of the Company’s definitive Proxy Statement in connection with the 2018 Annual Meeting of Stockholders (the “Proxy Statement”), to be filed within 120 days after the end of the Registrant’s fiscal year, are incorporated by reference into Part III of this Form 10-K. Except with respect to information specifically incorporated by reference in this Form 10-K, the Proxy Statement is not deemed to be filed as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93980</wp:posOffset>
            </wp:positionV>
            <wp:extent cx="7255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55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520065</wp:posOffset>
            </wp:positionV>
            <wp:extent cx="725551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2"/>
        </w:trPr>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20" w:type="dxa"/>
            <w:vAlign w:val="bottom"/>
            <w:gridSpan w:val="8"/>
          </w:tcPr>
          <w:p>
            <w:pPr>
              <w:jc w:val="center"/>
              <w:ind w:right="2520"/>
              <w:spacing w:after="0"/>
              <w:rPr>
                <w:sz w:val="20"/>
                <w:szCs w:val="20"/>
                <w:color w:val="auto"/>
              </w:rPr>
            </w:pPr>
            <w:r>
              <w:rPr>
                <w:rFonts w:ascii="Arial" w:cs="Arial" w:eastAsia="Arial" w:hAnsi="Arial"/>
                <w:sz w:val="17"/>
                <w:szCs w:val="17"/>
                <w:b w:val="1"/>
                <w:bCs w:val="1"/>
                <w:color w:val="auto"/>
                <w:w w:val="99"/>
              </w:rPr>
              <w:t>HARVARD BIOSCIENCE, INC.</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20" w:type="dxa"/>
            <w:vAlign w:val="bottom"/>
            <w:gridSpan w:val="8"/>
          </w:tcPr>
          <w:p>
            <w:pPr>
              <w:jc w:val="center"/>
              <w:ind w:right="2500"/>
              <w:spacing w:after="0"/>
              <w:rPr>
                <w:sz w:val="20"/>
                <w:szCs w:val="20"/>
                <w:color w:val="auto"/>
              </w:rPr>
            </w:pPr>
            <w:r>
              <w:rPr>
                <w:rFonts w:ascii="Arial" w:cs="Arial" w:eastAsia="Arial" w:hAnsi="Arial"/>
                <w:sz w:val="17"/>
                <w:szCs w:val="17"/>
                <w:b w:val="1"/>
                <w:bCs w:val="1"/>
                <w:color w:val="auto"/>
                <w:w w:val="98"/>
              </w:rPr>
              <w:t>TABLE OF CONTENTS</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20" w:type="dxa"/>
            <w:vAlign w:val="bottom"/>
            <w:gridSpan w:val="8"/>
          </w:tcPr>
          <w:p>
            <w:pPr>
              <w:jc w:val="center"/>
              <w:ind w:right="2520"/>
              <w:spacing w:after="0"/>
              <w:rPr>
                <w:sz w:val="20"/>
                <w:szCs w:val="20"/>
                <w:color w:val="auto"/>
              </w:rPr>
            </w:pPr>
            <w:r>
              <w:rPr>
                <w:rFonts w:ascii="Arial" w:cs="Arial" w:eastAsia="Arial" w:hAnsi="Arial"/>
                <w:sz w:val="17"/>
                <w:szCs w:val="17"/>
                <w:b w:val="1"/>
                <w:bCs w:val="1"/>
                <w:color w:val="auto"/>
                <w:w w:val="98"/>
              </w:rPr>
              <w:t>ANNUAL REPORT ON FORM 10-K</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20" w:type="dxa"/>
            <w:vAlign w:val="bottom"/>
            <w:gridSpan w:val="8"/>
          </w:tcPr>
          <w:p>
            <w:pPr>
              <w:jc w:val="center"/>
              <w:ind w:right="2520"/>
              <w:spacing w:after="0"/>
              <w:rPr>
                <w:sz w:val="20"/>
                <w:szCs w:val="20"/>
                <w:color w:val="auto"/>
              </w:rPr>
            </w:pPr>
            <w:r>
              <w:rPr>
                <w:rFonts w:ascii="Arial" w:cs="Arial" w:eastAsia="Arial" w:hAnsi="Arial"/>
                <w:sz w:val="17"/>
                <w:szCs w:val="17"/>
                <w:b w:val="1"/>
                <w:bCs w:val="1"/>
                <w:color w:val="auto"/>
                <w:w w:val="89"/>
              </w:rPr>
              <w:t>For the Year Ended December 31, 2017</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00" w:type="dxa"/>
            <w:vAlign w:val="bottom"/>
            <w:gridSpan w:val="6"/>
          </w:tcPr>
          <w:p>
            <w:pPr>
              <w:jc w:val="center"/>
              <w:ind w:right="3440"/>
              <w:spacing w:after="0"/>
              <w:rPr>
                <w:sz w:val="20"/>
                <w:szCs w:val="20"/>
                <w:color w:val="auto"/>
              </w:rPr>
            </w:pPr>
            <w:r>
              <w:rPr>
                <w:rFonts w:ascii="Arial" w:cs="Arial" w:eastAsia="Arial" w:hAnsi="Arial"/>
                <w:sz w:val="17"/>
                <w:szCs w:val="17"/>
                <w:b w:val="1"/>
                <w:bCs w:val="1"/>
                <w:color w:val="auto"/>
              </w:rPr>
              <w:t>INDEX</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040" w:type="dxa"/>
            <w:vAlign w:val="bottom"/>
            <w:gridSpan w:val="5"/>
            <w:vMerge w:val="restart"/>
          </w:tcPr>
          <w:p>
            <w:pPr>
              <w:spacing w:after="0"/>
              <w:rPr>
                <w:sz w:val="20"/>
                <w:szCs w:val="20"/>
                <w:color w:val="auto"/>
              </w:rPr>
            </w:pPr>
            <w:r>
              <w:rPr>
                <w:rFonts w:ascii="Arial" w:cs="Arial" w:eastAsia="Arial" w:hAnsi="Arial"/>
                <w:sz w:val="17"/>
                <w:szCs w:val="17"/>
                <w:color w:val="auto"/>
              </w:rPr>
              <w:t>PART I</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40" w:type="dxa"/>
            <w:vAlign w:val="bottom"/>
            <w:gridSpan w:val="5"/>
          </w:tcPr>
          <w:p>
            <w:pPr>
              <w:jc w:val="center"/>
              <w:ind w:left="996"/>
              <w:spacing w:after="0"/>
              <w:rPr>
                <w:sz w:val="20"/>
                <w:szCs w:val="20"/>
                <w:color w:val="auto"/>
              </w:rPr>
            </w:pPr>
            <w:r>
              <w:rPr>
                <w:rFonts w:ascii="Arial" w:cs="Arial" w:eastAsia="Arial" w:hAnsi="Arial"/>
                <w:sz w:val="17"/>
                <w:szCs w:val="17"/>
                <w:b w:val="1"/>
                <w:bCs w:val="1"/>
                <w:color w:val="auto"/>
                <w:w w:val="88"/>
              </w:rPr>
              <w:t>Page</w:t>
            </w:r>
          </w:p>
        </w:tc>
        <w:tc>
          <w:tcPr>
            <w:tcW w:w="0" w:type="dxa"/>
            <w:vAlign w:val="bottom"/>
          </w:tcPr>
          <w:p>
            <w:pPr>
              <w:spacing w:after="0"/>
              <w:rPr>
                <w:sz w:val="1"/>
                <w:szCs w:val="1"/>
                <w:color w:val="auto"/>
              </w:rPr>
            </w:pPr>
          </w:p>
        </w:tc>
      </w:tr>
      <w:tr>
        <w:trPr>
          <w:trHeight w:val="202"/>
        </w:trPr>
        <w:tc>
          <w:tcPr>
            <w:tcW w:w="1040" w:type="dxa"/>
            <w:vAlign w:val="bottom"/>
            <w:gridSpan w:val="5"/>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240" w:type="dxa"/>
            <w:vAlign w:val="bottom"/>
          </w:tcPr>
          <w:p>
            <w:pPr>
              <w:spacing w:after="0"/>
              <w:rPr>
                <w:sz w:val="24"/>
                <w:szCs w:val="24"/>
                <w:color w:val="auto"/>
              </w:rPr>
            </w:pPr>
          </w:p>
        </w:tc>
        <w:tc>
          <w:tcPr>
            <w:tcW w:w="480" w:type="dxa"/>
            <w:vAlign w:val="bottom"/>
          </w:tcPr>
          <w:p>
            <w:pPr>
              <w:spacing w:after="0"/>
              <w:rPr>
                <w:rFonts w:ascii="Arial" w:cs="Arial" w:eastAsia="Arial" w:hAnsi="Arial"/>
                <w:sz w:val="17"/>
                <w:szCs w:val="17"/>
                <w:color w:val="0000EE"/>
                <w:w w:val="84"/>
              </w:rPr>
            </w:pPr>
            <w:hyperlink w:anchor="page3">
              <w:r>
                <w:rPr>
                  <w:rFonts w:ascii="Arial" w:cs="Arial" w:eastAsia="Arial" w:hAnsi="Arial"/>
                  <w:sz w:val="17"/>
                  <w:szCs w:val="17"/>
                  <w:color w:val="0000EE"/>
                  <w:w w:val="84"/>
                </w:rPr>
                <w:t>Item 1.</w:t>
              </w:r>
            </w:hyperlink>
          </w:p>
        </w:tc>
        <w:tc>
          <w:tcPr>
            <w:tcW w:w="320" w:type="dxa"/>
            <w:vAlign w:val="bottom"/>
            <w:gridSpan w:val="3"/>
          </w:tcPr>
          <w:p>
            <w:pPr>
              <w:spacing w:after="0"/>
              <w:rPr>
                <w:sz w:val="24"/>
                <w:szCs w:val="24"/>
                <w:color w:val="auto"/>
              </w:rPr>
            </w:pPr>
          </w:p>
        </w:tc>
        <w:tc>
          <w:tcPr>
            <w:tcW w:w="600" w:type="dxa"/>
            <w:vAlign w:val="bottom"/>
          </w:tcPr>
          <w:p>
            <w:pPr>
              <w:spacing w:after="0"/>
              <w:rPr>
                <w:rFonts w:ascii="Arial" w:cs="Arial" w:eastAsia="Arial" w:hAnsi="Arial"/>
                <w:sz w:val="17"/>
                <w:szCs w:val="17"/>
                <w:color w:val="0000EE"/>
                <w:w w:val="84"/>
              </w:rPr>
            </w:pPr>
            <w:hyperlink w:anchor="page3">
              <w:r>
                <w:rPr>
                  <w:rFonts w:ascii="Arial" w:cs="Arial" w:eastAsia="Arial" w:hAnsi="Arial"/>
                  <w:sz w:val="17"/>
                  <w:szCs w:val="17"/>
                  <w:color w:val="0000EE"/>
                  <w:w w:val="84"/>
                </w:rPr>
                <w:t>Business</w:t>
              </w:r>
            </w:hyperlink>
          </w:p>
        </w:tc>
        <w:tc>
          <w:tcPr>
            <w:tcW w:w="8140" w:type="dxa"/>
            <w:vAlign w:val="bottom"/>
            <w:gridSpan w:val="19"/>
          </w:tcPr>
          <w:p>
            <w:pPr>
              <w:spacing w:after="0"/>
              <w:rPr>
                <w:sz w:val="24"/>
                <w:szCs w:val="24"/>
                <w:color w:val="auto"/>
              </w:rPr>
            </w:pPr>
          </w:p>
        </w:tc>
        <w:tc>
          <w:tcPr>
            <w:tcW w:w="1320" w:type="dxa"/>
            <w:vAlign w:val="bottom"/>
            <w:gridSpan w:val="2"/>
          </w:tcPr>
          <w:p>
            <w:pPr>
              <w:spacing w:after="0"/>
              <w:rPr>
                <w:sz w:val="24"/>
                <w:szCs w:val="24"/>
                <w:color w:val="auto"/>
              </w:rPr>
            </w:pPr>
          </w:p>
        </w:tc>
        <w:tc>
          <w:tcPr>
            <w:tcW w:w="80" w:type="dxa"/>
            <w:vAlign w:val="bottom"/>
          </w:tcPr>
          <w:p>
            <w:pPr>
              <w:jc w:val="center"/>
              <w:spacing w:after="0"/>
              <w:rPr>
                <w:rFonts w:ascii="Arial" w:cs="Arial" w:eastAsia="Arial" w:hAnsi="Arial"/>
                <w:sz w:val="17"/>
                <w:szCs w:val="17"/>
                <w:color w:val="0000EE"/>
                <w:w w:val="84"/>
              </w:rPr>
            </w:pPr>
            <w:hyperlink w:anchor="page3">
              <w:r>
                <w:rPr>
                  <w:rFonts w:ascii="Arial" w:cs="Arial" w:eastAsia="Arial" w:hAnsi="Arial"/>
                  <w:sz w:val="17"/>
                  <w:szCs w:val="17"/>
                  <w:color w:val="0000EE"/>
                  <w:w w:val="84"/>
                </w:rPr>
                <w:t>3</w:t>
              </w:r>
            </w:hyperlink>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580" w:type="dxa"/>
            <w:vAlign w:val="bottom"/>
            <w:gridSpan w:val="3"/>
          </w:tcPr>
          <w:p>
            <w:pPr>
              <w:spacing w:after="0"/>
              <w:rPr>
                <w:rFonts w:ascii="Arial" w:cs="Arial" w:eastAsia="Arial" w:hAnsi="Arial"/>
                <w:sz w:val="17"/>
                <w:szCs w:val="17"/>
                <w:color w:val="0000EE"/>
                <w:w w:val="85"/>
              </w:rPr>
            </w:pPr>
            <w:hyperlink w:anchor="page9">
              <w:r>
                <w:rPr>
                  <w:rFonts w:ascii="Arial" w:cs="Arial" w:eastAsia="Arial" w:hAnsi="Arial"/>
                  <w:sz w:val="17"/>
                  <w:szCs w:val="17"/>
                  <w:color w:val="0000EE"/>
                  <w:w w:val="85"/>
                </w:rPr>
                <w:t>Item 1A.</w:t>
              </w:r>
            </w:hyperlink>
          </w:p>
        </w:tc>
        <w:tc>
          <w:tcPr>
            <w:tcW w:w="220" w:type="dxa"/>
            <w:vAlign w:val="bottom"/>
          </w:tcPr>
          <w:p>
            <w:pPr>
              <w:spacing w:after="0"/>
              <w:rPr>
                <w:sz w:val="24"/>
                <w:szCs w:val="24"/>
                <w:color w:val="auto"/>
              </w:rPr>
            </w:pPr>
          </w:p>
        </w:tc>
        <w:tc>
          <w:tcPr>
            <w:tcW w:w="8740" w:type="dxa"/>
            <w:vAlign w:val="bottom"/>
            <w:gridSpan w:val="20"/>
          </w:tcPr>
          <w:p>
            <w:pPr>
              <w:spacing w:after="0"/>
              <w:rPr>
                <w:rFonts w:ascii="Arial" w:cs="Arial" w:eastAsia="Arial" w:hAnsi="Arial"/>
                <w:sz w:val="17"/>
                <w:szCs w:val="17"/>
                <w:color w:val="0000EE"/>
              </w:rPr>
            </w:pPr>
            <w:hyperlink w:anchor="page9">
              <w:r>
                <w:rPr>
                  <w:rFonts w:ascii="Arial" w:cs="Arial" w:eastAsia="Arial" w:hAnsi="Arial"/>
                  <w:sz w:val="17"/>
                  <w:szCs w:val="17"/>
                  <w:color w:val="0000EE"/>
                </w:rPr>
                <w:t>Risk Factors</w:t>
              </w:r>
            </w:hyperlink>
          </w:p>
        </w:tc>
        <w:tc>
          <w:tcPr>
            <w:tcW w:w="1400" w:type="dxa"/>
            <w:vAlign w:val="bottom"/>
            <w:gridSpan w:val="3"/>
          </w:tcPr>
          <w:p>
            <w:pPr>
              <w:jc w:val="center"/>
              <w:ind w:left="1236"/>
              <w:spacing w:after="0"/>
              <w:rPr>
                <w:rFonts w:ascii="Arial" w:cs="Arial" w:eastAsia="Arial" w:hAnsi="Arial"/>
                <w:sz w:val="17"/>
                <w:szCs w:val="17"/>
                <w:color w:val="0000EE"/>
                <w:w w:val="84"/>
              </w:rPr>
            </w:pPr>
            <w:hyperlink w:anchor="page9">
              <w:r>
                <w:rPr>
                  <w:rFonts w:ascii="Arial" w:cs="Arial" w:eastAsia="Arial" w:hAnsi="Arial"/>
                  <w:sz w:val="17"/>
                  <w:szCs w:val="17"/>
                  <w:color w:val="0000EE"/>
                  <w:w w:val="84"/>
                </w:rPr>
                <w:t>9</w:t>
              </w:r>
            </w:hyperlink>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580" w:type="dxa"/>
            <w:vAlign w:val="bottom"/>
            <w:gridSpan w:val="3"/>
          </w:tcPr>
          <w:p>
            <w:pPr>
              <w:spacing w:after="0"/>
              <w:rPr>
                <w:rFonts w:ascii="Arial" w:cs="Arial" w:eastAsia="Arial" w:hAnsi="Arial"/>
                <w:sz w:val="17"/>
                <w:szCs w:val="17"/>
                <w:color w:val="0000EE"/>
                <w:w w:val="85"/>
              </w:rPr>
            </w:pPr>
            <w:hyperlink w:anchor="page20">
              <w:r>
                <w:rPr>
                  <w:rFonts w:ascii="Arial" w:cs="Arial" w:eastAsia="Arial" w:hAnsi="Arial"/>
                  <w:sz w:val="17"/>
                  <w:szCs w:val="17"/>
                  <w:color w:val="0000EE"/>
                  <w:w w:val="85"/>
                </w:rPr>
                <w:t>Item 1B.</w:t>
              </w:r>
            </w:hyperlink>
          </w:p>
        </w:tc>
        <w:tc>
          <w:tcPr>
            <w:tcW w:w="220" w:type="dxa"/>
            <w:vAlign w:val="bottom"/>
          </w:tcPr>
          <w:p>
            <w:pPr>
              <w:spacing w:after="0"/>
              <w:rPr>
                <w:sz w:val="24"/>
                <w:szCs w:val="24"/>
                <w:color w:val="auto"/>
              </w:rPr>
            </w:pPr>
          </w:p>
        </w:tc>
        <w:tc>
          <w:tcPr>
            <w:tcW w:w="1920" w:type="dxa"/>
            <w:vAlign w:val="bottom"/>
            <w:gridSpan w:val="8"/>
          </w:tcPr>
          <w:p>
            <w:pPr>
              <w:spacing w:after="0"/>
              <w:rPr>
                <w:rFonts w:ascii="Arial" w:cs="Arial" w:eastAsia="Arial" w:hAnsi="Arial"/>
                <w:sz w:val="17"/>
                <w:szCs w:val="17"/>
                <w:color w:val="0000EE"/>
                <w:w w:val="89"/>
              </w:rPr>
            </w:pPr>
            <w:hyperlink w:anchor="page20">
              <w:r>
                <w:rPr>
                  <w:rFonts w:ascii="Arial" w:cs="Arial" w:eastAsia="Arial" w:hAnsi="Arial"/>
                  <w:sz w:val="17"/>
                  <w:szCs w:val="17"/>
                  <w:color w:val="0000EE"/>
                  <w:w w:val="89"/>
                </w:rPr>
                <w:t>Unresolved Staff Comments</w:t>
              </w:r>
            </w:hyperlink>
          </w:p>
        </w:tc>
        <w:tc>
          <w:tcPr>
            <w:tcW w:w="6820" w:type="dxa"/>
            <w:vAlign w:val="bottom"/>
            <w:gridSpan w:val="12"/>
          </w:tcPr>
          <w:p>
            <w:pPr>
              <w:spacing w:after="0"/>
              <w:rPr>
                <w:sz w:val="24"/>
                <w:szCs w:val="24"/>
                <w:color w:val="auto"/>
              </w:rPr>
            </w:pPr>
          </w:p>
        </w:tc>
        <w:tc>
          <w:tcPr>
            <w:tcW w:w="1480" w:type="dxa"/>
            <w:vAlign w:val="bottom"/>
            <w:gridSpan w:val="4"/>
          </w:tcPr>
          <w:p>
            <w:pPr>
              <w:jc w:val="center"/>
              <w:ind w:left="1156"/>
              <w:spacing w:after="0"/>
              <w:rPr>
                <w:rFonts w:ascii="Arial" w:cs="Arial" w:eastAsia="Arial" w:hAnsi="Arial"/>
                <w:sz w:val="17"/>
                <w:szCs w:val="17"/>
                <w:color w:val="0000EE"/>
                <w:w w:val="84"/>
              </w:rPr>
            </w:pPr>
            <w:hyperlink w:anchor="page20">
              <w:r>
                <w:rPr>
                  <w:rFonts w:ascii="Arial" w:cs="Arial" w:eastAsia="Arial" w:hAnsi="Arial"/>
                  <w:sz w:val="17"/>
                  <w:szCs w:val="17"/>
                  <w:color w:val="0000EE"/>
                  <w:w w:val="84"/>
                </w:rPr>
                <w:t>20</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480" w:type="dxa"/>
            <w:vAlign w:val="bottom"/>
          </w:tcPr>
          <w:p>
            <w:pPr>
              <w:spacing w:after="0"/>
              <w:rPr>
                <w:rFonts w:ascii="Arial" w:cs="Arial" w:eastAsia="Arial" w:hAnsi="Arial"/>
                <w:sz w:val="17"/>
                <w:szCs w:val="17"/>
                <w:color w:val="0000EE"/>
                <w:w w:val="84"/>
              </w:rPr>
            </w:pPr>
            <w:hyperlink w:anchor="page20">
              <w:r>
                <w:rPr>
                  <w:rFonts w:ascii="Arial" w:cs="Arial" w:eastAsia="Arial" w:hAnsi="Arial"/>
                  <w:sz w:val="17"/>
                  <w:szCs w:val="17"/>
                  <w:color w:val="0000EE"/>
                  <w:w w:val="84"/>
                </w:rPr>
                <w:t>Item 2.</w:t>
              </w:r>
            </w:hyperlink>
          </w:p>
        </w:tc>
        <w:tc>
          <w:tcPr>
            <w:tcW w:w="1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8"/>
          </w:tcPr>
          <w:p>
            <w:pPr>
              <w:spacing w:after="0"/>
              <w:rPr>
                <w:rFonts w:ascii="Arial" w:cs="Arial" w:eastAsia="Arial" w:hAnsi="Arial"/>
                <w:sz w:val="17"/>
                <w:szCs w:val="17"/>
                <w:color w:val="0000EE"/>
              </w:rPr>
            </w:pPr>
            <w:hyperlink w:anchor="page20">
              <w:r>
                <w:rPr>
                  <w:rFonts w:ascii="Arial" w:cs="Arial" w:eastAsia="Arial" w:hAnsi="Arial"/>
                  <w:sz w:val="17"/>
                  <w:szCs w:val="17"/>
                  <w:color w:val="0000EE"/>
                </w:rPr>
                <w:t>Properties</w:t>
              </w:r>
            </w:hyperlink>
          </w:p>
        </w:tc>
        <w:tc>
          <w:tcPr>
            <w:tcW w:w="6820" w:type="dxa"/>
            <w:vAlign w:val="bottom"/>
            <w:gridSpan w:val="12"/>
          </w:tcPr>
          <w:p>
            <w:pPr>
              <w:spacing w:after="0"/>
              <w:rPr>
                <w:sz w:val="24"/>
                <w:szCs w:val="24"/>
                <w:color w:val="auto"/>
              </w:rPr>
            </w:pPr>
          </w:p>
        </w:tc>
        <w:tc>
          <w:tcPr>
            <w:tcW w:w="1480" w:type="dxa"/>
            <w:vAlign w:val="bottom"/>
            <w:gridSpan w:val="4"/>
          </w:tcPr>
          <w:p>
            <w:pPr>
              <w:jc w:val="center"/>
              <w:ind w:left="1156"/>
              <w:spacing w:after="0"/>
              <w:rPr>
                <w:rFonts w:ascii="Arial" w:cs="Arial" w:eastAsia="Arial" w:hAnsi="Arial"/>
                <w:sz w:val="17"/>
                <w:szCs w:val="17"/>
                <w:color w:val="0000EE"/>
                <w:w w:val="84"/>
              </w:rPr>
            </w:pPr>
            <w:hyperlink w:anchor="page20">
              <w:r>
                <w:rPr>
                  <w:rFonts w:ascii="Arial" w:cs="Arial" w:eastAsia="Arial" w:hAnsi="Arial"/>
                  <w:sz w:val="17"/>
                  <w:szCs w:val="17"/>
                  <w:color w:val="0000EE"/>
                  <w:w w:val="84"/>
                </w:rPr>
                <w:t>20</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480" w:type="dxa"/>
            <w:vAlign w:val="bottom"/>
          </w:tcPr>
          <w:p>
            <w:pPr>
              <w:spacing w:after="0"/>
              <w:rPr>
                <w:rFonts w:ascii="Arial" w:cs="Arial" w:eastAsia="Arial" w:hAnsi="Arial"/>
                <w:sz w:val="17"/>
                <w:szCs w:val="17"/>
                <w:color w:val="0000EE"/>
                <w:w w:val="84"/>
              </w:rPr>
            </w:pPr>
            <w:hyperlink w:anchor="page20">
              <w:r>
                <w:rPr>
                  <w:rFonts w:ascii="Arial" w:cs="Arial" w:eastAsia="Arial" w:hAnsi="Arial"/>
                  <w:sz w:val="17"/>
                  <w:szCs w:val="17"/>
                  <w:color w:val="0000EE"/>
                  <w:w w:val="84"/>
                </w:rPr>
                <w:t>Item 3.</w:t>
              </w:r>
            </w:hyperlink>
          </w:p>
        </w:tc>
        <w:tc>
          <w:tcPr>
            <w:tcW w:w="320" w:type="dxa"/>
            <w:vAlign w:val="bottom"/>
            <w:gridSpan w:val="3"/>
          </w:tcPr>
          <w:p>
            <w:pPr>
              <w:spacing w:after="0"/>
              <w:rPr>
                <w:sz w:val="24"/>
                <w:szCs w:val="24"/>
                <w:color w:val="auto"/>
              </w:rPr>
            </w:pPr>
          </w:p>
        </w:tc>
        <w:tc>
          <w:tcPr>
            <w:tcW w:w="8740" w:type="dxa"/>
            <w:vAlign w:val="bottom"/>
            <w:gridSpan w:val="20"/>
          </w:tcPr>
          <w:p>
            <w:pPr>
              <w:spacing w:after="0"/>
              <w:rPr>
                <w:rFonts w:ascii="Arial" w:cs="Arial" w:eastAsia="Arial" w:hAnsi="Arial"/>
                <w:sz w:val="17"/>
                <w:szCs w:val="17"/>
                <w:color w:val="0000EE"/>
              </w:rPr>
            </w:pPr>
            <w:hyperlink w:anchor="page20">
              <w:r>
                <w:rPr>
                  <w:rFonts w:ascii="Arial" w:cs="Arial" w:eastAsia="Arial" w:hAnsi="Arial"/>
                  <w:sz w:val="17"/>
                  <w:szCs w:val="17"/>
                  <w:color w:val="0000EE"/>
                </w:rPr>
                <w:t>Legal Proceedings</w:t>
              </w:r>
            </w:hyperlink>
          </w:p>
        </w:tc>
        <w:tc>
          <w:tcPr>
            <w:tcW w:w="1480" w:type="dxa"/>
            <w:vAlign w:val="bottom"/>
            <w:gridSpan w:val="4"/>
          </w:tcPr>
          <w:p>
            <w:pPr>
              <w:jc w:val="center"/>
              <w:ind w:left="1156"/>
              <w:spacing w:after="0"/>
              <w:rPr>
                <w:rFonts w:ascii="Arial" w:cs="Arial" w:eastAsia="Arial" w:hAnsi="Arial"/>
                <w:sz w:val="17"/>
                <w:szCs w:val="17"/>
                <w:color w:val="0000EE"/>
                <w:w w:val="84"/>
              </w:rPr>
            </w:pPr>
            <w:hyperlink w:anchor="page20">
              <w:r>
                <w:rPr>
                  <w:rFonts w:ascii="Arial" w:cs="Arial" w:eastAsia="Arial" w:hAnsi="Arial"/>
                  <w:sz w:val="17"/>
                  <w:szCs w:val="17"/>
                  <w:color w:val="0000EE"/>
                  <w:w w:val="84"/>
                </w:rPr>
                <w:t>20</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480" w:type="dxa"/>
            <w:vAlign w:val="bottom"/>
          </w:tcPr>
          <w:p>
            <w:pPr>
              <w:spacing w:after="0"/>
              <w:rPr>
                <w:rFonts w:ascii="Arial" w:cs="Arial" w:eastAsia="Arial" w:hAnsi="Arial"/>
                <w:sz w:val="17"/>
                <w:szCs w:val="17"/>
                <w:color w:val="0000EE"/>
                <w:w w:val="84"/>
              </w:rPr>
            </w:pPr>
            <w:hyperlink w:anchor="page20">
              <w:r>
                <w:rPr>
                  <w:rFonts w:ascii="Arial" w:cs="Arial" w:eastAsia="Arial" w:hAnsi="Arial"/>
                  <w:sz w:val="17"/>
                  <w:szCs w:val="17"/>
                  <w:color w:val="0000EE"/>
                  <w:w w:val="84"/>
                </w:rPr>
                <w:t>Item 4.</w:t>
              </w:r>
            </w:hyperlink>
          </w:p>
        </w:tc>
        <w:tc>
          <w:tcPr>
            <w:tcW w:w="320" w:type="dxa"/>
            <w:vAlign w:val="bottom"/>
            <w:gridSpan w:val="3"/>
          </w:tcPr>
          <w:p>
            <w:pPr>
              <w:spacing w:after="0"/>
              <w:rPr>
                <w:sz w:val="24"/>
                <w:szCs w:val="24"/>
                <w:color w:val="auto"/>
              </w:rPr>
            </w:pPr>
          </w:p>
        </w:tc>
        <w:tc>
          <w:tcPr>
            <w:tcW w:w="1600" w:type="dxa"/>
            <w:vAlign w:val="bottom"/>
            <w:gridSpan w:val="6"/>
          </w:tcPr>
          <w:p>
            <w:pPr>
              <w:spacing w:after="0"/>
              <w:rPr>
                <w:rFonts w:ascii="Arial" w:cs="Arial" w:eastAsia="Arial" w:hAnsi="Arial"/>
                <w:sz w:val="17"/>
                <w:szCs w:val="17"/>
                <w:color w:val="0000EE"/>
                <w:w w:val="85"/>
              </w:rPr>
            </w:pPr>
            <w:hyperlink w:anchor="page20">
              <w:r>
                <w:rPr>
                  <w:rFonts w:ascii="Arial" w:cs="Arial" w:eastAsia="Arial" w:hAnsi="Arial"/>
                  <w:sz w:val="17"/>
                  <w:szCs w:val="17"/>
                  <w:color w:val="0000EE"/>
                  <w:w w:val="85"/>
                </w:rPr>
                <w:t>Mine Safety Disclosures</w:t>
              </w:r>
            </w:hyperlink>
          </w:p>
        </w:tc>
        <w:tc>
          <w:tcPr>
            <w:tcW w:w="7140" w:type="dxa"/>
            <w:vAlign w:val="bottom"/>
            <w:gridSpan w:val="14"/>
          </w:tcPr>
          <w:p>
            <w:pPr>
              <w:spacing w:after="0"/>
              <w:rPr>
                <w:sz w:val="24"/>
                <w:szCs w:val="24"/>
                <w:color w:val="auto"/>
              </w:rPr>
            </w:pPr>
          </w:p>
        </w:tc>
        <w:tc>
          <w:tcPr>
            <w:tcW w:w="1480" w:type="dxa"/>
            <w:vAlign w:val="bottom"/>
            <w:gridSpan w:val="4"/>
          </w:tcPr>
          <w:p>
            <w:pPr>
              <w:jc w:val="center"/>
              <w:ind w:left="1156"/>
              <w:spacing w:after="0"/>
              <w:rPr>
                <w:rFonts w:ascii="Arial" w:cs="Arial" w:eastAsia="Arial" w:hAnsi="Arial"/>
                <w:sz w:val="17"/>
                <w:szCs w:val="17"/>
                <w:color w:val="0000EE"/>
                <w:w w:val="84"/>
              </w:rPr>
            </w:pPr>
            <w:hyperlink w:anchor="page20">
              <w:r>
                <w:rPr>
                  <w:rFonts w:ascii="Arial" w:cs="Arial" w:eastAsia="Arial" w:hAnsi="Arial"/>
                  <w:sz w:val="17"/>
                  <w:szCs w:val="17"/>
                  <w:color w:val="0000EE"/>
                  <w:w w:val="84"/>
                </w:rPr>
                <w:t>20</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1040" w:type="dxa"/>
            <w:vAlign w:val="bottom"/>
            <w:gridSpan w:val="5"/>
          </w:tcPr>
          <w:p>
            <w:pPr>
              <w:spacing w:after="0"/>
              <w:rPr>
                <w:sz w:val="20"/>
                <w:szCs w:val="20"/>
                <w:color w:val="auto"/>
              </w:rPr>
            </w:pPr>
            <w:r>
              <w:rPr>
                <w:rFonts w:ascii="Arial" w:cs="Arial" w:eastAsia="Arial" w:hAnsi="Arial"/>
                <w:sz w:val="17"/>
                <w:szCs w:val="17"/>
                <w:color w:val="auto"/>
              </w:rPr>
              <w:t>PART II</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40" w:type="dxa"/>
            <w:vAlign w:val="bottom"/>
          </w:tcPr>
          <w:p>
            <w:pPr>
              <w:spacing w:after="0"/>
              <w:rPr>
                <w:sz w:val="24"/>
                <w:szCs w:val="24"/>
                <w:color w:val="auto"/>
              </w:rPr>
            </w:pPr>
          </w:p>
        </w:tc>
        <w:tc>
          <w:tcPr>
            <w:tcW w:w="480" w:type="dxa"/>
            <w:vAlign w:val="bottom"/>
          </w:tcPr>
          <w:p>
            <w:pPr>
              <w:spacing w:after="0"/>
              <w:rPr>
                <w:rFonts w:ascii="Arial" w:cs="Arial" w:eastAsia="Arial" w:hAnsi="Arial"/>
                <w:sz w:val="17"/>
                <w:szCs w:val="17"/>
                <w:color w:val="0000EE"/>
                <w:w w:val="84"/>
              </w:rPr>
            </w:pPr>
            <w:hyperlink w:anchor="page21">
              <w:r>
                <w:rPr>
                  <w:rFonts w:ascii="Arial" w:cs="Arial" w:eastAsia="Arial" w:hAnsi="Arial"/>
                  <w:sz w:val="17"/>
                  <w:szCs w:val="17"/>
                  <w:color w:val="0000EE"/>
                  <w:w w:val="84"/>
                </w:rPr>
                <w:t>Item 5.</w:t>
              </w:r>
            </w:hyperlink>
          </w:p>
        </w:tc>
        <w:tc>
          <w:tcPr>
            <w:tcW w:w="320" w:type="dxa"/>
            <w:vAlign w:val="bottom"/>
            <w:gridSpan w:val="3"/>
          </w:tcPr>
          <w:p>
            <w:pPr>
              <w:spacing w:after="0"/>
              <w:rPr>
                <w:sz w:val="24"/>
                <w:szCs w:val="24"/>
                <w:color w:val="auto"/>
              </w:rPr>
            </w:pPr>
          </w:p>
        </w:tc>
        <w:tc>
          <w:tcPr>
            <w:tcW w:w="8740" w:type="dxa"/>
            <w:vAlign w:val="bottom"/>
            <w:gridSpan w:val="20"/>
          </w:tcPr>
          <w:p>
            <w:pPr>
              <w:spacing w:after="0"/>
              <w:rPr>
                <w:rFonts w:ascii="Arial" w:cs="Arial" w:eastAsia="Arial" w:hAnsi="Arial"/>
                <w:sz w:val="17"/>
                <w:szCs w:val="17"/>
                <w:color w:val="0000EE"/>
              </w:rPr>
            </w:pPr>
            <w:hyperlink w:anchor="page21">
              <w:r>
                <w:rPr>
                  <w:rFonts w:ascii="Arial" w:cs="Arial" w:eastAsia="Arial" w:hAnsi="Arial"/>
                  <w:sz w:val="17"/>
                  <w:szCs w:val="17"/>
                  <w:color w:val="0000EE"/>
                </w:rPr>
                <w:t>Market for Registrant's Common Equity, Related Stockholder Matters and Issuer Purchases of Equity Securities</w:t>
              </w:r>
            </w:hyperlink>
          </w:p>
        </w:tc>
        <w:tc>
          <w:tcPr>
            <w:tcW w:w="1480" w:type="dxa"/>
            <w:vAlign w:val="bottom"/>
            <w:gridSpan w:val="4"/>
          </w:tcPr>
          <w:p>
            <w:pPr>
              <w:jc w:val="center"/>
              <w:ind w:left="1156"/>
              <w:spacing w:after="0"/>
              <w:rPr>
                <w:rFonts w:ascii="Arial" w:cs="Arial" w:eastAsia="Arial" w:hAnsi="Arial"/>
                <w:sz w:val="17"/>
                <w:szCs w:val="17"/>
                <w:color w:val="0000EE"/>
                <w:w w:val="84"/>
              </w:rPr>
            </w:pPr>
            <w:hyperlink w:anchor="page21">
              <w:r>
                <w:rPr>
                  <w:rFonts w:ascii="Arial" w:cs="Arial" w:eastAsia="Arial" w:hAnsi="Arial"/>
                  <w:sz w:val="17"/>
                  <w:szCs w:val="17"/>
                  <w:color w:val="0000EE"/>
                  <w:w w:val="84"/>
                </w:rPr>
                <w:t>21</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480" w:type="dxa"/>
            <w:vAlign w:val="bottom"/>
          </w:tcPr>
          <w:p>
            <w:pPr>
              <w:spacing w:after="0"/>
              <w:rPr>
                <w:rFonts w:ascii="Arial" w:cs="Arial" w:eastAsia="Arial" w:hAnsi="Arial"/>
                <w:sz w:val="17"/>
                <w:szCs w:val="17"/>
                <w:color w:val="0000EE"/>
                <w:w w:val="84"/>
              </w:rPr>
            </w:pPr>
            <w:hyperlink w:anchor="page22">
              <w:r>
                <w:rPr>
                  <w:rFonts w:ascii="Arial" w:cs="Arial" w:eastAsia="Arial" w:hAnsi="Arial"/>
                  <w:sz w:val="17"/>
                  <w:szCs w:val="17"/>
                  <w:color w:val="0000EE"/>
                  <w:w w:val="84"/>
                </w:rPr>
                <w:t>Item 6.</w:t>
              </w:r>
            </w:hyperlink>
          </w:p>
        </w:tc>
        <w:tc>
          <w:tcPr>
            <w:tcW w:w="320" w:type="dxa"/>
            <w:vAlign w:val="bottom"/>
            <w:gridSpan w:val="3"/>
          </w:tcPr>
          <w:p>
            <w:pPr>
              <w:spacing w:after="0"/>
              <w:rPr>
                <w:sz w:val="24"/>
                <w:szCs w:val="24"/>
                <w:color w:val="auto"/>
              </w:rPr>
            </w:pPr>
          </w:p>
        </w:tc>
        <w:tc>
          <w:tcPr>
            <w:tcW w:w="7540" w:type="dxa"/>
            <w:vAlign w:val="bottom"/>
            <w:gridSpan w:val="19"/>
          </w:tcPr>
          <w:p>
            <w:pPr>
              <w:spacing w:after="0"/>
              <w:rPr>
                <w:rFonts w:ascii="Arial" w:cs="Arial" w:eastAsia="Arial" w:hAnsi="Arial"/>
                <w:sz w:val="17"/>
                <w:szCs w:val="17"/>
                <w:color w:val="0000EE"/>
              </w:rPr>
            </w:pPr>
            <w:hyperlink w:anchor="page22">
              <w:r>
                <w:rPr>
                  <w:rFonts w:ascii="Arial" w:cs="Arial" w:eastAsia="Arial" w:hAnsi="Arial"/>
                  <w:sz w:val="17"/>
                  <w:szCs w:val="17"/>
                  <w:color w:val="0000EE"/>
                </w:rPr>
                <w:t>Selected Financial Data</w:t>
              </w:r>
            </w:hyperlink>
          </w:p>
        </w:tc>
        <w:tc>
          <w:tcPr>
            <w:tcW w:w="1200" w:type="dxa"/>
            <w:vAlign w:val="bottom"/>
          </w:tcPr>
          <w:p>
            <w:pPr>
              <w:spacing w:after="0"/>
              <w:rPr>
                <w:sz w:val="24"/>
                <w:szCs w:val="24"/>
                <w:color w:val="auto"/>
              </w:rPr>
            </w:pPr>
          </w:p>
        </w:tc>
        <w:tc>
          <w:tcPr>
            <w:tcW w:w="1480" w:type="dxa"/>
            <w:vAlign w:val="bottom"/>
            <w:gridSpan w:val="4"/>
          </w:tcPr>
          <w:p>
            <w:pPr>
              <w:jc w:val="center"/>
              <w:ind w:left="1156"/>
              <w:spacing w:after="0"/>
              <w:rPr>
                <w:rFonts w:ascii="Arial" w:cs="Arial" w:eastAsia="Arial" w:hAnsi="Arial"/>
                <w:sz w:val="17"/>
                <w:szCs w:val="17"/>
                <w:color w:val="0000EE"/>
                <w:w w:val="84"/>
              </w:rPr>
            </w:pPr>
            <w:hyperlink w:anchor="page22">
              <w:r>
                <w:rPr>
                  <w:rFonts w:ascii="Arial" w:cs="Arial" w:eastAsia="Arial" w:hAnsi="Arial"/>
                  <w:sz w:val="17"/>
                  <w:szCs w:val="17"/>
                  <w:color w:val="0000EE"/>
                  <w:w w:val="84"/>
                </w:rPr>
                <w:t>22</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480" w:type="dxa"/>
            <w:vAlign w:val="bottom"/>
          </w:tcPr>
          <w:p>
            <w:pPr>
              <w:spacing w:after="0"/>
              <w:rPr>
                <w:rFonts w:ascii="Arial" w:cs="Arial" w:eastAsia="Arial" w:hAnsi="Arial"/>
                <w:sz w:val="17"/>
                <w:szCs w:val="17"/>
                <w:color w:val="0000EE"/>
                <w:w w:val="84"/>
              </w:rPr>
            </w:pPr>
            <w:hyperlink w:anchor="page24">
              <w:r>
                <w:rPr>
                  <w:rFonts w:ascii="Arial" w:cs="Arial" w:eastAsia="Arial" w:hAnsi="Arial"/>
                  <w:sz w:val="17"/>
                  <w:szCs w:val="17"/>
                  <w:color w:val="0000EE"/>
                  <w:w w:val="84"/>
                </w:rPr>
                <w:t>Item 7.</w:t>
              </w:r>
            </w:hyperlink>
          </w:p>
        </w:tc>
        <w:tc>
          <w:tcPr>
            <w:tcW w:w="320" w:type="dxa"/>
            <w:vAlign w:val="bottom"/>
            <w:gridSpan w:val="3"/>
          </w:tcPr>
          <w:p>
            <w:pPr>
              <w:spacing w:after="0"/>
              <w:rPr>
                <w:sz w:val="24"/>
                <w:szCs w:val="24"/>
                <w:color w:val="auto"/>
              </w:rPr>
            </w:pPr>
          </w:p>
        </w:tc>
        <w:tc>
          <w:tcPr>
            <w:tcW w:w="6040" w:type="dxa"/>
            <w:vAlign w:val="bottom"/>
            <w:gridSpan w:val="16"/>
          </w:tcPr>
          <w:p>
            <w:pPr>
              <w:spacing w:after="0"/>
              <w:rPr>
                <w:rFonts w:ascii="Arial" w:cs="Arial" w:eastAsia="Arial" w:hAnsi="Arial"/>
                <w:sz w:val="17"/>
                <w:szCs w:val="17"/>
                <w:color w:val="0000EE"/>
                <w:w w:val="90"/>
              </w:rPr>
            </w:pPr>
            <w:hyperlink w:anchor="page24">
              <w:r>
                <w:rPr>
                  <w:rFonts w:ascii="Arial" w:cs="Arial" w:eastAsia="Arial" w:hAnsi="Arial"/>
                  <w:sz w:val="17"/>
                  <w:szCs w:val="17"/>
                  <w:color w:val="0000EE"/>
                  <w:w w:val="90"/>
                </w:rPr>
                <w:t>Management's Discussion and Analysis of Financial Condition and Results of Operations</w:t>
              </w:r>
            </w:hyperlink>
          </w:p>
        </w:tc>
        <w:tc>
          <w:tcPr>
            <w:tcW w:w="2700" w:type="dxa"/>
            <w:vAlign w:val="bottom"/>
            <w:gridSpan w:val="4"/>
          </w:tcPr>
          <w:p>
            <w:pPr>
              <w:spacing w:after="0"/>
              <w:rPr>
                <w:sz w:val="24"/>
                <w:szCs w:val="24"/>
                <w:color w:val="auto"/>
              </w:rPr>
            </w:pPr>
          </w:p>
        </w:tc>
        <w:tc>
          <w:tcPr>
            <w:tcW w:w="1480" w:type="dxa"/>
            <w:vAlign w:val="bottom"/>
            <w:gridSpan w:val="4"/>
          </w:tcPr>
          <w:p>
            <w:pPr>
              <w:jc w:val="center"/>
              <w:ind w:left="1156"/>
              <w:spacing w:after="0"/>
              <w:rPr>
                <w:rFonts w:ascii="Arial" w:cs="Arial" w:eastAsia="Arial" w:hAnsi="Arial"/>
                <w:sz w:val="17"/>
                <w:szCs w:val="17"/>
                <w:color w:val="0000EE"/>
                <w:w w:val="84"/>
              </w:rPr>
            </w:pPr>
            <w:hyperlink w:anchor="page24">
              <w:r>
                <w:rPr>
                  <w:rFonts w:ascii="Arial" w:cs="Arial" w:eastAsia="Arial" w:hAnsi="Arial"/>
                  <w:sz w:val="17"/>
                  <w:szCs w:val="17"/>
                  <w:color w:val="0000EE"/>
                  <w:w w:val="84"/>
                </w:rPr>
                <w:t>24</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580" w:type="dxa"/>
            <w:vAlign w:val="bottom"/>
            <w:gridSpan w:val="3"/>
          </w:tcPr>
          <w:p>
            <w:pPr>
              <w:spacing w:after="0"/>
              <w:rPr>
                <w:rFonts w:ascii="Arial" w:cs="Arial" w:eastAsia="Arial" w:hAnsi="Arial"/>
                <w:sz w:val="17"/>
                <w:szCs w:val="17"/>
                <w:color w:val="0000EE"/>
                <w:w w:val="85"/>
              </w:rPr>
            </w:pPr>
            <w:hyperlink w:anchor="page39">
              <w:r>
                <w:rPr>
                  <w:rFonts w:ascii="Arial" w:cs="Arial" w:eastAsia="Arial" w:hAnsi="Arial"/>
                  <w:sz w:val="17"/>
                  <w:szCs w:val="17"/>
                  <w:color w:val="0000EE"/>
                  <w:w w:val="85"/>
                </w:rPr>
                <w:t>Item 7A.</w:t>
              </w:r>
            </w:hyperlink>
          </w:p>
        </w:tc>
        <w:tc>
          <w:tcPr>
            <w:tcW w:w="220" w:type="dxa"/>
            <w:vAlign w:val="bottom"/>
          </w:tcPr>
          <w:p>
            <w:pPr>
              <w:spacing w:after="0"/>
              <w:rPr>
                <w:sz w:val="24"/>
                <w:szCs w:val="24"/>
                <w:color w:val="auto"/>
              </w:rPr>
            </w:pPr>
          </w:p>
        </w:tc>
        <w:tc>
          <w:tcPr>
            <w:tcW w:w="4040" w:type="dxa"/>
            <w:vAlign w:val="bottom"/>
            <w:gridSpan w:val="14"/>
          </w:tcPr>
          <w:p>
            <w:pPr>
              <w:spacing w:after="0"/>
              <w:rPr>
                <w:rFonts w:ascii="Arial" w:cs="Arial" w:eastAsia="Arial" w:hAnsi="Arial"/>
                <w:sz w:val="17"/>
                <w:szCs w:val="17"/>
                <w:color w:val="0000EE"/>
                <w:w w:val="90"/>
              </w:rPr>
            </w:pPr>
            <w:hyperlink w:anchor="page39">
              <w:r>
                <w:rPr>
                  <w:rFonts w:ascii="Arial" w:cs="Arial" w:eastAsia="Arial" w:hAnsi="Arial"/>
                  <w:sz w:val="17"/>
                  <w:szCs w:val="17"/>
                  <w:color w:val="0000EE"/>
                  <w:w w:val="90"/>
                </w:rPr>
                <w:t>Quantitative and Qualitative Disclosures about Market Risk</w:t>
              </w:r>
            </w:hyperlink>
          </w:p>
        </w:tc>
        <w:tc>
          <w:tcPr>
            <w:tcW w:w="4700" w:type="dxa"/>
            <w:vAlign w:val="bottom"/>
            <w:gridSpan w:val="6"/>
          </w:tcPr>
          <w:p>
            <w:pPr>
              <w:spacing w:after="0"/>
              <w:rPr>
                <w:sz w:val="24"/>
                <w:szCs w:val="24"/>
                <w:color w:val="auto"/>
              </w:rPr>
            </w:pPr>
          </w:p>
        </w:tc>
        <w:tc>
          <w:tcPr>
            <w:tcW w:w="1480" w:type="dxa"/>
            <w:vAlign w:val="bottom"/>
            <w:gridSpan w:val="4"/>
          </w:tcPr>
          <w:p>
            <w:pPr>
              <w:jc w:val="center"/>
              <w:ind w:left="1156"/>
              <w:spacing w:after="0"/>
              <w:rPr>
                <w:rFonts w:ascii="Arial" w:cs="Arial" w:eastAsia="Arial" w:hAnsi="Arial"/>
                <w:sz w:val="17"/>
                <w:szCs w:val="17"/>
                <w:color w:val="0000EE"/>
                <w:w w:val="84"/>
              </w:rPr>
            </w:pPr>
            <w:hyperlink w:anchor="page39">
              <w:r>
                <w:rPr>
                  <w:rFonts w:ascii="Arial" w:cs="Arial" w:eastAsia="Arial" w:hAnsi="Arial"/>
                  <w:sz w:val="17"/>
                  <w:szCs w:val="17"/>
                  <w:color w:val="0000EE"/>
                  <w:w w:val="84"/>
                </w:rPr>
                <w:t>39</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480" w:type="dxa"/>
            <w:vAlign w:val="bottom"/>
          </w:tcPr>
          <w:p>
            <w:pPr>
              <w:spacing w:after="0"/>
              <w:rPr>
                <w:rFonts w:ascii="Arial" w:cs="Arial" w:eastAsia="Arial" w:hAnsi="Arial"/>
                <w:sz w:val="17"/>
                <w:szCs w:val="17"/>
                <w:color w:val="0000EE"/>
                <w:w w:val="84"/>
              </w:rPr>
            </w:pPr>
            <w:hyperlink w:anchor="page39">
              <w:r>
                <w:rPr>
                  <w:rFonts w:ascii="Arial" w:cs="Arial" w:eastAsia="Arial" w:hAnsi="Arial"/>
                  <w:sz w:val="17"/>
                  <w:szCs w:val="17"/>
                  <w:color w:val="0000EE"/>
                  <w:w w:val="84"/>
                </w:rPr>
                <w:t>Item 8.</w:t>
              </w:r>
            </w:hyperlink>
          </w:p>
        </w:tc>
        <w:tc>
          <w:tcPr>
            <w:tcW w:w="1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12"/>
          </w:tcPr>
          <w:p>
            <w:pPr>
              <w:spacing w:after="0"/>
              <w:rPr>
                <w:rFonts w:ascii="Arial" w:cs="Arial" w:eastAsia="Arial" w:hAnsi="Arial"/>
                <w:sz w:val="17"/>
                <w:szCs w:val="17"/>
                <w:color w:val="0000EE"/>
                <w:w w:val="88"/>
              </w:rPr>
            </w:pPr>
            <w:hyperlink w:anchor="page39">
              <w:r>
                <w:rPr>
                  <w:rFonts w:ascii="Arial" w:cs="Arial" w:eastAsia="Arial" w:hAnsi="Arial"/>
                  <w:sz w:val="17"/>
                  <w:szCs w:val="17"/>
                  <w:color w:val="0000EE"/>
                  <w:w w:val="88"/>
                </w:rPr>
                <w:t>Financial Statements and Supplementary Data</w:t>
              </w:r>
            </w:hyperlink>
          </w:p>
        </w:tc>
        <w:tc>
          <w:tcPr>
            <w:tcW w:w="920" w:type="dxa"/>
            <w:vAlign w:val="bottom"/>
            <w:gridSpan w:val="2"/>
          </w:tcPr>
          <w:p>
            <w:pPr>
              <w:spacing w:after="0"/>
              <w:rPr>
                <w:sz w:val="24"/>
                <w:szCs w:val="24"/>
                <w:color w:val="auto"/>
              </w:rPr>
            </w:pPr>
          </w:p>
        </w:tc>
        <w:tc>
          <w:tcPr>
            <w:tcW w:w="4700" w:type="dxa"/>
            <w:vAlign w:val="bottom"/>
            <w:gridSpan w:val="6"/>
          </w:tcPr>
          <w:p>
            <w:pPr>
              <w:spacing w:after="0"/>
              <w:rPr>
                <w:sz w:val="24"/>
                <w:szCs w:val="24"/>
                <w:color w:val="auto"/>
              </w:rPr>
            </w:pPr>
          </w:p>
        </w:tc>
        <w:tc>
          <w:tcPr>
            <w:tcW w:w="1480" w:type="dxa"/>
            <w:vAlign w:val="bottom"/>
            <w:gridSpan w:val="4"/>
          </w:tcPr>
          <w:p>
            <w:pPr>
              <w:jc w:val="center"/>
              <w:ind w:left="1156"/>
              <w:spacing w:after="0"/>
              <w:rPr>
                <w:rFonts w:ascii="Arial" w:cs="Arial" w:eastAsia="Arial" w:hAnsi="Arial"/>
                <w:sz w:val="17"/>
                <w:szCs w:val="17"/>
                <w:color w:val="0000EE"/>
                <w:w w:val="84"/>
              </w:rPr>
            </w:pPr>
            <w:hyperlink w:anchor="page39">
              <w:r>
                <w:rPr>
                  <w:rFonts w:ascii="Arial" w:cs="Arial" w:eastAsia="Arial" w:hAnsi="Arial"/>
                  <w:sz w:val="17"/>
                  <w:szCs w:val="17"/>
                  <w:color w:val="0000EE"/>
                  <w:w w:val="84"/>
                </w:rPr>
                <w:t>39</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480" w:type="dxa"/>
            <w:vAlign w:val="bottom"/>
          </w:tcPr>
          <w:p>
            <w:pPr>
              <w:spacing w:after="0"/>
              <w:rPr>
                <w:rFonts w:ascii="Arial" w:cs="Arial" w:eastAsia="Arial" w:hAnsi="Arial"/>
                <w:sz w:val="17"/>
                <w:szCs w:val="17"/>
                <w:color w:val="0000EE"/>
                <w:w w:val="84"/>
              </w:rPr>
            </w:pPr>
            <w:hyperlink w:anchor="page39">
              <w:r>
                <w:rPr>
                  <w:rFonts w:ascii="Arial" w:cs="Arial" w:eastAsia="Arial" w:hAnsi="Arial"/>
                  <w:sz w:val="17"/>
                  <w:szCs w:val="17"/>
                  <w:color w:val="0000EE"/>
                  <w:w w:val="84"/>
                </w:rPr>
                <w:t>Item 9.</w:t>
              </w:r>
            </w:hyperlink>
          </w:p>
        </w:tc>
        <w:tc>
          <w:tcPr>
            <w:tcW w:w="320" w:type="dxa"/>
            <w:vAlign w:val="bottom"/>
            <w:gridSpan w:val="3"/>
          </w:tcPr>
          <w:p>
            <w:pPr>
              <w:spacing w:after="0"/>
              <w:rPr>
                <w:sz w:val="24"/>
                <w:szCs w:val="24"/>
                <w:color w:val="auto"/>
              </w:rPr>
            </w:pPr>
          </w:p>
        </w:tc>
        <w:tc>
          <w:tcPr>
            <w:tcW w:w="8740" w:type="dxa"/>
            <w:vAlign w:val="bottom"/>
            <w:gridSpan w:val="20"/>
          </w:tcPr>
          <w:p>
            <w:pPr>
              <w:spacing w:after="0"/>
              <w:rPr>
                <w:rFonts w:ascii="Arial" w:cs="Arial" w:eastAsia="Arial" w:hAnsi="Arial"/>
                <w:sz w:val="17"/>
                <w:szCs w:val="17"/>
                <w:color w:val="0000EE"/>
              </w:rPr>
            </w:pPr>
            <w:hyperlink w:anchor="page39">
              <w:r>
                <w:rPr>
                  <w:rFonts w:ascii="Arial" w:cs="Arial" w:eastAsia="Arial" w:hAnsi="Arial"/>
                  <w:sz w:val="17"/>
                  <w:szCs w:val="17"/>
                  <w:color w:val="0000EE"/>
                </w:rPr>
                <w:t>Changes in and Disagreements with Accountants on Accounting and Financial Disclosure</w:t>
              </w:r>
            </w:hyperlink>
          </w:p>
        </w:tc>
        <w:tc>
          <w:tcPr>
            <w:tcW w:w="1480" w:type="dxa"/>
            <w:vAlign w:val="bottom"/>
            <w:gridSpan w:val="4"/>
          </w:tcPr>
          <w:p>
            <w:pPr>
              <w:jc w:val="center"/>
              <w:ind w:left="1156"/>
              <w:spacing w:after="0"/>
              <w:rPr>
                <w:rFonts w:ascii="Arial" w:cs="Arial" w:eastAsia="Arial" w:hAnsi="Arial"/>
                <w:sz w:val="17"/>
                <w:szCs w:val="17"/>
                <w:color w:val="0000EE"/>
                <w:w w:val="84"/>
              </w:rPr>
            </w:pPr>
            <w:hyperlink w:anchor="page39">
              <w:r>
                <w:rPr>
                  <w:rFonts w:ascii="Arial" w:cs="Arial" w:eastAsia="Arial" w:hAnsi="Arial"/>
                  <w:sz w:val="17"/>
                  <w:szCs w:val="17"/>
                  <w:color w:val="0000EE"/>
                  <w:w w:val="84"/>
                </w:rPr>
                <w:t>39</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580" w:type="dxa"/>
            <w:vAlign w:val="bottom"/>
            <w:gridSpan w:val="3"/>
          </w:tcPr>
          <w:p>
            <w:pPr>
              <w:spacing w:after="0"/>
              <w:rPr>
                <w:rFonts w:ascii="Arial" w:cs="Arial" w:eastAsia="Arial" w:hAnsi="Arial"/>
                <w:sz w:val="17"/>
                <w:szCs w:val="17"/>
                <w:color w:val="0000EE"/>
                <w:w w:val="85"/>
              </w:rPr>
            </w:pPr>
            <w:hyperlink w:anchor="page39">
              <w:r>
                <w:rPr>
                  <w:rFonts w:ascii="Arial" w:cs="Arial" w:eastAsia="Arial" w:hAnsi="Arial"/>
                  <w:sz w:val="17"/>
                  <w:szCs w:val="17"/>
                  <w:color w:val="0000EE"/>
                  <w:w w:val="85"/>
                </w:rPr>
                <w:t>Item 9A.</w:t>
              </w:r>
            </w:hyperlink>
          </w:p>
        </w:tc>
        <w:tc>
          <w:tcPr>
            <w:tcW w:w="220" w:type="dxa"/>
            <w:vAlign w:val="bottom"/>
          </w:tcPr>
          <w:p>
            <w:pPr>
              <w:spacing w:after="0"/>
              <w:rPr>
                <w:sz w:val="24"/>
                <w:szCs w:val="24"/>
                <w:color w:val="auto"/>
              </w:rPr>
            </w:pPr>
          </w:p>
        </w:tc>
        <w:tc>
          <w:tcPr>
            <w:tcW w:w="1600" w:type="dxa"/>
            <w:vAlign w:val="bottom"/>
            <w:gridSpan w:val="6"/>
          </w:tcPr>
          <w:p>
            <w:pPr>
              <w:spacing w:after="0"/>
              <w:rPr>
                <w:rFonts w:ascii="Arial" w:cs="Arial" w:eastAsia="Arial" w:hAnsi="Arial"/>
                <w:sz w:val="17"/>
                <w:szCs w:val="17"/>
                <w:color w:val="0000EE"/>
                <w:w w:val="82"/>
              </w:rPr>
            </w:pPr>
            <w:hyperlink w:anchor="page39">
              <w:r>
                <w:rPr>
                  <w:rFonts w:ascii="Arial" w:cs="Arial" w:eastAsia="Arial" w:hAnsi="Arial"/>
                  <w:sz w:val="17"/>
                  <w:szCs w:val="17"/>
                  <w:color w:val="0000EE"/>
                  <w:w w:val="82"/>
                </w:rPr>
                <w:t>Controls and Procedures</w:t>
              </w:r>
            </w:hyperlink>
          </w:p>
        </w:tc>
        <w:tc>
          <w:tcPr>
            <w:tcW w:w="7140" w:type="dxa"/>
            <w:vAlign w:val="bottom"/>
            <w:gridSpan w:val="14"/>
          </w:tcPr>
          <w:p>
            <w:pPr>
              <w:spacing w:after="0"/>
              <w:rPr>
                <w:sz w:val="24"/>
                <w:szCs w:val="24"/>
                <w:color w:val="auto"/>
              </w:rPr>
            </w:pPr>
          </w:p>
        </w:tc>
        <w:tc>
          <w:tcPr>
            <w:tcW w:w="1480" w:type="dxa"/>
            <w:vAlign w:val="bottom"/>
            <w:gridSpan w:val="4"/>
          </w:tcPr>
          <w:p>
            <w:pPr>
              <w:jc w:val="center"/>
              <w:ind w:left="1156"/>
              <w:spacing w:after="0"/>
              <w:rPr>
                <w:rFonts w:ascii="Arial" w:cs="Arial" w:eastAsia="Arial" w:hAnsi="Arial"/>
                <w:sz w:val="17"/>
                <w:szCs w:val="17"/>
                <w:color w:val="0000EE"/>
                <w:w w:val="84"/>
              </w:rPr>
            </w:pPr>
            <w:hyperlink w:anchor="page39">
              <w:r>
                <w:rPr>
                  <w:rFonts w:ascii="Arial" w:cs="Arial" w:eastAsia="Arial" w:hAnsi="Arial"/>
                  <w:sz w:val="17"/>
                  <w:szCs w:val="17"/>
                  <w:color w:val="0000EE"/>
                  <w:w w:val="84"/>
                </w:rPr>
                <w:t>39</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580" w:type="dxa"/>
            <w:vAlign w:val="bottom"/>
            <w:gridSpan w:val="3"/>
          </w:tcPr>
          <w:p>
            <w:pPr>
              <w:spacing w:after="0"/>
              <w:rPr>
                <w:rFonts w:ascii="Arial" w:cs="Arial" w:eastAsia="Arial" w:hAnsi="Arial"/>
                <w:sz w:val="17"/>
                <w:szCs w:val="17"/>
                <w:color w:val="0000EE"/>
                <w:w w:val="85"/>
              </w:rPr>
            </w:pPr>
            <w:hyperlink w:anchor="page43">
              <w:r>
                <w:rPr>
                  <w:rFonts w:ascii="Arial" w:cs="Arial" w:eastAsia="Arial" w:hAnsi="Arial"/>
                  <w:sz w:val="17"/>
                  <w:szCs w:val="17"/>
                  <w:color w:val="0000EE"/>
                  <w:w w:val="85"/>
                </w:rPr>
                <w:t>Item 9B.</w:t>
              </w:r>
            </w:hyperlink>
          </w:p>
        </w:tc>
        <w:tc>
          <w:tcPr>
            <w:tcW w:w="220" w:type="dxa"/>
            <w:vAlign w:val="bottom"/>
          </w:tcPr>
          <w:p>
            <w:pPr>
              <w:spacing w:after="0"/>
              <w:rPr>
                <w:sz w:val="24"/>
                <w:szCs w:val="24"/>
                <w:color w:val="auto"/>
              </w:rPr>
            </w:pPr>
          </w:p>
        </w:tc>
        <w:tc>
          <w:tcPr>
            <w:tcW w:w="1240" w:type="dxa"/>
            <w:vAlign w:val="bottom"/>
            <w:gridSpan w:val="5"/>
          </w:tcPr>
          <w:p>
            <w:pPr>
              <w:spacing w:after="0"/>
              <w:rPr>
                <w:rFonts w:ascii="Arial" w:cs="Arial" w:eastAsia="Arial" w:hAnsi="Arial"/>
                <w:sz w:val="17"/>
                <w:szCs w:val="17"/>
                <w:color w:val="0000EE"/>
                <w:w w:val="92"/>
              </w:rPr>
            </w:pPr>
            <w:hyperlink w:anchor="page43">
              <w:r>
                <w:rPr>
                  <w:rFonts w:ascii="Arial" w:cs="Arial" w:eastAsia="Arial" w:hAnsi="Arial"/>
                  <w:sz w:val="17"/>
                  <w:szCs w:val="17"/>
                  <w:color w:val="0000EE"/>
                  <w:w w:val="92"/>
                </w:rPr>
                <w:t>Other Information</w:t>
              </w:r>
            </w:hyperlink>
          </w:p>
        </w:tc>
        <w:tc>
          <w:tcPr>
            <w:tcW w:w="360" w:type="dxa"/>
            <w:vAlign w:val="bottom"/>
          </w:tcPr>
          <w:p>
            <w:pPr>
              <w:spacing w:after="0"/>
              <w:rPr>
                <w:sz w:val="24"/>
                <w:szCs w:val="24"/>
                <w:color w:val="auto"/>
              </w:rPr>
            </w:pPr>
          </w:p>
        </w:tc>
        <w:tc>
          <w:tcPr>
            <w:tcW w:w="7140" w:type="dxa"/>
            <w:vAlign w:val="bottom"/>
            <w:gridSpan w:val="14"/>
          </w:tcPr>
          <w:p>
            <w:pPr>
              <w:spacing w:after="0"/>
              <w:rPr>
                <w:sz w:val="24"/>
                <w:szCs w:val="24"/>
                <w:color w:val="auto"/>
              </w:rPr>
            </w:pPr>
          </w:p>
        </w:tc>
        <w:tc>
          <w:tcPr>
            <w:tcW w:w="1480" w:type="dxa"/>
            <w:vAlign w:val="bottom"/>
            <w:gridSpan w:val="4"/>
          </w:tcPr>
          <w:p>
            <w:pPr>
              <w:jc w:val="center"/>
              <w:ind w:left="1156"/>
              <w:spacing w:after="0"/>
              <w:rPr>
                <w:rFonts w:ascii="Arial" w:cs="Arial" w:eastAsia="Arial" w:hAnsi="Arial"/>
                <w:sz w:val="17"/>
                <w:szCs w:val="17"/>
                <w:color w:val="0000EE"/>
                <w:w w:val="84"/>
              </w:rPr>
            </w:pPr>
            <w:hyperlink w:anchor="page43">
              <w:r>
                <w:rPr>
                  <w:rFonts w:ascii="Arial" w:cs="Arial" w:eastAsia="Arial" w:hAnsi="Arial"/>
                  <w:sz w:val="17"/>
                  <w:szCs w:val="17"/>
                  <w:color w:val="0000EE"/>
                  <w:w w:val="84"/>
                </w:rPr>
                <w:t>43</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1040" w:type="dxa"/>
            <w:vAlign w:val="bottom"/>
            <w:gridSpan w:val="5"/>
          </w:tcPr>
          <w:p>
            <w:pPr>
              <w:spacing w:after="0"/>
              <w:rPr>
                <w:sz w:val="20"/>
                <w:szCs w:val="20"/>
                <w:color w:val="auto"/>
              </w:rPr>
            </w:pPr>
            <w:r>
              <w:rPr>
                <w:rFonts w:ascii="Arial" w:cs="Arial" w:eastAsia="Arial" w:hAnsi="Arial"/>
                <w:sz w:val="17"/>
                <w:szCs w:val="17"/>
                <w:color w:val="auto"/>
              </w:rPr>
              <w:t>PART III</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40" w:type="dxa"/>
            <w:vAlign w:val="bottom"/>
          </w:tcPr>
          <w:p>
            <w:pPr>
              <w:spacing w:after="0"/>
              <w:rPr>
                <w:sz w:val="24"/>
                <w:szCs w:val="24"/>
                <w:color w:val="auto"/>
              </w:rPr>
            </w:pPr>
          </w:p>
        </w:tc>
        <w:tc>
          <w:tcPr>
            <w:tcW w:w="800" w:type="dxa"/>
            <w:vAlign w:val="bottom"/>
            <w:gridSpan w:val="4"/>
          </w:tcPr>
          <w:p>
            <w:pPr>
              <w:spacing w:after="0"/>
              <w:rPr>
                <w:rFonts w:ascii="Arial" w:cs="Arial" w:eastAsia="Arial" w:hAnsi="Arial"/>
                <w:sz w:val="17"/>
                <w:szCs w:val="17"/>
                <w:color w:val="0000EE"/>
              </w:rPr>
            </w:pPr>
            <w:hyperlink w:anchor="page43">
              <w:r>
                <w:rPr>
                  <w:rFonts w:ascii="Arial" w:cs="Arial" w:eastAsia="Arial" w:hAnsi="Arial"/>
                  <w:sz w:val="17"/>
                  <w:szCs w:val="17"/>
                  <w:color w:val="0000EE"/>
                </w:rPr>
                <w:t>Item 10.</w:t>
              </w:r>
            </w:hyperlink>
          </w:p>
        </w:tc>
        <w:tc>
          <w:tcPr>
            <w:tcW w:w="8740" w:type="dxa"/>
            <w:vAlign w:val="bottom"/>
            <w:gridSpan w:val="20"/>
          </w:tcPr>
          <w:p>
            <w:pPr>
              <w:spacing w:after="0"/>
              <w:rPr>
                <w:rFonts w:ascii="Arial" w:cs="Arial" w:eastAsia="Arial" w:hAnsi="Arial"/>
                <w:sz w:val="17"/>
                <w:szCs w:val="17"/>
                <w:color w:val="0000EE"/>
              </w:rPr>
            </w:pPr>
            <w:hyperlink w:anchor="page43">
              <w:r>
                <w:rPr>
                  <w:rFonts w:ascii="Arial" w:cs="Arial" w:eastAsia="Arial" w:hAnsi="Arial"/>
                  <w:sz w:val="17"/>
                  <w:szCs w:val="17"/>
                  <w:color w:val="0000EE"/>
                </w:rPr>
                <w:t>Directors, Executive Officers and Corporate Governance</w:t>
              </w:r>
            </w:hyperlink>
          </w:p>
        </w:tc>
        <w:tc>
          <w:tcPr>
            <w:tcW w:w="1480" w:type="dxa"/>
            <w:vAlign w:val="bottom"/>
            <w:gridSpan w:val="4"/>
          </w:tcPr>
          <w:p>
            <w:pPr>
              <w:jc w:val="center"/>
              <w:ind w:left="1156"/>
              <w:spacing w:after="0"/>
              <w:rPr>
                <w:rFonts w:ascii="Arial" w:cs="Arial" w:eastAsia="Arial" w:hAnsi="Arial"/>
                <w:sz w:val="17"/>
                <w:szCs w:val="17"/>
                <w:color w:val="0000EE"/>
                <w:w w:val="84"/>
              </w:rPr>
            </w:pPr>
            <w:hyperlink w:anchor="page43">
              <w:r>
                <w:rPr>
                  <w:rFonts w:ascii="Arial" w:cs="Arial" w:eastAsia="Arial" w:hAnsi="Arial"/>
                  <w:sz w:val="17"/>
                  <w:szCs w:val="17"/>
                  <w:color w:val="0000EE"/>
                  <w:w w:val="84"/>
                </w:rPr>
                <w:t>43</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7"/>
                <w:szCs w:val="17"/>
                <w:color w:val="0000EE"/>
                <w:w w:val="87"/>
              </w:rPr>
            </w:pPr>
            <w:hyperlink w:anchor="page43">
              <w:r>
                <w:rPr>
                  <w:rFonts w:ascii="Arial" w:cs="Arial" w:eastAsia="Arial" w:hAnsi="Arial"/>
                  <w:sz w:val="17"/>
                  <w:szCs w:val="17"/>
                  <w:color w:val="0000EE"/>
                  <w:w w:val="87"/>
                </w:rPr>
                <w:t>Item 11.</w:t>
              </w:r>
            </w:hyperlink>
          </w:p>
        </w:tc>
        <w:tc>
          <w:tcPr>
            <w:tcW w:w="240" w:type="dxa"/>
            <w:vAlign w:val="bottom"/>
            <w:gridSpan w:val="2"/>
          </w:tcPr>
          <w:p>
            <w:pPr>
              <w:spacing w:after="0"/>
              <w:rPr>
                <w:sz w:val="24"/>
                <w:szCs w:val="24"/>
                <w:color w:val="auto"/>
              </w:rPr>
            </w:pPr>
          </w:p>
        </w:tc>
        <w:tc>
          <w:tcPr>
            <w:tcW w:w="3840" w:type="dxa"/>
            <w:vAlign w:val="bottom"/>
            <w:gridSpan w:val="13"/>
          </w:tcPr>
          <w:p>
            <w:pPr>
              <w:spacing w:after="0"/>
              <w:rPr>
                <w:rFonts w:ascii="Arial" w:cs="Arial" w:eastAsia="Arial" w:hAnsi="Arial"/>
                <w:sz w:val="17"/>
                <w:szCs w:val="17"/>
                <w:color w:val="0000EE"/>
              </w:rPr>
            </w:pPr>
            <w:hyperlink w:anchor="page43">
              <w:r>
                <w:rPr>
                  <w:rFonts w:ascii="Arial" w:cs="Arial" w:eastAsia="Arial" w:hAnsi="Arial"/>
                  <w:sz w:val="17"/>
                  <w:szCs w:val="17"/>
                  <w:color w:val="0000EE"/>
                </w:rPr>
                <w:t>Executive Compensation</w:t>
              </w:r>
            </w:hyperlink>
          </w:p>
        </w:tc>
        <w:tc>
          <w:tcPr>
            <w:tcW w:w="4900" w:type="dxa"/>
            <w:vAlign w:val="bottom"/>
            <w:gridSpan w:val="7"/>
          </w:tcPr>
          <w:p>
            <w:pPr>
              <w:spacing w:after="0"/>
              <w:rPr>
                <w:sz w:val="24"/>
                <w:szCs w:val="24"/>
                <w:color w:val="auto"/>
              </w:rPr>
            </w:pPr>
          </w:p>
        </w:tc>
        <w:tc>
          <w:tcPr>
            <w:tcW w:w="1480" w:type="dxa"/>
            <w:vAlign w:val="bottom"/>
            <w:gridSpan w:val="4"/>
          </w:tcPr>
          <w:p>
            <w:pPr>
              <w:jc w:val="center"/>
              <w:ind w:left="1156"/>
              <w:spacing w:after="0"/>
              <w:rPr>
                <w:rFonts w:ascii="Arial" w:cs="Arial" w:eastAsia="Arial" w:hAnsi="Arial"/>
                <w:sz w:val="17"/>
                <w:szCs w:val="17"/>
                <w:color w:val="0000EE"/>
                <w:w w:val="84"/>
              </w:rPr>
            </w:pPr>
            <w:hyperlink w:anchor="page43">
              <w:r>
                <w:rPr>
                  <w:rFonts w:ascii="Arial" w:cs="Arial" w:eastAsia="Arial" w:hAnsi="Arial"/>
                  <w:sz w:val="17"/>
                  <w:szCs w:val="17"/>
                  <w:color w:val="0000EE"/>
                  <w:w w:val="84"/>
                </w:rPr>
                <w:t>43</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580" w:type="dxa"/>
            <w:vAlign w:val="bottom"/>
            <w:gridSpan w:val="3"/>
          </w:tcPr>
          <w:p>
            <w:pPr>
              <w:spacing w:after="0"/>
              <w:rPr>
                <w:rFonts w:ascii="Arial" w:cs="Arial" w:eastAsia="Arial" w:hAnsi="Arial"/>
                <w:sz w:val="17"/>
                <w:szCs w:val="17"/>
                <w:color w:val="0000EE"/>
                <w:w w:val="87"/>
              </w:rPr>
            </w:pPr>
            <w:hyperlink w:anchor="page43">
              <w:r>
                <w:rPr>
                  <w:rFonts w:ascii="Arial" w:cs="Arial" w:eastAsia="Arial" w:hAnsi="Arial"/>
                  <w:sz w:val="17"/>
                  <w:szCs w:val="17"/>
                  <w:color w:val="0000EE"/>
                  <w:w w:val="87"/>
                </w:rPr>
                <w:t>Item 12.</w:t>
              </w:r>
            </w:hyperlink>
          </w:p>
        </w:tc>
        <w:tc>
          <w:tcPr>
            <w:tcW w:w="220" w:type="dxa"/>
            <w:vAlign w:val="bottom"/>
          </w:tcPr>
          <w:p>
            <w:pPr>
              <w:spacing w:after="0"/>
              <w:rPr>
                <w:sz w:val="24"/>
                <w:szCs w:val="24"/>
                <w:color w:val="auto"/>
              </w:rPr>
            </w:pPr>
          </w:p>
        </w:tc>
        <w:tc>
          <w:tcPr>
            <w:tcW w:w="6840" w:type="dxa"/>
            <w:vAlign w:val="bottom"/>
            <w:gridSpan w:val="18"/>
          </w:tcPr>
          <w:p>
            <w:pPr>
              <w:spacing w:after="0"/>
              <w:rPr>
                <w:rFonts w:ascii="Arial" w:cs="Arial" w:eastAsia="Arial" w:hAnsi="Arial"/>
                <w:sz w:val="17"/>
                <w:szCs w:val="17"/>
                <w:color w:val="0000EE"/>
                <w:w w:val="90"/>
              </w:rPr>
            </w:pPr>
            <w:hyperlink w:anchor="page43">
              <w:r>
                <w:rPr>
                  <w:rFonts w:ascii="Arial" w:cs="Arial" w:eastAsia="Arial" w:hAnsi="Arial"/>
                  <w:sz w:val="17"/>
                  <w:szCs w:val="17"/>
                  <w:color w:val="0000EE"/>
                  <w:w w:val="90"/>
                </w:rPr>
                <w:t>Security Ownership of Certain Beneficial Owners and Management and Related Stockholder Matters</w:t>
              </w:r>
            </w:hyperlink>
          </w:p>
        </w:tc>
        <w:tc>
          <w:tcPr>
            <w:tcW w:w="1900" w:type="dxa"/>
            <w:vAlign w:val="bottom"/>
            <w:gridSpan w:val="2"/>
          </w:tcPr>
          <w:p>
            <w:pPr>
              <w:spacing w:after="0"/>
              <w:rPr>
                <w:sz w:val="24"/>
                <w:szCs w:val="24"/>
                <w:color w:val="auto"/>
              </w:rPr>
            </w:pPr>
          </w:p>
        </w:tc>
        <w:tc>
          <w:tcPr>
            <w:tcW w:w="1480" w:type="dxa"/>
            <w:vAlign w:val="bottom"/>
            <w:gridSpan w:val="4"/>
          </w:tcPr>
          <w:p>
            <w:pPr>
              <w:jc w:val="center"/>
              <w:ind w:left="1156"/>
              <w:spacing w:after="0"/>
              <w:rPr>
                <w:rFonts w:ascii="Arial" w:cs="Arial" w:eastAsia="Arial" w:hAnsi="Arial"/>
                <w:sz w:val="17"/>
                <w:szCs w:val="17"/>
                <w:color w:val="0000EE"/>
                <w:w w:val="84"/>
              </w:rPr>
            </w:pPr>
            <w:hyperlink w:anchor="page43">
              <w:r>
                <w:rPr>
                  <w:rFonts w:ascii="Arial" w:cs="Arial" w:eastAsia="Arial" w:hAnsi="Arial"/>
                  <w:sz w:val="17"/>
                  <w:szCs w:val="17"/>
                  <w:color w:val="0000EE"/>
                  <w:w w:val="84"/>
                </w:rPr>
                <w:t>43</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580" w:type="dxa"/>
            <w:vAlign w:val="bottom"/>
            <w:gridSpan w:val="3"/>
          </w:tcPr>
          <w:p>
            <w:pPr>
              <w:spacing w:after="0"/>
              <w:rPr>
                <w:rFonts w:ascii="Arial" w:cs="Arial" w:eastAsia="Arial" w:hAnsi="Arial"/>
                <w:sz w:val="17"/>
                <w:szCs w:val="17"/>
                <w:color w:val="0000EE"/>
                <w:w w:val="87"/>
              </w:rPr>
            </w:pPr>
            <w:hyperlink w:anchor="page43">
              <w:r>
                <w:rPr>
                  <w:rFonts w:ascii="Arial" w:cs="Arial" w:eastAsia="Arial" w:hAnsi="Arial"/>
                  <w:sz w:val="17"/>
                  <w:szCs w:val="17"/>
                  <w:color w:val="0000EE"/>
                  <w:w w:val="87"/>
                </w:rPr>
                <w:t>Item 13.</w:t>
              </w:r>
            </w:hyperlink>
          </w:p>
        </w:tc>
        <w:tc>
          <w:tcPr>
            <w:tcW w:w="220" w:type="dxa"/>
            <w:vAlign w:val="bottom"/>
          </w:tcPr>
          <w:p>
            <w:pPr>
              <w:spacing w:after="0"/>
              <w:rPr>
                <w:sz w:val="24"/>
                <w:szCs w:val="24"/>
                <w:color w:val="auto"/>
              </w:rPr>
            </w:pPr>
          </w:p>
        </w:tc>
        <w:tc>
          <w:tcPr>
            <w:tcW w:w="6840" w:type="dxa"/>
            <w:vAlign w:val="bottom"/>
            <w:gridSpan w:val="18"/>
          </w:tcPr>
          <w:p>
            <w:pPr>
              <w:spacing w:after="0"/>
              <w:rPr>
                <w:rFonts w:ascii="Arial" w:cs="Arial" w:eastAsia="Arial" w:hAnsi="Arial"/>
                <w:sz w:val="17"/>
                <w:szCs w:val="17"/>
                <w:color w:val="0000EE"/>
              </w:rPr>
            </w:pPr>
            <w:hyperlink w:anchor="page43">
              <w:r>
                <w:rPr>
                  <w:rFonts w:ascii="Arial" w:cs="Arial" w:eastAsia="Arial" w:hAnsi="Arial"/>
                  <w:sz w:val="17"/>
                  <w:szCs w:val="17"/>
                  <w:color w:val="0000EE"/>
                </w:rPr>
                <w:t>Certain Relationships and Related Transactions, and Director Independence</w:t>
              </w:r>
            </w:hyperlink>
          </w:p>
        </w:tc>
        <w:tc>
          <w:tcPr>
            <w:tcW w:w="1900" w:type="dxa"/>
            <w:vAlign w:val="bottom"/>
            <w:gridSpan w:val="2"/>
          </w:tcPr>
          <w:p>
            <w:pPr>
              <w:spacing w:after="0"/>
              <w:rPr>
                <w:sz w:val="24"/>
                <w:szCs w:val="24"/>
                <w:color w:val="auto"/>
              </w:rPr>
            </w:pPr>
          </w:p>
        </w:tc>
        <w:tc>
          <w:tcPr>
            <w:tcW w:w="1480" w:type="dxa"/>
            <w:vAlign w:val="bottom"/>
            <w:gridSpan w:val="4"/>
          </w:tcPr>
          <w:p>
            <w:pPr>
              <w:jc w:val="center"/>
              <w:ind w:left="1156"/>
              <w:spacing w:after="0"/>
              <w:rPr>
                <w:rFonts w:ascii="Arial" w:cs="Arial" w:eastAsia="Arial" w:hAnsi="Arial"/>
                <w:sz w:val="17"/>
                <w:szCs w:val="17"/>
                <w:color w:val="0000EE"/>
                <w:w w:val="84"/>
              </w:rPr>
            </w:pPr>
            <w:hyperlink w:anchor="page43">
              <w:r>
                <w:rPr>
                  <w:rFonts w:ascii="Arial" w:cs="Arial" w:eastAsia="Arial" w:hAnsi="Arial"/>
                  <w:sz w:val="17"/>
                  <w:szCs w:val="17"/>
                  <w:color w:val="0000EE"/>
                  <w:w w:val="84"/>
                </w:rPr>
                <w:t>43</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580" w:type="dxa"/>
            <w:vAlign w:val="bottom"/>
            <w:gridSpan w:val="3"/>
          </w:tcPr>
          <w:p>
            <w:pPr>
              <w:spacing w:after="0"/>
              <w:rPr>
                <w:rFonts w:ascii="Arial" w:cs="Arial" w:eastAsia="Arial" w:hAnsi="Arial"/>
                <w:sz w:val="17"/>
                <w:szCs w:val="17"/>
                <w:color w:val="0000EE"/>
                <w:w w:val="87"/>
              </w:rPr>
            </w:pPr>
            <w:hyperlink w:anchor="page43">
              <w:r>
                <w:rPr>
                  <w:rFonts w:ascii="Arial" w:cs="Arial" w:eastAsia="Arial" w:hAnsi="Arial"/>
                  <w:sz w:val="17"/>
                  <w:szCs w:val="17"/>
                  <w:color w:val="0000EE"/>
                  <w:w w:val="87"/>
                </w:rPr>
                <w:t>Item 14.</w:t>
              </w:r>
            </w:hyperlink>
          </w:p>
        </w:tc>
        <w:tc>
          <w:tcPr>
            <w:tcW w:w="220" w:type="dxa"/>
            <w:vAlign w:val="bottom"/>
          </w:tcPr>
          <w:p>
            <w:pPr>
              <w:spacing w:after="0"/>
              <w:rPr>
                <w:sz w:val="24"/>
                <w:szCs w:val="24"/>
                <w:color w:val="auto"/>
              </w:rPr>
            </w:pPr>
          </w:p>
        </w:tc>
        <w:tc>
          <w:tcPr>
            <w:tcW w:w="5100" w:type="dxa"/>
            <w:vAlign w:val="bottom"/>
            <w:gridSpan w:val="15"/>
          </w:tcPr>
          <w:p>
            <w:pPr>
              <w:spacing w:after="0"/>
              <w:rPr>
                <w:rFonts w:ascii="Arial" w:cs="Arial" w:eastAsia="Arial" w:hAnsi="Arial"/>
                <w:sz w:val="17"/>
                <w:szCs w:val="17"/>
                <w:color w:val="0000EE"/>
              </w:rPr>
            </w:pPr>
            <w:hyperlink w:anchor="page43">
              <w:r>
                <w:rPr>
                  <w:rFonts w:ascii="Arial" w:cs="Arial" w:eastAsia="Arial" w:hAnsi="Arial"/>
                  <w:sz w:val="17"/>
                  <w:szCs w:val="17"/>
                  <w:color w:val="0000EE"/>
                </w:rPr>
                <w:t>Principal Accounting Fees and Services</w:t>
              </w:r>
            </w:hyperlink>
          </w:p>
        </w:tc>
        <w:tc>
          <w:tcPr>
            <w:tcW w:w="3640" w:type="dxa"/>
            <w:vAlign w:val="bottom"/>
            <w:gridSpan w:val="5"/>
          </w:tcPr>
          <w:p>
            <w:pPr>
              <w:spacing w:after="0"/>
              <w:rPr>
                <w:sz w:val="24"/>
                <w:szCs w:val="24"/>
                <w:color w:val="auto"/>
              </w:rPr>
            </w:pPr>
          </w:p>
        </w:tc>
        <w:tc>
          <w:tcPr>
            <w:tcW w:w="1480" w:type="dxa"/>
            <w:vAlign w:val="bottom"/>
            <w:gridSpan w:val="4"/>
          </w:tcPr>
          <w:p>
            <w:pPr>
              <w:jc w:val="center"/>
              <w:ind w:left="1156"/>
              <w:spacing w:after="0"/>
              <w:rPr>
                <w:rFonts w:ascii="Arial" w:cs="Arial" w:eastAsia="Arial" w:hAnsi="Arial"/>
                <w:sz w:val="17"/>
                <w:szCs w:val="17"/>
                <w:color w:val="0000EE"/>
                <w:w w:val="84"/>
              </w:rPr>
            </w:pPr>
            <w:hyperlink w:anchor="page43">
              <w:r>
                <w:rPr>
                  <w:rFonts w:ascii="Arial" w:cs="Arial" w:eastAsia="Arial" w:hAnsi="Arial"/>
                  <w:sz w:val="17"/>
                  <w:szCs w:val="17"/>
                  <w:color w:val="0000EE"/>
                  <w:w w:val="84"/>
                </w:rPr>
                <w:t>43</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1040" w:type="dxa"/>
            <w:vAlign w:val="bottom"/>
            <w:gridSpan w:val="5"/>
          </w:tcPr>
          <w:p>
            <w:pPr>
              <w:spacing w:after="0"/>
              <w:rPr>
                <w:sz w:val="20"/>
                <w:szCs w:val="20"/>
                <w:color w:val="auto"/>
              </w:rPr>
            </w:pPr>
            <w:r>
              <w:rPr>
                <w:rFonts w:ascii="Arial" w:cs="Arial" w:eastAsia="Arial" w:hAnsi="Arial"/>
                <w:sz w:val="17"/>
                <w:szCs w:val="17"/>
                <w:color w:val="auto"/>
              </w:rPr>
              <w:t>PART IV</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40" w:type="dxa"/>
            <w:vAlign w:val="bottom"/>
          </w:tcPr>
          <w:p>
            <w:pPr>
              <w:spacing w:after="0"/>
              <w:rPr>
                <w:sz w:val="24"/>
                <w:szCs w:val="24"/>
                <w:color w:val="auto"/>
              </w:rPr>
            </w:pPr>
          </w:p>
        </w:tc>
        <w:tc>
          <w:tcPr>
            <w:tcW w:w="800" w:type="dxa"/>
            <w:vAlign w:val="bottom"/>
            <w:gridSpan w:val="4"/>
          </w:tcPr>
          <w:p>
            <w:pPr>
              <w:spacing w:after="0"/>
              <w:rPr>
                <w:rFonts w:ascii="Arial" w:cs="Arial" w:eastAsia="Arial" w:hAnsi="Arial"/>
                <w:sz w:val="17"/>
                <w:szCs w:val="17"/>
                <w:color w:val="0000EE"/>
              </w:rPr>
            </w:pPr>
            <w:hyperlink w:anchor="page44">
              <w:r>
                <w:rPr>
                  <w:rFonts w:ascii="Arial" w:cs="Arial" w:eastAsia="Arial" w:hAnsi="Arial"/>
                  <w:sz w:val="17"/>
                  <w:szCs w:val="17"/>
                  <w:color w:val="0000EE"/>
                </w:rPr>
                <w:t>Item 15.</w:t>
              </w:r>
            </w:hyperlink>
          </w:p>
        </w:tc>
        <w:tc>
          <w:tcPr>
            <w:tcW w:w="8740" w:type="dxa"/>
            <w:vAlign w:val="bottom"/>
            <w:gridSpan w:val="20"/>
          </w:tcPr>
          <w:p>
            <w:pPr>
              <w:spacing w:after="0"/>
              <w:rPr>
                <w:rFonts w:ascii="Arial" w:cs="Arial" w:eastAsia="Arial" w:hAnsi="Arial"/>
                <w:sz w:val="17"/>
                <w:szCs w:val="17"/>
                <w:color w:val="0000EE"/>
              </w:rPr>
            </w:pPr>
            <w:hyperlink w:anchor="page44">
              <w:r>
                <w:rPr>
                  <w:rFonts w:ascii="Arial" w:cs="Arial" w:eastAsia="Arial" w:hAnsi="Arial"/>
                  <w:sz w:val="17"/>
                  <w:szCs w:val="17"/>
                  <w:color w:val="0000EE"/>
                </w:rPr>
                <w:t>Exhibits, Financial Statement Schedules</w:t>
              </w:r>
            </w:hyperlink>
          </w:p>
        </w:tc>
        <w:tc>
          <w:tcPr>
            <w:tcW w:w="1480" w:type="dxa"/>
            <w:vAlign w:val="bottom"/>
            <w:gridSpan w:val="4"/>
          </w:tcPr>
          <w:p>
            <w:pPr>
              <w:jc w:val="center"/>
              <w:ind w:left="1156"/>
              <w:spacing w:after="0"/>
              <w:rPr>
                <w:rFonts w:ascii="Arial" w:cs="Arial" w:eastAsia="Arial" w:hAnsi="Arial"/>
                <w:sz w:val="17"/>
                <w:szCs w:val="17"/>
                <w:color w:val="0000EE"/>
                <w:w w:val="84"/>
              </w:rPr>
            </w:pPr>
            <w:hyperlink w:anchor="page44">
              <w:r>
                <w:rPr>
                  <w:rFonts w:ascii="Arial" w:cs="Arial" w:eastAsia="Arial" w:hAnsi="Arial"/>
                  <w:sz w:val="17"/>
                  <w:szCs w:val="17"/>
                  <w:color w:val="0000EE"/>
                  <w:w w:val="84"/>
                </w:rPr>
                <w:t>44</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00" w:type="dxa"/>
            <w:vAlign w:val="bottom"/>
            <w:gridSpan w:val="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0" w:type="dxa"/>
            <w:vAlign w:val="bottom"/>
            <w:gridSpan w:val="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Borders>
              <w:bottom w:val="single" w:sz="8" w:color="0000EE"/>
            </w:tcBorders>
            <w:gridSpan w:val="11"/>
          </w:tcPr>
          <w:p>
            <w:pPr>
              <w:spacing w:after="0"/>
              <w:rPr>
                <w:rFonts w:ascii="Arial" w:cs="Arial" w:eastAsia="Arial" w:hAnsi="Arial"/>
                <w:sz w:val="17"/>
                <w:szCs w:val="17"/>
                <w:color w:val="0000EE"/>
                <w:w w:val="89"/>
              </w:rPr>
            </w:pPr>
            <w:hyperlink w:anchor="page45">
              <w:r>
                <w:rPr>
                  <w:rFonts w:ascii="Arial" w:cs="Arial" w:eastAsia="Arial" w:hAnsi="Arial"/>
                  <w:sz w:val="17"/>
                  <w:szCs w:val="17"/>
                  <w:color w:val="0000EE"/>
                  <w:w w:val="89"/>
                </w:rPr>
                <w:t>Index to Consolidated Financial Statements</w:t>
              </w:r>
            </w:hyperlink>
          </w:p>
        </w:tc>
        <w:tc>
          <w:tcPr>
            <w:tcW w:w="5800" w:type="dxa"/>
            <w:vAlign w:val="bottom"/>
            <w:gridSpan w:val="9"/>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Borders>
              <w:bottom w:val="single" w:sz="8" w:color="0000EE"/>
            </w:tcBorders>
            <w:gridSpan w:val="3"/>
          </w:tcPr>
          <w:p>
            <w:pPr>
              <w:jc w:val="center"/>
              <w:spacing w:after="0"/>
              <w:rPr>
                <w:rFonts w:ascii="Arial" w:cs="Arial" w:eastAsia="Arial" w:hAnsi="Arial"/>
                <w:sz w:val="17"/>
                <w:szCs w:val="17"/>
                <w:color w:val="0000EE"/>
                <w:w w:val="93"/>
              </w:rPr>
            </w:pPr>
            <w:hyperlink w:anchor="page45">
              <w:r>
                <w:rPr>
                  <w:rFonts w:ascii="Arial" w:cs="Arial" w:eastAsia="Arial" w:hAnsi="Arial"/>
                  <w:sz w:val="17"/>
                  <w:szCs w:val="17"/>
                  <w:color w:val="0000EE"/>
                  <w:w w:val="93"/>
                </w:rPr>
                <w:t>F-1</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740" w:type="dxa"/>
            <w:vAlign w:val="bottom"/>
            <w:gridSpan w:val="20"/>
          </w:tcPr>
          <w:p>
            <w:pPr>
              <w:spacing w:after="0"/>
              <w:rPr>
                <w:rFonts w:ascii="Arial" w:cs="Arial" w:eastAsia="Arial" w:hAnsi="Arial"/>
                <w:sz w:val="17"/>
                <w:szCs w:val="17"/>
                <w:color w:val="0000EE"/>
              </w:rPr>
            </w:pPr>
            <w:hyperlink w:anchor="page83">
              <w:r>
                <w:rPr>
                  <w:rFonts w:ascii="Arial" w:cs="Arial" w:eastAsia="Arial" w:hAnsi="Arial"/>
                  <w:sz w:val="17"/>
                  <w:szCs w:val="17"/>
                  <w:color w:val="0000EE"/>
                </w:rPr>
                <w:t>Signatures</w:t>
              </w:r>
            </w:hyperlink>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5"/>
        </w:trPr>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4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80" w:type="dxa"/>
            <w:vAlign w:val="bottom"/>
            <w:tcBorders>
              <w:left w:val="single" w:sz="8" w:color="auto"/>
            </w:tcBorders>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20" w:type="dxa"/>
            <w:vAlign w:val="bottom"/>
            <w:tcBorders>
              <w:left w:val="single" w:sz="8" w:color="auto"/>
            </w:tcBorders>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80" w:type="dxa"/>
            <w:vAlign w:val="bottom"/>
            <w:tcBorders>
              <w:lef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80" w:type="dxa"/>
            <w:vAlign w:val="bottom"/>
            <w:tcBorders>
              <w:right w:val="single" w:sz="8" w:color="auto"/>
            </w:tcBorders>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tcBorders>
              <w:lef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6"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This Annual Report on Form 10-K contains statements that are not statements of historical fact and are forward-looking statements within the meaning of</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Section 27A of the Securities Act of 1933 and Section 21E of the Securities Exchange Act of 1934 (Exchange Act), each as amended. The forward-looking statements are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principally, but not exclusively, contained in “Item 1: Business” and “Item 7: Management’s Discussion and Analysis of Financial Condition and Results of</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Operations.” These statements involve known and unknown risks, uncertainties and other factors that may cause our actual results, performance or achievements to be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materially different from any future results, performance or achievements expressed or implied by the forward-looking statements. Forward-looking statements include,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but are not limited to, statements about management’s confidence or expectations, our business strategy, our ability to raise capital or borrow funds to consummate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acquisitions and the availability of attractive acquisition candidates, our expectations regarding future costs of product revenues, our anticipated compliance with the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covenants contained in our credit facility, the adequacy of our financial resources and our plans, objectives, expectations and intentions that are not historical facts. In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some cases, you can identify forward-looking statements by terms such as “may,” “will,” “should,” “could,” “would,” “seek,” “expects,” “plans,” “aim,”</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“anticipates,” “believes,” “estimates,” “projects,” “predicts,” “intends,” “think,” “strategy,” “potential,” “objectives,” “optimistic,” “new,” “goal” and similar</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expressions intended to identify forward-looking statements. These statements reflect our current views with respect to future events and are based on assumptions and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subject to risks and uncertainties. Given these uncertainties, you should not place undue reliance on these forward-looking statements. We discuss many of these risks in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detail under the heading “Item 1A. Risk Factors” beginning on page 9 of this Annual Report on Form 10-K. You should carefully review all of these factors, as well as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risks described in our public filings, and you should be aware that there may be other factors, including factors of which we are not currently aware, that could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cause these differences. Also, these forward-looking statements represent our estimates and assumptions only as of the date of this report. We may not update these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forward-looking statements, even though our situation may change in the future, unless we have obligations under the federal securities laws to update and disclose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material developments related to previously disclosed information. Harvard Bioscience, Inc. is referred to herein as “we,” “our,” “us,” and “the Company.”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3"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3" w:lineRule="exact"/>
        <w:rPr>
          <w:sz w:val="20"/>
          <w:szCs w:val="20"/>
          <w:color w:val="auto"/>
        </w:rPr>
      </w:pPr>
    </w:p>
    <w:p>
      <w:pPr>
        <w:ind w:right="80" w:firstLine="413"/>
        <w:spacing w:after="0" w:line="301" w:lineRule="auto"/>
        <w:rPr>
          <w:sz w:val="20"/>
          <w:szCs w:val="20"/>
          <w:color w:val="auto"/>
        </w:rPr>
      </w:pPr>
      <w:r>
        <w:rPr>
          <w:rFonts w:ascii="Arial" w:cs="Arial" w:eastAsia="Arial" w:hAnsi="Arial"/>
          <w:sz w:val="15"/>
          <w:szCs w:val="15"/>
          <w:color w:val="auto"/>
        </w:rPr>
        <w:t>Harvard Bioscience, Inc., a Delaware corporation, is a global developer, manufacturer and marketer of a broad range of scientific instruments and systems used to advance life science for basic research, drug discovery, clinical and environmental testing. Our products are sold to thousands of researchers in over 100 countries through our global sales organization, websites, catalogs, and through distributors including Thermo Fisher Scientific Inc., VWR and other specialized distributors. We have sales and manufacturing operations in the United States, the United Kingdom, Germany, Sweden, Spain, France, Canada, and China.</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History</w:t>
      </w:r>
    </w:p>
    <w:p>
      <w:pPr>
        <w:spacing w:after="0" w:line="213" w:lineRule="exact"/>
        <w:rPr>
          <w:sz w:val="20"/>
          <w:szCs w:val="20"/>
          <w:color w:val="auto"/>
        </w:rPr>
      </w:pPr>
    </w:p>
    <w:p>
      <w:pPr>
        <w:ind w:right="280" w:firstLine="413"/>
        <w:spacing w:after="0" w:line="256" w:lineRule="auto"/>
        <w:rPr>
          <w:sz w:val="20"/>
          <w:szCs w:val="20"/>
          <w:color w:val="auto"/>
        </w:rPr>
      </w:pPr>
      <w:r>
        <w:rPr>
          <w:rFonts w:ascii="Arial" w:cs="Arial" w:eastAsia="Arial" w:hAnsi="Arial"/>
          <w:sz w:val="17"/>
          <w:szCs w:val="17"/>
          <w:color w:val="auto"/>
        </w:rPr>
        <w:t>Our business began in 1901 under the name Harvard Apparatus. It was founded by Dr. William T. Porter, a Professor of Physiology at Harvard Medical School and a pioneer of physiology education. We have grown over the years with the development and evolution of modern life science research and education. Our early inventions included ventilators based on Dr. Porter’s design, the mechanical syringe pump for drug infusion in the 1950s, and the microprocessor controlled syringe pump in the 1980s.</w:t>
      </w:r>
    </w:p>
    <w:p>
      <w:pPr>
        <w:spacing w:after="0" w:line="178" w:lineRule="exact"/>
        <w:rPr>
          <w:sz w:val="20"/>
          <w:szCs w:val="20"/>
          <w:color w:val="auto"/>
        </w:rPr>
      </w:pPr>
    </w:p>
    <w:p>
      <w:pPr>
        <w:ind w:firstLine="413"/>
        <w:spacing w:after="0" w:line="252" w:lineRule="auto"/>
        <w:rPr>
          <w:sz w:val="20"/>
          <w:szCs w:val="20"/>
          <w:color w:val="auto"/>
        </w:rPr>
      </w:pPr>
      <w:r>
        <w:rPr>
          <w:rFonts w:ascii="Arial" w:cs="Arial" w:eastAsia="Arial" w:hAnsi="Arial"/>
          <w:sz w:val="17"/>
          <w:szCs w:val="17"/>
          <w:color w:val="auto"/>
        </w:rPr>
        <w:t>In March of 1996, a group of investors acquired a majority of the then existing business of our predecessor, Harvard Apparatus, Inc. Following this acquisition, our focus was redirected to acquiring complimentary companies with innovative technologies while continuing to grow the existing business through internal product development. Since 1996, we have completed more than 26 business or product line acquisitions related to our continuing operations. We have also developed many new product lines including: new generation Harvard Apparatus syringe pumps, PHD Ultra series of syringe pumps, advanced Inspira ventilators, GeneQuant DNA/RNA/protein calculators, UVM plate readers, BTX Gemini X2 multi-waveform electroporation system, BioDrop micro-volume spectrophotometer and cuvette, OxyletPro metabolic monitoring system, Multi-Channel Systems’ automated four channel PatchServer, DP-304A amplifiers, Allegro Peristaltic pump systems, Centrifan small-volume evaporators and advanced VentElite ventilators.</w:t>
      </w:r>
    </w:p>
    <w:p>
      <w:pPr>
        <w:spacing w:after="0" w:line="183" w:lineRule="exact"/>
        <w:rPr>
          <w:sz w:val="20"/>
          <w:szCs w:val="20"/>
          <w:color w:val="auto"/>
        </w:rPr>
      </w:pPr>
    </w:p>
    <w:p>
      <w:pPr>
        <w:ind w:right="100" w:firstLine="413"/>
        <w:spacing w:after="0" w:line="256" w:lineRule="auto"/>
        <w:rPr>
          <w:sz w:val="20"/>
          <w:szCs w:val="20"/>
          <w:color w:val="auto"/>
        </w:rPr>
      </w:pPr>
      <w:r>
        <w:rPr>
          <w:rFonts w:ascii="Arial" w:cs="Arial" w:eastAsia="Arial" w:hAnsi="Arial"/>
          <w:sz w:val="17"/>
          <w:szCs w:val="17"/>
          <w:color w:val="auto"/>
        </w:rPr>
        <w:t>Led by President and CEO Jeffrey A. Duchemin, we have conducted a multi-year restructuring program to reduce costs, align global functions, consolidate facilities to optimize our global footprint, divest non-core businesses and to reinvest in key areas such as sales and common IT systems. As part of these efforts, we divested our AHN Biotechnologie GmbH subsidiary (AHN) in the fourth quarter of 2016 and, during the first quarter of 2018, we sold substantially all the assets of our wholly-owned subsidiary, Denville Scientific, Inc. (Denville).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are also pursuing a strategy to grow the business through strategic, accretive acquisitions, including four acquisitions since the fourth quarter of 2014.</w:t>
      </w:r>
    </w:p>
    <w:p>
      <w:pPr>
        <w:spacing w:after="0" w:line="221" w:lineRule="exact"/>
        <w:rPr>
          <w:sz w:val="20"/>
          <w:szCs w:val="20"/>
          <w:color w:val="auto"/>
        </w:rPr>
      </w:pPr>
    </w:p>
    <w:p>
      <w:pPr>
        <w:ind w:right="100" w:firstLine="456"/>
        <w:spacing w:after="0" w:line="301" w:lineRule="auto"/>
        <w:rPr>
          <w:sz w:val="20"/>
          <w:szCs w:val="20"/>
          <w:color w:val="auto"/>
        </w:rPr>
      </w:pPr>
      <w:r>
        <w:rPr>
          <w:rFonts w:ascii="Arial" w:cs="Arial" w:eastAsia="Arial" w:hAnsi="Arial"/>
          <w:sz w:val="15"/>
          <w:szCs w:val="15"/>
          <w:color w:val="auto"/>
        </w:rPr>
        <w:t>Most recently, in January 2018, we acquired Data Sciences International, Inc. (DSI) for approximately $70.0 million. DSI, a St. Paul, Minnesota-based life science research company, is a recognized leader in physiologic monitoring focused on delivering preclinical products, systems, services and solutions to its customers. Its customers include pharmaceutical and biotechnology companies, as well as contract research organizations, academic labs and government researchers. This acquisition diversifies our customer base into the biopharmaceutical and contract research organization markets and offers revenue and cost synergies.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13" w:lineRule="exact"/>
        <w:rPr>
          <w:sz w:val="20"/>
          <w:szCs w:val="20"/>
          <w:color w:val="auto"/>
        </w:rPr>
      </w:pPr>
    </w:p>
    <w:p>
      <w:pPr>
        <w:ind w:right="120" w:firstLine="413"/>
        <w:spacing w:after="0" w:line="260" w:lineRule="auto"/>
        <w:rPr>
          <w:sz w:val="20"/>
          <w:szCs w:val="20"/>
          <w:color w:val="auto"/>
        </w:rPr>
      </w:pPr>
      <w:r>
        <w:rPr>
          <w:rFonts w:ascii="Arial" w:cs="Arial" w:eastAsia="Arial" w:hAnsi="Arial"/>
          <w:sz w:val="17"/>
          <w:szCs w:val="17"/>
          <w:color w:val="auto"/>
        </w:rPr>
        <w:t>Our vision is to be a world leading life science company that excels in meeting the needs of our customers by providing a wide breath of innovative products and solutions, while providing exemplary customer service. Our business strategy is to grow our top-line and bottom-line, and build shareholder value through a commitment to:</w:t>
      </w:r>
    </w:p>
    <w:p>
      <w:pPr>
        <w:spacing w:after="0" w:line="174" w:lineRule="exact"/>
        <w:rPr>
          <w:sz w:val="20"/>
          <w:szCs w:val="20"/>
          <w:color w:val="auto"/>
        </w:rPr>
      </w:pPr>
    </w:p>
    <w:p>
      <w:pPr>
        <w:ind w:left="700" w:hanging="294"/>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commercial excellence;</w:t>
      </w:r>
    </w:p>
    <w:p>
      <w:pPr>
        <w:spacing w:after="0" w:line="209" w:lineRule="exact"/>
        <w:rPr>
          <w:rFonts w:ascii="Arial" w:cs="Arial" w:eastAsia="Arial" w:hAnsi="Arial"/>
          <w:sz w:val="17"/>
          <w:szCs w:val="17"/>
          <w:color w:val="auto"/>
        </w:rPr>
      </w:pPr>
    </w:p>
    <w:p>
      <w:pPr>
        <w:ind w:left="700" w:hanging="294"/>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new product development;</w:t>
      </w:r>
    </w:p>
    <w:p>
      <w:pPr>
        <w:spacing w:after="0" w:line="209" w:lineRule="exact"/>
        <w:rPr>
          <w:rFonts w:ascii="Arial" w:cs="Arial" w:eastAsia="Arial" w:hAnsi="Arial"/>
          <w:sz w:val="17"/>
          <w:szCs w:val="17"/>
          <w:color w:val="auto"/>
        </w:rPr>
      </w:pPr>
    </w:p>
    <w:p>
      <w:pPr>
        <w:ind w:left="700" w:hanging="294"/>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strategic acquisitions; and</w:t>
      </w:r>
    </w:p>
    <w:p>
      <w:pPr>
        <w:spacing w:after="0" w:line="209" w:lineRule="exact"/>
        <w:rPr>
          <w:rFonts w:ascii="Arial" w:cs="Arial" w:eastAsia="Arial" w:hAnsi="Arial"/>
          <w:sz w:val="17"/>
          <w:szCs w:val="17"/>
          <w:color w:val="auto"/>
        </w:rPr>
      </w:pPr>
    </w:p>
    <w:p>
      <w:pPr>
        <w:ind w:left="700" w:hanging="294"/>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operational efficiencies.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w:t>
      </w:r>
    </w:p>
    <w:p>
      <w:pPr>
        <w:spacing w:after="0" w:line="213" w:lineRule="exact"/>
        <w:rPr>
          <w:sz w:val="20"/>
          <w:szCs w:val="20"/>
          <w:color w:val="auto"/>
        </w:rPr>
      </w:pPr>
    </w:p>
    <w:p>
      <w:pPr>
        <w:ind w:right="100" w:firstLine="413"/>
        <w:spacing w:after="0" w:line="254" w:lineRule="auto"/>
        <w:rPr>
          <w:sz w:val="20"/>
          <w:szCs w:val="20"/>
          <w:color w:val="auto"/>
        </w:rPr>
      </w:pPr>
      <w:r>
        <w:rPr>
          <w:rFonts w:ascii="Arial" w:cs="Arial" w:eastAsia="Arial" w:hAnsi="Arial"/>
          <w:sz w:val="17"/>
          <w:szCs w:val="17"/>
          <w:color w:val="auto"/>
        </w:rPr>
        <w:t>As of December 31, 2017, our broad core product range was organized into three commercial product families: Physiology, Cell, Molecular Instruments (PCMI), Electrophysiology (Ephys), and Laboratory Products and Supplies (LPS). As of December 31, 2017, we primarily sold our products under brand names, including Harvard Apparatus, Denville Scientific, KD Scientific, Hoefer, Biochrom, BTX, Warner Instruments, MCS, HEKA, Hugo Sachs Elektronik, Panlab, Coulbourn Instruments, TBSI, and CMA Microdialysis. Following the sale of Denville and the acquisition of DSI in 2018, our core broad product ranges will be organized into three commercial product families, consisting of PCMI, Ephys, and Data Sciences.</w:t>
      </w:r>
    </w:p>
    <w:p>
      <w:pPr>
        <w:spacing w:after="0" w:line="180" w:lineRule="exact"/>
        <w:rPr>
          <w:sz w:val="20"/>
          <w:szCs w:val="20"/>
          <w:color w:val="auto"/>
        </w:rPr>
      </w:pPr>
    </w:p>
    <w:p>
      <w:pPr>
        <w:jc w:val="both"/>
        <w:ind w:right="40" w:firstLine="413"/>
        <w:spacing w:after="0" w:line="260" w:lineRule="auto"/>
        <w:rPr>
          <w:sz w:val="20"/>
          <w:szCs w:val="20"/>
          <w:color w:val="auto"/>
        </w:rPr>
      </w:pPr>
      <w:r>
        <w:rPr>
          <w:rFonts w:ascii="Arial" w:cs="Arial" w:eastAsia="Arial" w:hAnsi="Arial"/>
          <w:sz w:val="17"/>
          <w:szCs w:val="17"/>
          <w:color w:val="auto"/>
        </w:rPr>
        <w:t>Our products consist of instruments, consumables, and systems that are made up of several individual products. Sales prices of these products are mostly priced in the range of $5,000 to $15,000, but range from under $100 to over $100,000. We manufacture our products at our locations in the United States, Germany, Sweden and Spain.</w:t>
      </w:r>
    </w:p>
    <w:p>
      <w:pPr>
        <w:spacing w:after="0" w:line="174" w:lineRule="exact"/>
        <w:rPr>
          <w:sz w:val="20"/>
          <w:szCs w:val="20"/>
          <w:color w:val="auto"/>
        </w:rPr>
      </w:pPr>
    </w:p>
    <w:p>
      <w:pPr>
        <w:ind w:firstLine="413"/>
        <w:spacing w:after="0" w:line="254" w:lineRule="auto"/>
        <w:rPr>
          <w:sz w:val="20"/>
          <w:szCs w:val="20"/>
          <w:color w:val="auto"/>
        </w:rPr>
      </w:pPr>
      <w:r>
        <w:rPr>
          <w:rFonts w:ascii="Arial" w:cs="Arial" w:eastAsia="Arial" w:hAnsi="Arial"/>
          <w:sz w:val="17"/>
          <w:szCs w:val="17"/>
          <w:color w:val="auto"/>
        </w:rPr>
        <w:t>In addition to our proprietary manufactured products, we sell many products that are made by other manufacturers. These distributed products accounted for approximately 36% of our revenues for the year ended December 31, 2017. Distributed products enable us to provide our customers with a single source for their research needs, and consist of a large variety of devices, instruments and consumable items used in experiments involving fluid handling, molecular and cell biology, tissue, organ and animal research. Many of our proprietary manufactured products are leaders in their fields; however, researchers often need complementary products in order to conduct particular experiments. Following is a description of each product family.</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Physiology, Cell and Molecular Instruments Product Family</w:t>
      </w:r>
    </w:p>
    <w:p>
      <w:pPr>
        <w:spacing w:after="0" w:line="209" w:lineRule="exact"/>
        <w:rPr>
          <w:sz w:val="20"/>
          <w:szCs w:val="20"/>
          <w:color w:val="auto"/>
        </w:rPr>
      </w:pPr>
    </w:p>
    <w:p>
      <w:pPr>
        <w:ind w:right="80" w:firstLine="413"/>
        <w:spacing w:after="0" w:line="277" w:lineRule="auto"/>
        <w:rPr>
          <w:sz w:val="20"/>
          <w:szCs w:val="20"/>
          <w:color w:val="auto"/>
        </w:rPr>
      </w:pPr>
      <w:r>
        <w:rPr>
          <w:rFonts w:ascii="Arial" w:cs="Arial" w:eastAsia="Arial" w:hAnsi="Arial"/>
          <w:sz w:val="16"/>
          <w:szCs w:val="16"/>
          <w:color w:val="auto"/>
        </w:rPr>
        <w:t>Our PCMI product family includes our traditional syringe pump and peristaltic pump product lines, as well as a broad range of instruments and accessories for tissue, organ and animal based lab research, including surgical products, infusion systems, microdialysis instruments, behavior research systems, and isolated organ and tissue bath systems. Our product offerings are marketed through our Harvard Apparatus, CMA Microdialysis, Panlab, Coulbourn, Hugo Sachs brands and entities. We sell these products through our global sales force, technical service team and our global distribution channel.</w:t>
      </w:r>
    </w:p>
    <w:p>
      <w:pPr>
        <w:spacing w:after="0" w:line="163" w:lineRule="exact"/>
        <w:rPr>
          <w:sz w:val="20"/>
          <w:szCs w:val="20"/>
          <w:color w:val="auto"/>
        </w:rPr>
      </w:pPr>
    </w:p>
    <w:p>
      <w:pPr>
        <w:ind w:right="600" w:firstLine="413"/>
        <w:spacing w:after="0" w:line="260" w:lineRule="auto"/>
        <w:rPr>
          <w:sz w:val="20"/>
          <w:szCs w:val="20"/>
          <w:color w:val="auto"/>
        </w:rPr>
      </w:pPr>
      <w:r>
        <w:rPr>
          <w:rFonts w:ascii="Arial" w:cs="Arial" w:eastAsia="Arial" w:hAnsi="Arial"/>
          <w:sz w:val="17"/>
          <w:szCs w:val="17"/>
          <w:color w:val="auto"/>
        </w:rPr>
        <w:t>The PCMI product family also includes spectrophotometers, microplate readers, amino acid analyzers, gel electrophoresis equipment, and electroporation instruments. We market them under the names Biochrom, Libra, WPA, BioDrop, Hoefer, Scie-plas, and BTX. We sell them primarily through our distribution arrangements with various distributors.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PCMI product family made up approximately 56% of our global revenues for the year ended December 31, 2017.</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228" w:right="25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Electrophysiology Family</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Electrophysiology product family includes the brands Multi-Channel Systems, HEKA, TBSI and Warner Instruments.</w:t>
      </w:r>
    </w:p>
    <w:p>
      <w:pPr>
        <w:spacing w:after="0" w:line="209" w:lineRule="exact"/>
        <w:rPr>
          <w:sz w:val="20"/>
          <w:szCs w:val="20"/>
          <w:color w:val="auto"/>
        </w:rPr>
      </w:pPr>
    </w:p>
    <w:p>
      <w:pPr>
        <w:ind w:right="980" w:firstLine="413"/>
        <w:spacing w:after="0" w:line="271" w:lineRule="auto"/>
        <w:rPr>
          <w:sz w:val="20"/>
          <w:szCs w:val="20"/>
          <w:color w:val="auto"/>
        </w:rPr>
      </w:pPr>
      <w:r>
        <w:rPr>
          <w:rFonts w:ascii="Arial" w:cs="Arial" w:eastAsia="Arial" w:hAnsi="Arial"/>
          <w:sz w:val="17"/>
          <w:szCs w:val="17"/>
          <w:color w:val="auto"/>
        </w:rPr>
        <w:t>Multi-Channel Systems focuses on the development and manufacture of precision scientific measuring instrumentation and equipment in the field of electrophysiology including:</w:t>
      </w:r>
    </w:p>
    <w:p>
      <w:pPr>
        <w:spacing w:after="0" w:line="166" w:lineRule="exact"/>
        <w:rPr>
          <w:sz w:val="20"/>
          <w:szCs w:val="20"/>
          <w:color w:val="auto"/>
        </w:rPr>
      </w:pPr>
    </w:p>
    <w:p>
      <w:pPr>
        <w:ind w:left="700" w:hanging="294"/>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Data acquisition systems, for use with custom amplifier configurations.</w:t>
      </w:r>
    </w:p>
    <w:p>
      <w:pPr>
        <w:spacing w:after="0" w:line="18" w:lineRule="exact"/>
        <w:rPr>
          <w:rFonts w:ascii="Arial" w:cs="Arial" w:eastAsia="Arial" w:hAnsi="Arial"/>
          <w:sz w:val="17"/>
          <w:szCs w:val="17"/>
          <w:color w:val="auto"/>
        </w:rPr>
      </w:pPr>
    </w:p>
    <w:p>
      <w:pPr>
        <w:ind w:left="700" w:hanging="294"/>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Complete in vivo-systems, the solution for in vivo recordings with microelectrode arrays.</w:t>
      </w:r>
    </w:p>
    <w:p>
      <w:pPr>
        <w:spacing w:after="0" w:line="6" w:lineRule="exact"/>
        <w:rPr>
          <w:rFonts w:ascii="Arial" w:cs="Arial" w:eastAsia="Arial" w:hAnsi="Arial"/>
          <w:sz w:val="17"/>
          <w:szCs w:val="17"/>
          <w:color w:val="auto"/>
        </w:rPr>
      </w:pPr>
    </w:p>
    <w:p>
      <w:pPr>
        <w:ind w:left="700" w:hanging="294"/>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Complete in vitro-systems for extracellular recordings from microelectrode arrays in vitro.</w:t>
      </w:r>
    </w:p>
    <w:p>
      <w:pPr>
        <w:spacing w:after="0" w:line="198" w:lineRule="exact"/>
        <w:rPr>
          <w:sz w:val="20"/>
          <w:szCs w:val="20"/>
          <w:color w:val="auto"/>
        </w:rPr>
      </w:pPr>
    </w:p>
    <w:p>
      <w:pPr>
        <w:ind w:right="200" w:firstLine="413"/>
        <w:spacing w:after="0" w:line="303" w:lineRule="auto"/>
        <w:rPr>
          <w:sz w:val="20"/>
          <w:szCs w:val="20"/>
          <w:color w:val="auto"/>
        </w:rPr>
      </w:pPr>
      <w:r>
        <w:rPr>
          <w:rFonts w:ascii="Arial" w:cs="Arial" w:eastAsia="Arial" w:hAnsi="Arial"/>
          <w:sz w:val="16"/>
          <w:szCs w:val="16"/>
          <w:color w:val="auto"/>
        </w:rPr>
        <w:t>HEKA also develops, designs and manufactures precision electrophysiology equipment specializing in Patch Clamp Amplifiers and both manual and automated Patch Clamp Systems along with the associated software. The brand also specializes in instrumentation and equipment for Electrochemistry.</w:t>
      </w:r>
    </w:p>
    <w:p>
      <w:pPr>
        <w:spacing w:after="0" w:line="143" w:lineRule="exact"/>
        <w:rPr>
          <w:sz w:val="20"/>
          <w:szCs w:val="20"/>
          <w:color w:val="auto"/>
        </w:rPr>
      </w:pPr>
    </w:p>
    <w:p>
      <w:pPr>
        <w:ind w:right="220" w:firstLine="413"/>
        <w:spacing w:after="0" w:line="271" w:lineRule="auto"/>
        <w:rPr>
          <w:sz w:val="20"/>
          <w:szCs w:val="20"/>
          <w:color w:val="auto"/>
        </w:rPr>
      </w:pPr>
      <w:r>
        <w:rPr>
          <w:rFonts w:ascii="Arial" w:cs="Arial" w:eastAsia="Arial" w:hAnsi="Arial"/>
          <w:sz w:val="17"/>
          <w:szCs w:val="17"/>
          <w:color w:val="auto"/>
        </w:rPr>
        <w:t>Warner Instruments manufactures specialized tools for Electrophysiology and Cell Biology research including cell chambers, perfusion controllers, temperature controllers, microincubation systems and bio-sensing systems.</w:t>
      </w:r>
    </w:p>
    <w:p>
      <w:pPr>
        <w:spacing w:after="0" w:line="166" w:lineRule="exact"/>
        <w:rPr>
          <w:sz w:val="20"/>
          <w:szCs w:val="20"/>
          <w:color w:val="auto"/>
        </w:rPr>
      </w:pPr>
    </w:p>
    <w:p>
      <w:pPr>
        <w:ind w:right="520" w:firstLine="413"/>
        <w:spacing w:after="0" w:line="303" w:lineRule="auto"/>
        <w:rPr>
          <w:sz w:val="20"/>
          <w:szCs w:val="20"/>
          <w:color w:val="auto"/>
        </w:rPr>
      </w:pPr>
      <w:r>
        <w:rPr>
          <w:rFonts w:ascii="Arial" w:cs="Arial" w:eastAsia="Arial" w:hAnsi="Arial"/>
          <w:sz w:val="16"/>
          <w:szCs w:val="16"/>
          <w:color w:val="auto"/>
        </w:rPr>
        <w:t>TBSI designs and develops in vivo neural interface systems research to aid neuroscience research, especially in the fields of electrophysiology, psychology, neurology and pharmacology. This includes both wireless and tethered systems for both stimulation and recording.</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Electrophysiology product family made up approximately 20% of our global revenues for the year ended December 31, 2017.</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Laboratory Products and Supplies Family</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LPS family consisted of the Denville Scientific brands.</w:t>
      </w:r>
    </w:p>
    <w:p>
      <w:pPr>
        <w:spacing w:after="0" w:line="209" w:lineRule="exact"/>
        <w:rPr>
          <w:sz w:val="20"/>
          <w:szCs w:val="20"/>
          <w:color w:val="auto"/>
        </w:rPr>
      </w:pPr>
    </w:p>
    <w:p>
      <w:pPr>
        <w:ind w:right="40" w:firstLine="413"/>
        <w:spacing w:after="0" w:line="260" w:lineRule="auto"/>
        <w:rPr>
          <w:sz w:val="20"/>
          <w:szCs w:val="20"/>
          <w:color w:val="auto"/>
        </w:rPr>
      </w:pPr>
      <w:r>
        <w:rPr>
          <w:rFonts w:ascii="Arial" w:cs="Arial" w:eastAsia="Arial" w:hAnsi="Arial"/>
          <w:sz w:val="17"/>
          <w:szCs w:val="17"/>
          <w:color w:val="auto"/>
        </w:rPr>
        <w:t>Denville sold laboratory products such as syringe pipettes and tips, reagents, gloves, and other equipment. As discussed above, during the first quarter of 2018, we sold substantially all the assets of Denville, and we shortly thereafter acquired Data Sciences International. As such during 2018, the Laboratory Products and Supplies Family was replaced with the Data Sciences product family.</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LPS family made up approximately 24% of our global revenues for the year ended December 31, 2017.</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213" w:lineRule="exact"/>
        <w:rPr>
          <w:sz w:val="20"/>
          <w:szCs w:val="20"/>
          <w:color w:val="auto"/>
        </w:rPr>
      </w:pPr>
    </w:p>
    <w:p>
      <w:pPr>
        <w:ind w:firstLine="413"/>
        <w:spacing w:after="0" w:line="291" w:lineRule="auto"/>
        <w:rPr>
          <w:sz w:val="20"/>
          <w:szCs w:val="20"/>
          <w:color w:val="auto"/>
        </w:rPr>
      </w:pPr>
      <w:r>
        <w:rPr>
          <w:rFonts w:ascii="Arial" w:cs="Arial" w:eastAsia="Arial" w:hAnsi="Arial"/>
          <w:sz w:val="15"/>
          <w:szCs w:val="15"/>
          <w:color w:val="auto"/>
        </w:rPr>
        <w:t>Our end-user customers are primarily research scientists at universities, hospitals, government laboratories, including the United States National Institute of Health (NIH), and pharmaceutical and biotechnology companies. We also have global and regional distribution partners, and original equipment manufacturer (OEM) customers who incorporate our products into their products under their brands. Our academic customers, which account for approximately 70% of our revenues historically, include major colleges and universities such as Baylor College of Medicine, Cambridge University, Harvard University, Johns Hopkins University, Massachusetts Institute of Technology, University of California system, University of Texas - MD Anderson Center and Yale University. Our pharmaceutical and biotechnology customers have included pharmaceutical companies and research laboratories such as Amgen, Inc., AstraZeneca plc, Genentech, Inc. and Johnson &amp; Johnson. We have tens of thousands of customers worldwide and no customer accounted for more than 10% of our revenues in 2017.</w:t>
      </w:r>
    </w:p>
    <w:p>
      <w:pPr>
        <w:spacing w:after="0" w:line="156" w:lineRule="exact"/>
        <w:rPr>
          <w:sz w:val="20"/>
          <w:szCs w:val="20"/>
          <w:color w:val="auto"/>
        </w:rPr>
      </w:pPr>
    </w:p>
    <w:p>
      <w:pPr>
        <w:ind w:right="240" w:firstLine="413"/>
        <w:spacing w:after="0" w:line="271" w:lineRule="auto"/>
        <w:rPr>
          <w:sz w:val="20"/>
          <w:szCs w:val="20"/>
          <w:color w:val="auto"/>
        </w:rPr>
      </w:pPr>
      <w:r>
        <w:rPr>
          <w:rFonts w:ascii="Arial" w:cs="Arial" w:eastAsia="Arial" w:hAnsi="Arial"/>
          <w:sz w:val="17"/>
          <w:szCs w:val="17"/>
          <w:color w:val="auto"/>
        </w:rPr>
        <w:t>With the sale of Denville and the acquisition of DSI, both in January 2018, the percentage of our revenues that is derived from academic customers will decline from approximately 70% to closer to 60% on a pro forma basis.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213" w:lineRule="exact"/>
        <w:rPr>
          <w:sz w:val="20"/>
          <w:szCs w:val="20"/>
          <w:color w:val="auto"/>
        </w:rPr>
      </w:pPr>
    </w:p>
    <w:p>
      <w:pPr>
        <w:ind w:firstLine="413"/>
        <w:spacing w:after="0" w:line="260" w:lineRule="auto"/>
        <w:rPr>
          <w:sz w:val="20"/>
          <w:szCs w:val="20"/>
          <w:color w:val="auto"/>
        </w:rPr>
      </w:pPr>
      <w:r>
        <w:rPr>
          <w:rFonts w:ascii="Arial" w:cs="Arial" w:eastAsia="Arial" w:hAnsi="Arial"/>
          <w:sz w:val="17"/>
          <w:szCs w:val="17"/>
          <w:color w:val="auto"/>
        </w:rPr>
        <w:t>We conduct direct sales in the United States, the United Kingdom, Germany, France, Spain, Sweden, Canada and China. We sell primarily through distributors in other countries. For the year ended December 31, 2017, revenues from direct sales to end-users represented approximately 65% of our revenues; and revenues from sales of our products through distributors represented approximately 35% of our revenues.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 Sales</w:t>
      </w:r>
    </w:p>
    <w:p>
      <w:pPr>
        <w:spacing w:after="0" w:line="209" w:lineRule="exact"/>
        <w:rPr>
          <w:sz w:val="20"/>
          <w:szCs w:val="20"/>
          <w:color w:val="auto"/>
        </w:rPr>
      </w:pPr>
    </w:p>
    <w:p>
      <w:pPr>
        <w:ind w:firstLine="413"/>
        <w:spacing w:after="0" w:line="310" w:lineRule="auto"/>
        <w:rPr>
          <w:sz w:val="20"/>
          <w:szCs w:val="20"/>
          <w:color w:val="auto"/>
        </w:rPr>
      </w:pPr>
      <w:r>
        <w:rPr>
          <w:rFonts w:ascii="Arial" w:cs="Arial" w:eastAsia="Arial" w:hAnsi="Arial"/>
          <w:sz w:val="15"/>
          <w:szCs w:val="15"/>
          <w:color w:val="auto"/>
        </w:rPr>
        <w:t>We have a global sales organization managing both direct sales and distributors. Our websites and catalogs serve as the primary sales tool for our Harvard Apparatus, Denville and other product lines, which includes both proprietary manufactured products and complementary products from various suppliers. Our reputation as a leading producer of many of our manufactured products creates traffic to our websites, enables cross-selling and facilitates the introduction of new products.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Distributors</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engage distributors for the sales of our own branded and private label products in certain areas of the world and for certain product lines.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13" w:lineRule="exact"/>
        <w:rPr>
          <w:sz w:val="20"/>
          <w:szCs w:val="20"/>
          <w:color w:val="auto"/>
        </w:rPr>
      </w:pPr>
    </w:p>
    <w:p>
      <w:pPr>
        <w:ind w:firstLine="413"/>
        <w:spacing w:after="0" w:line="291" w:lineRule="auto"/>
        <w:rPr>
          <w:sz w:val="20"/>
          <w:szCs w:val="20"/>
          <w:color w:val="auto"/>
        </w:rPr>
      </w:pPr>
      <w:r>
        <w:rPr>
          <w:rFonts w:ascii="Arial" w:cs="Arial" w:eastAsia="Arial" w:hAnsi="Arial"/>
          <w:sz w:val="15"/>
          <w:szCs w:val="15"/>
          <w:color w:val="auto"/>
        </w:rPr>
        <w:t>Our principal research and development mission is to develop products that address growth opportunities within the life science research process, as well as to maintain and optimize our existing product portfolios. We maintain development staff in many of our manufacturing facilities to design and develop new products and to re-engineer existing products to bring them to the next generation. Our research and development expenses were approximately $5.6 million, $5.4 million and $6.4 million for the years ended December 31, 2017, 2016 and 2015, respectively. From time to time, we receive grants from governmental entities in relation to research projects. Such grants received are accounted for as a reduction in research and development expenses over the period of the project. We anticipate that we will continue to make investments in research and development activities as we deem appropriate. We plan to continue to pursue a balanced development portfolio strategy of originating new products from internal research and acquiring products through business and technology acquisitions.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213" w:lineRule="exact"/>
        <w:rPr>
          <w:sz w:val="20"/>
          <w:szCs w:val="20"/>
          <w:color w:val="auto"/>
        </w:rPr>
      </w:pPr>
    </w:p>
    <w:p>
      <w:pPr>
        <w:ind w:right="60" w:firstLine="413"/>
        <w:spacing w:after="0" w:line="277" w:lineRule="auto"/>
        <w:rPr>
          <w:sz w:val="20"/>
          <w:szCs w:val="20"/>
          <w:color w:val="auto"/>
        </w:rPr>
      </w:pPr>
      <w:r>
        <w:rPr>
          <w:rFonts w:ascii="Arial" w:cs="Arial" w:eastAsia="Arial" w:hAnsi="Arial"/>
          <w:sz w:val="16"/>
          <w:szCs w:val="16"/>
          <w:color w:val="auto"/>
        </w:rPr>
        <w:t>We manufacture and test the majority of our products in our principal manufacturing facilities located in the United States, Sweden, Spain and Germany. We have considerable manufacturing flexibility at our various facilities, and each facility can manufacture multiple products at the same time. We maintain in-house manufacturing expertise, technologies and resources. We seek to maintain multiple suppliers for key components that are not manufactured in-house, and while some of our products are dependent on sole-source suppliers, we do not believe our dependence upon these suppliers creates any significant risks.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manufacturing operations primarily involve assembly and testing activities along with some machine based processes.</w:t>
      </w:r>
    </w:p>
    <w:p>
      <w:pPr>
        <w:sectPr>
          <w:pgSz w:w="11900" w:h="16838" w:orient="portrait"/>
          <w:cols w:equalWidth="0" w:num="1">
            <w:col w:w="11400"/>
          </w:cols>
          <w:pgMar w:left="240" w:top="228" w:right="259" w:bottom="1440" w:gutter="0" w:footer="0" w:header="0"/>
        </w:sectPr>
      </w:pPr>
    </w:p>
    <w:p>
      <w:pPr>
        <w:spacing w:after="0" w:line="205"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Manufacturing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5302885" cy="17513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02885" cy="1751330"/>
                    </a:xfrm>
                    <a:prstGeom prst="rect">
                      <a:avLst/>
                    </a:prstGeom>
                    <a:noFill/>
                  </pic:spPr>
                </pic:pic>
              </a:graphicData>
            </a:graphic>
          </wp:anchor>
        </w:drawing>
      </w:r>
    </w:p>
    <w:p>
      <w:pPr>
        <w:spacing w:after="0" w:line="206" w:lineRule="exact"/>
        <w:rPr>
          <w:sz w:val="20"/>
          <w:szCs w:val="20"/>
          <w:color w:val="auto"/>
        </w:rPr>
      </w:pPr>
    </w:p>
    <w:p>
      <w:pPr>
        <w:ind w:right="460"/>
        <w:spacing w:after="0" w:line="269" w:lineRule="auto"/>
        <w:rPr>
          <w:sz w:val="20"/>
          <w:szCs w:val="20"/>
          <w:color w:val="auto"/>
        </w:rPr>
      </w:pPr>
      <w:r>
        <w:rPr>
          <w:rFonts w:ascii="Arial" w:cs="Arial" w:eastAsia="Arial" w:hAnsi="Arial"/>
          <w:sz w:val="16"/>
          <w:szCs w:val="16"/>
          <w:color w:val="auto"/>
        </w:rPr>
        <w:t>syringe pumps, ventilators, cell injectors, molecular sample preparation products, electroporation products, electrophysiology products, spectrophotometers, amino acid analysis systems, low-volume, high-throughput liquid dispensers, plate readers, behavioral research products, and microdialysis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52304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3049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electrophysiology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52304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3049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electrophysiology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52304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3049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electrophysiology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52304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3049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complete organ testing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52304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3049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electrophoresis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52304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3049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behavioral research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52304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3049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behavioral research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52304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3049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microdialysis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52304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304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Manufacturing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14605</wp:posOffset>
            </wp:positionV>
            <wp:extent cx="19526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auto"/>
        </w:rPr>
        <w:t>Holliston,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140970</wp:posOffset>
            </wp:positionV>
            <wp:extent cx="19526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pacing w:after="0" w:line="202" w:lineRule="exact"/>
        <w:rPr>
          <w:sz w:val="20"/>
          <w:szCs w:val="20"/>
          <w:color w:val="auto"/>
        </w:rPr>
      </w:pPr>
    </w:p>
    <w:p>
      <w:pPr>
        <w:jc w:val="center"/>
        <w:ind w:right="540"/>
        <w:spacing w:after="0" w:line="267" w:lineRule="auto"/>
        <w:rPr>
          <w:sz w:val="20"/>
          <w:szCs w:val="20"/>
          <w:color w:val="auto"/>
        </w:rPr>
      </w:pPr>
      <w:r>
        <w:rPr>
          <w:rFonts w:ascii="Arial" w:cs="Arial" w:eastAsia="Arial" w:hAnsi="Arial"/>
          <w:sz w:val="17"/>
          <w:szCs w:val="17"/>
          <w:color w:val="auto"/>
        </w:rPr>
        <w:t>Hamden, Connecticut Reutlingen, Germany Lambrecht, Germany March-Hugstetten, Germany Richmond, California Barcelona, Spain Durham, North Carolina Kista, Sweden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-11430</wp:posOffset>
            </wp:positionV>
            <wp:extent cx="19526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2625"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-147955</wp:posOffset>
            </wp:positionV>
            <wp:extent cx="19526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2625"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-284480</wp:posOffset>
            </wp:positionV>
            <wp:extent cx="19526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2625"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-421005</wp:posOffset>
            </wp:positionV>
            <wp:extent cx="1952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2625"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-558165</wp:posOffset>
            </wp:positionV>
            <wp:extent cx="19526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52625"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-694690</wp:posOffset>
            </wp:positionV>
            <wp:extent cx="19526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52625"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-831215</wp:posOffset>
            </wp:positionV>
            <wp:extent cx="19526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52625"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-967740</wp:posOffset>
            </wp:positionV>
            <wp:extent cx="19526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8200" w:space="720"/>
            <w:col w:w="2480"/>
          </w:cols>
          <w:pgMar w:left="240" w:top="228" w:right="259" w:bottom="1440" w:gutter="0" w:footer="0" w:header="0"/>
          <w:type w:val="continuous"/>
        </w:sectPr>
      </w:pPr>
    </w:p>
    <w:p>
      <w:pPr>
        <w:ind w:left="420"/>
        <w:spacing w:after="0"/>
        <w:rPr>
          <w:sz w:val="20"/>
          <w:szCs w:val="20"/>
          <w:color w:val="auto"/>
        </w:rPr>
      </w:pPr>
      <w:r>
        <w:rPr>
          <w:rFonts w:ascii="Arial" w:cs="Arial" w:eastAsia="Arial" w:hAnsi="Arial"/>
          <w:sz w:val="15"/>
          <w:szCs w:val="15"/>
          <w:color w:val="auto"/>
        </w:rPr>
        <w:t>Not included in the table above are the physiological monitoring products and systems that DSI manufactures at its leased facility in New Brighton, Minnesota.</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Going forward we will continue to evaluate our manufacturing facilities and operations to further our goal of having an optimal manufacturing footprint.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228" w:right="259" w:bottom="1440" w:gutter="0" w:footer="0" w:header="0"/>
          <w:type w:val="continuous"/>
        </w:sectPr>
      </w:pPr>
    </w:p>
    <w:bookmarkStart w:id="6" w:name="page7"/>
    <w:bookmarkEnd w:id="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13" w:lineRule="exact"/>
        <w:rPr>
          <w:sz w:val="20"/>
          <w:szCs w:val="20"/>
          <w:color w:val="auto"/>
        </w:rPr>
      </w:pPr>
    </w:p>
    <w:p>
      <w:pPr>
        <w:ind w:firstLine="413"/>
        <w:spacing w:after="0" w:line="269" w:lineRule="auto"/>
        <w:rPr>
          <w:sz w:val="20"/>
          <w:szCs w:val="20"/>
          <w:color w:val="auto"/>
        </w:rPr>
      </w:pPr>
      <w:r>
        <w:rPr>
          <w:rFonts w:ascii="Arial" w:cs="Arial" w:eastAsia="Arial" w:hAnsi="Arial"/>
          <w:sz w:val="16"/>
          <w:szCs w:val="16"/>
          <w:color w:val="auto"/>
        </w:rPr>
        <w:t>The markets into which we sell some of our products are highly competitive, and we expect the intensity of competition to continue or increase. We compete with many companies engaged in developing and selling tools for life science research. Many of our competitors have greater financial, operational, sales and marketing resources, and more experience in research and development and commercialization than we have. Moreover, our competitors may have greater name recognition than we do, and many offer discounts as a competitive tactic. These competitors and other companies may have developed or could in the future develop new technologies that compete with our products, which could render our products obsolete. We cannot assure you that we will be able to make the enhancements to our technologies necessary to compete successfully with newly emerging technologies. We believe that we offer one of the broadest selections of products to organizations engaged in life science research. We have numerous competitors on a product line basis. We believe that we compete favorably with our competitors on the basis of product performance, including quality, reliability and speed, technical support, price and delivery time.</w:t>
      </w:r>
    </w:p>
    <w:p>
      <w:pPr>
        <w:spacing w:after="0" w:line="172" w:lineRule="exact"/>
        <w:rPr>
          <w:sz w:val="20"/>
          <w:szCs w:val="20"/>
          <w:color w:val="auto"/>
        </w:rPr>
      </w:pPr>
    </w:p>
    <w:p>
      <w:pPr>
        <w:ind w:right="400" w:firstLine="413"/>
        <w:spacing w:after="0" w:line="303" w:lineRule="auto"/>
        <w:rPr>
          <w:sz w:val="20"/>
          <w:szCs w:val="20"/>
          <w:color w:val="auto"/>
        </w:rPr>
      </w:pPr>
      <w:r>
        <w:rPr>
          <w:rFonts w:ascii="Arial" w:cs="Arial" w:eastAsia="Arial" w:hAnsi="Arial"/>
          <w:sz w:val="16"/>
          <w:szCs w:val="16"/>
          <w:color w:val="auto"/>
        </w:rPr>
        <w:t>We compete with several companies that provide instruments for life science research including, Lonza Group Ltd., Becton Dickinson, Eppendorf AG, Razel Scientific Instruments, Inc., Ugo Basile, Danaher Corporation, Bio-Rad Laboratories, Inc., PerkinElmer, Inc. and Thermo Fisher Scientific, Inc.</w:t>
      </w:r>
    </w:p>
    <w:p>
      <w:pPr>
        <w:spacing w:after="0" w:line="143" w:lineRule="exact"/>
        <w:rPr>
          <w:sz w:val="20"/>
          <w:szCs w:val="20"/>
          <w:color w:val="auto"/>
        </w:rPr>
      </w:pPr>
    </w:p>
    <w:p>
      <w:pPr>
        <w:jc w:val="both"/>
        <w:ind w:right="280" w:firstLine="413"/>
        <w:spacing w:after="0" w:line="283" w:lineRule="auto"/>
        <w:rPr>
          <w:sz w:val="20"/>
          <w:szCs w:val="20"/>
          <w:color w:val="auto"/>
        </w:rPr>
      </w:pPr>
      <w:r>
        <w:rPr>
          <w:rFonts w:ascii="Arial" w:cs="Arial" w:eastAsia="Arial" w:hAnsi="Arial"/>
          <w:sz w:val="16"/>
          <w:szCs w:val="16"/>
          <w:color w:val="auto"/>
        </w:rPr>
        <w:t>We cannot forecast if or when these or other companies may develop competitive products. We expect that other products will compete with our products and potential products based on efficacy, safety, cost and intellectual property positions. While we believe that these will be the primary competitive factors, other factors include, in certain instances, availability of supply, manufacturing, marketing and sales expertise and capability.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13" w:lineRule="exact"/>
        <w:rPr>
          <w:sz w:val="20"/>
          <w:szCs w:val="20"/>
          <w:color w:val="auto"/>
        </w:rPr>
      </w:pPr>
    </w:p>
    <w:p>
      <w:pPr>
        <w:ind w:right="180" w:firstLine="413"/>
        <w:spacing w:after="0" w:line="256" w:lineRule="auto"/>
        <w:rPr>
          <w:sz w:val="20"/>
          <w:szCs w:val="20"/>
          <w:color w:val="auto"/>
        </w:rPr>
      </w:pPr>
      <w:r>
        <w:rPr>
          <w:rFonts w:ascii="Arial" w:cs="Arial" w:eastAsia="Arial" w:hAnsi="Arial"/>
          <w:sz w:val="17"/>
          <w:szCs w:val="17"/>
          <w:color w:val="auto"/>
        </w:rPr>
        <w:t>Sales and earnings in our third quarter are usually flat or down from the second quarter primarily because there are a large number of holidays and vacations during such quarter, especially in Europe. Additionally, academic institutions in the northern hemisphere typically take a hiatus during the summer months. Our fourth quarter revenues and earnings are often the highest in any fiscal year compared to the other three quarters, primarily because many of our customers tend to spend budgeted money before their own fiscal year ends.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13" w:lineRule="exact"/>
        <w:rPr>
          <w:sz w:val="20"/>
          <w:szCs w:val="20"/>
          <w:color w:val="auto"/>
        </w:rPr>
      </w:pPr>
    </w:p>
    <w:p>
      <w:pPr>
        <w:ind w:right="120" w:firstLine="413"/>
        <w:spacing w:after="0" w:line="260" w:lineRule="auto"/>
        <w:rPr>
          <w:sz w:val="20"/>
          <w:szCs w:val="20"/>
          <w:color w:val="auto"/>
        </w:rPr>
      </w:pPr>
      <w:r>
        <w:rPr>
          <w:rFonts w:ascii="Arial" w:cs="Arial" w:eastAsia="Arial" w:hAnsi="Arial"/>
          <w:sz w:val="17"/>
          <w:szCs w:val="17"/>
          <w:color w:val="auto"/>
        </w:rPr>
        <w:t>To establish and protect our proprietary technologies and products, we rely on a combination of patent, copyright, trademark and trade-secret laws, as well as confidentiality provisions in our contracts. Patents or patent applications cover certain of our new technologies. Most of our more mature product lines are protected by trade names and trade secrets only.</w:t>
      </w:r>
    </w:p>
    <w:p>
      <w:pPr>
        <w:spacing w:after="0" w:line="174" w:lineRule="exact"/>
        <w:rPr>
          <w:sz w:val="20"/>
          <w:szCs w:val="20"/>
          <w:color w:val="auto"/>
        </w:rPr>
      </w:pPr>
    </w:p>
    <w:p>
      <w:pPr>
        <w:ind w:right="240" w:firstLine="413"/>
        <w:spacing w:after="0" w:line="260" w:lineRule="auto"/>
        <w:rPr>
          <w:sz w:val="20"/>
          <w:szCs w:val="20"/>
          <w:color w:val="auto"/>
        </w:rPr>
      </w:pPr>
      <w:r>
        <w:rPr>
          <w:rFonts w:ascii="Arial" w:cs="Arial" w:eastAsia="Arial" w:hAnsi="Arial"/>
          <w:sz w:val="17"/>
          <w:szCs w:val="17"/>
          <w:color w:val="auto"/>
        </w:rPr>
        <w:t>We have implemented a patent strategy designed to provide us with freedom to operate and facilitate commercialization of our current and future products. Our success depends, to a significant degree, upon our ability to develop proprietary products and technologies. We intend to continue to file patent applications as we develop new products and technologies.</w:t>
      </w:r>
    </w:p>
    <w:p>
      <w:pPr>
        <w:spacing w:after="0" w:line="174" w:lineRule="exact"/>
        <w:rPr>
          <w:sz w:val="20"/>
          <w:szCs w:val="20"/>
          <w:color w:val="auto"/>
        </w:rPr>
      </w:pPr>
    </w:p>
    <w:p>
      <w:pPr>
        <w:ind w:right="260" w:firstLine="413"/>
        <w:spacing w:after="0" w:line="252" w:lineRule="auto"/>
        <w:rPr>
          <w:sz w:val="20"/>
          <w:szCs w:val="20"/>
          <w:color w:val="auto"/>
        </w:rPr>
      </w:pPr>
      <w:r>
        <w:rPr>
          <w:rFonts w:ascii="Arial" w:cs="Arial" w:eastAsia="Arial" w:hAnsi="Arial"/>
          <w:sz w:val="17"/>
          <w:szCs w:val="17"/>
          <w:color w:val="auto"/>
        </w:rPr>
        <w:t>Patents provide some degree of protection for our intellectual property. However, the assertion of patent protection involves complex legal and factual determinations and is therefore uncertain. The scope of any of our issued patents may not be sufficiently broad to offer meaningful protection. In addition, our issued patents or patents licensed to us may be successfully challenged, invalidated, circumvented or unenforceable so that our patent rights would not create an effective competitive barrier. Moreover, the laws of some foreign countries may protect our proprietary rights to a greater or lesser extent than the laws of the United States. In addition, the laws governing patentability and the scope of patent coverage continue to evolve, particularly in areas of interest to us. As a result, there can be no assurance that patents will be issued from any of our patent applications or from applications licensed to us. As a result of these factors, our intellectual property positions bear some degree of uncertainty.</w:t>
      </w:r>
    </w:p>
    <w:p>
      <w:pPr>
        <w:spacing w:after="0" w:line="183" w:lineRule="exact"/>
        <w:rPr>
          <w:sz w:val="20"/>
          <w:szCs w:val="20"/>
          <w:color w:val="auto"/>
        </w:rPr>
      </w:pPr>
    </w:p>
    <w:p>
      <w:pPr>
        <w:ind w:right="60" w:firstLine="413"/>
        <w:spacing w:after="0" w:line="269" w:lineRule="auto"/>
        <w:rPr>
          <w:sz w:val="20"/>
          <w:szCs w:val="20"/>
          <w:color w:val="auto"/>
        </w:rPr>
      </w:pPr>
      <w:r>
        <w:rPr>
          <w:rFonts w:ascii="Arial" w:cs="Arial" w:eastAsia="Arial" w:hAnsi="Arial"/>
          <w:sz w:val="16"/>
          <w:szCs w:val="16"/>
          <w:color w:val="auto"/>
        </w:rPr>
        <w:t>We also rely in part on trade-secret protection of our intellectual property. We attempt to protect our trade secrets by entering into confidentiality agreements with third parties, employees and consultants. Our employees and consultants also sign agreements requiring that they assign to us their interests in patents and copyrights arising from their work for us. Although many of our United States employees have signed agreements not to compete unfairly with us during their employment and after termination of their employment, through the misuse of confidential information, soliciting employees, soliciting customers and the like, the enforceability of these provisions varies from jurisdiction to jurisdiction and, in some circumstances, they may not be enforceable. In addition, it is possible that these agreements may be breached or invalidated and if so, there may not be an adequate corrective remedy available. Despite the measures we have taken to protect our intellectual property, we cannot assure you that third parties will not independently discover or invent competing technologies, or reverse engineer our trade secrets or other technologies. Therefore, the measures we are taking to protect our proprietary rights may not be adequate.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40" w:firstLine="413"/>
        <w:spacing w:after="0" w:line="270" w:lineRule="auto"/>
        <w:rPr>
          <w:sz w:val="20"/>
          <w:szCs w:val="20"/>
          <w:color w:val="auto"/>
        </w:rPr>
      </w:pPr>
      <w:r>
        <w:rPr>
          <w:rFonts w:ascii="Arial" w:cs="Arial" w:eastAsia="Arial" w:hAnsi="Arial"/>
          <w:sz w:val="16"/>
          <w:szCs w:val="16"/>
          <w:color w:val="auto"/>
        </w:rPr>
        <w:t>We do not believe that our products infringe on the intellectual property rights of any third party. We cannot assure you, however, that third parties will not claim such infringement by us or our licensors with respect to current or future products. We expect that product developers in our market will increasingly be subject to such claims as the number of products and competitors in our market segment grows and the product functionality in different market segments overlaps. In addition, patents on production and business methods are becoming more common and we expect that more patents will be issued in our technical field. Any such claims, with or without merit, could be time-consuming, result in costly litigation and diversion of management’s attention and resources, cause product shipment delays or require us to enter into royalty or licensing agreements. Moreover, such royalty or licensing agreements, if required, may not be on terms advantageous to us, or acceptable at all, which could seriously harm our business or financial condition.</w:t>
      </w:r>
    </w:p>
    <w:p>
      <w:pPr>
        <w:spacing w:after="0" w:line="171" w:lineRule="exact"/>
        <w:rPr>
          <w:sz w:val="20"/>
          <w:szCs w:val="20"/>
          <w:color w:val="auto"/>
        </w:rPr>
      </w:pPr>
    </w:p>
    <w:p>
      <w:pPr>
        <w:ind w:right="540" w:firstLine="413"/>
        <w:spacing w:after="0" w:line="271" w:lineRule="auto"/>
        <w:rPr>
          <w:sz w:val="20"/>
          <w:szCs w:val="20"/>
          <w:color w:val="auto"/>
        </w:rPr>
      </w:pPr>
      <w:r>
        <w:rPr>
          <w:rFonts w:ascii="Arial" w:cs="Arial" w:eastAsia="Arial" w:hAnsi="Arial"/>
          <w:sz w:val="17"/>
          <w:szCs w:val="17"/>
          <w:color w:val="auto"/>
        </w:rPr>
        <w:t>“Harvard” is a registered trademark of Harvard University. The marks “Harvard Apparatus” and “Harvard Bioscience” are being used pursuant to a license agreement entered into in December 2002 between us and Harvard University.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13" w:lineRule="exact"/>
        <w:rPr>
          <w:sz w:val="20"/>
          <w:szCs w:val="20"/>
          <w:color w:val="auto"/>
        </w:rPr>
      </w:pPr>
    </w:p>
    <w:p>
      <w:pPr>
        <w:ind w:right="180" w:firstLine="413"/>
        <w:spacing w:after="0" w:line="283" w:lineRule="auto"/>
        <w:rPr>
          <w:sz w:val="20"/>
          <w:szCs w:val="20"/>
          <w:color w:val="auto"/>
        </w:rPr>
      </w:pPr>
      <w:r>
        <w:rPr>
          <w:rFonts w:ascii="Arial" w:cs="Arial" w:eastAsia="Arial" w:hAnsi="Arial"/>
          <w:sz w:val="16"/>
          <w:szCs w:val="16"/>
          <w:color w:val="auto"/>
        </w:rPr>
        <w:t>We are not subject to direct governmental regulation other than the laws and regulations generally applicable to businesses in the domestic and foreign jurisdictions in which we operate. In particular, our current products are not subject to pre-market approval by the United States Food and Drug Administration (FDA) for use on human clinical patients. In addition, we believe we are currently in compliance with all relevant environmental laws.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13" w:lineRule="exact"/>
        <w:rPr>
          <w:sz w:val="20"/>
          <w:szCs w:val="20"/>
          <w:color w:val="auto"/>
        </w:rPr>
      </w:pPr>
    </w:p>
    <w:p>
      <w:pPr>
        <w:ind w:right="60" w:firstLine="413"/>
        <w:spacing w:after="0" w:line="271" w:lineRule="auto"/>
        <w:rPr>
          <w:sz w:val="20"/>
          <w:szCs w:val="20"/>
          <w:color w:val="auto"/>
        </w:rPr>
      </w:pPr>
      <w:r>
        <w:rPr>
          <w:rFonts w:ascii="Arial" w:cs="Arial" w:eastAsia="Arial" w:hAnsi="Arial"/>
          <w:sz w:val="17"/>
          <w:szCs w:val="17"/>
          <w:color w:val="auto"/>
        </w:rPr>
        <w:t>As of December 31, 2017, we employed 434 employees, of which 413 are full-time and 21 are part-time. As of December 31, 2016, we employed 435 employees, of which 411 were full-time and 24 were part-time.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Geographical residence information for these employees is summarized in the table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440" w:type="dxa"/>
            <w:vAlign w:val="bottom"/>
            <w:gridSpan w:val="2"/>
          </w:tcPr>
          <w:p>
            <w:pPr>
              <w:jc w:val="right"/>
              <w:ind w:right="4736"/>
              <w:spacing w:after="0"/>
              <w:rPr>
                <w:sz w:val="20"/>
                <w:szCs w:val="20"/>
                <w:color w:val="auto"/>
              </w:rPr>
            </w:pPr>
            <w:r>
              <w:rPr>
                <w:rFonts w:ascii="Arial" w:cs="Arial" w:eastAsia="Arial" w:hAnsi="Arial"/>
                <w:sz w:val="17"/>
                <w:szCs w:val="17"/>
                <w:b w:val="1"/>
                <w:bCs w:val="1"/>
                <w:color w:val="auto"/>
              </w:rPr>
              <w:t>As of December 31, 2017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844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Germany</w:t>
            </w:r>
          </w:p>
        </w:tc>
        <w:tc>
          <w:tcPr>
            <w:tcW w:w="8440" w:type="dxa"/>
            <w:vAlign w:val="bottom"/>
            <w:gridSpan w:val="2"/>
          </w:tcPr>
          <w:p>
            <w:pPr>
              <w:jc w:val="right"/>
              <w:ind w:right="16"/>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United Kingdom</w:t>
            </w:r>
          </w:p>
        </w:tc>
        <w:tc>
          <w:tcPr>
            <w:tcW w:w="844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Spain</w:t>
            </w:r>
          </w:p>
        </w:tc>
        <w:tc>
          <w:tcPr>
            <w:tcW w:w="8440" w:type="dxa"/>
            <w:vAlign w:val="bottom"/>
            <w:gridSpan w:val="2"/>
          </w:tcPr>
          <w:p>
            <w:pPr>
              <w:jc w:val="right"/>
              <w:ind w:right="16"/>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Canada</w:t>
            </w:r>
          </w:p>
        </w:tc>
        <w:tc>
          <w:tcPr>
            <w:tcW w:w="844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Sweden</w:t>
            </w:r>
          </w:p>
        </w:tc>
        <w:tc>
          <w:tcPr>
            <w:tcW w:w="8440" w:type="dxa"/>
            <w:vAlign w:val="bottom"/>
            <w:gridSpan w:val="2"/>
          </w:tcPr>
          <w:p>
            <w:pPr>
              <w:jc w:val="right"/>
              <w:ind w:right="16"/>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China</w:t>
            </w:r>
          </w:p>
        </w:tc>
        <w:tc>
          <w:tcPr>
            <w:tcW w:w="844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France</w:t>
            </w:r>
          </w:p>
        </w:tc>
        <w:tc>
          <w:tcPr>
            <w:tcW w:w="68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844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340" w:firstLine="413"/>
        <w:spacing w:after="0" w:line="271" w:lineRule="auto"/>
        <w:rPr>
          <w:sz w:val="20"/>
          <w:szCs w:val="20"/>
          <w:color w:val="auto"/>
        </w:rPr>
      </w:pPr>
      <w:r>
        <w:rPr>
          <w:rFonts w:ascii="Arial" w:cs="Arial" w:eastAsia="Arial" w:hAnsi="Arial"/>
          <w:sz w:val="17"/>
          <w:szCs w:val="17"/>
          <w:color w:val="auto"/>
        </w:rPr>
        <w:t>Included in the table above are 55 Denville employees. All Denville employees were U.S. based as of December 31, 2017. Not included in the table above are employees of DSI and its subsidiaries, which had approximately 180 employees at the end of 2017.</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Geographic Area</w:t>
      </w:r>
    </w:p>
    <w:p>
      <w:pPr>
        <w:spacing w:after="0" w:line="213" w:lineRule="exact"/>
        <w:rPr>
          <w:sz w:val="20"/>
          <w:szCs w:val="20"/>
          <w:color w:val="auto"/>
        </w:rPr>
      </w:pPr>
    </w:p>
    <w:p>
      <w:pPr>
        <w:ind w:right="400" w:firstLine="413"/>
        <w:spacing w:after="0" w:line="271" w:lineRule="auto"/>
        <w:rPr>
          <w:sz w:val="20"/>
          <w:szCs w:val="20"/>
          <w:color w:val="auto"/>
        </w:rPr>
      </w:pPr>
      <w:r>
        <w:rPr>
          <w:rFonts w:ascii="Arial" w:cs="Arial" w:eastAsia="Arial" w:hAnsi="Arial"/>
          <w:sz w:val="17"/>
          <w:szCs w:val="17"/>
          <w:color w:val="auto"/>
        </w:rPr>
        <w:t>Financial information regarding geographic areas in which we operate is provided in Note 21 of the “Notes to Consolidated Financial Statements,” which are included elsewhere in this Annual Report.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of the Registrant</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shows information about our executive officers as of December 31, 2017.</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8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1300" w:type="dxa"/>
            <w:vAlign w:val="bottom"/>
          </w:tcPr>
          <w:p>
            <w:pPr>
              <w:jc w:val="center"/>
              <w:ind w:left="236"/>
              <w:spacing w:after="0"/>
              <w:rPr>
                <w:sz w:val="20"/>
                <w:szCs w:val="20"/>
                <w:color w:val="auto"/>
              </w:rPr>
            </w:pPr>
            <w:r>
              <w:rPr>
                <w:rFonts w:ascii="Arial" w:cs="Arial" w:eastAsia="Arial" w:hAnsi="Arial"/>
                <w:sz w:val="17"/>
                <w:szCs w:val="17"/>
                <w:b w:val="1"/>
                <w:bCs w:val="1"/>
                <w:color w:val="auto"/>
                <w:w w:val="93"/>
              </w:rPr>
              <w:t>Age</w:t>
            </w:r>
          </w:p>
        </w:tc>
        <w:tc>
          <w:tcPr>
            <w:tcW w:w="3580" w:type="dxa"/>
            <w:vAlign w:val="bottom"/>
          </w:tcPr>
          <w:p>
            <w:pPr>
              <w:ind w:left="360"/>
              <w:spacing w:after="0"/>
              <w:rPr>
                <w:sz w:val="20"/>
                <w:szCs w:val="20"/>
                <w:color w:val="auto"/>
              </w:rPr>
            </w:pPr>
            <w:r>
              <w:rPr>
                <w:rFonts w:ascii="Arial" w:cs="Arial" w:eastAsia="Arial" w:hAnsi="Arial"/>
                <w:sz w:val="17"/>
                <w:szCs w:val="17"/>
                <w:b w:val="1"/>
                <w:bCs w:val="1"/>
                <w:color w:val="auto"/>
              </w:rPr>
              <w:t>Position</w:t>
            </w:r>
          </w:p>
        </w:tc>
      </w:tr>
      <w:tr>
        <w:trPr>
          <w:trHeight w:val="202"/>
        </w:trPr>
        <w:tc>
          <w:tcPr>
            <w:tcW w:w="1880" w:type="dxa"/>
            <w:vAlign w:val="bottom"/>
          </w:tcPr>
          <w:p>
            <w:pPr>
              <w:spacing w:after="0"/>
              <w:rPr>
                <w:sz w:val="20"/>
                <w:szCs w:val="20"/>
                <w:color w:val="auto"/>
              </w:rPr>
            </w:pPr>
            <w:r>
              <w:rPr>
                <w:rFonts w:ascii="Arial" w:cs="Arial" w:eastAsia="Arial" w:hAnsi="Arial"/>
                <w:sz w:val="17"/>
                <w:szCs w:val="17"/>
                <w:color w:val="auto"/>
              </w:rPr>
              <w:t>Jeffrey Duchemin</w:t>
            </w:r>
          </w:p>
        </w:tc>
        <w:tc>
          <w:tcPr>
            <w:tcW w:w="1300" w:type="dxa"/>
            <w:vAlign w:val="bottom"/>
          </w:tcPr>
          <w:p>
            <w:pPr>
              <w:jc w:val="center"/>
              <w:ind w:left="236"/>
              <w:spacing w:after="0"/>
              <w:rPr>
                <w:sz w:val="20"/>
                <w:szCs w:val="20"/>
                <w:color w:val="auto"/>
              </w:rPr>
            </w:pPr>
            <w:r>
              <w:rPr>
                <w:rFonts w:ascii="Arial" w:cs="Arial" w:eastAsia="Arial" w:hAnsi="Arial"/>
                <w:sz w:val="17"/>
                <w:szCs w:val="17"/>
                <w:color w:val="auto"/>
                <w:w w:val="94"/>
              </w:rPr>
              <w:t>52</w:t>
            </w:r>
          </w:p>
        </w:tc>
        <w:tc>
          <w:tcPr>
            <w:tcW w:w="3580" w:type="dxa"/>
            <w:vAlign w:val="bottom"/>
          </w:tcPr>
          <w:p>
            <w:pPr>
              <w:ind w:left="360"/>
              <w:spacing w:after="0"/>
              <w:rPr>
                <w:sz w:val="20"/>
                <w:szCs w:val="20"/>
                <w:color w:val="auto"/>
              </w:rPr>
            </w:pPr>
            <w:r>
              <w:rPr>
                <w:rFonts w:ascii="Arial" w:cs="Arial" w:eastAsia="Arial" w:hAnsi="Arial"/>
                <w:sz w:val="17"/>
                <w:szCs w:val="17"/>
                <w:color w:val="auto"/>
                <w:w w:val="91"/>
              </w:rPr>
              <w:t>Chief Executive Officer, President and Director</w:t>
            </w:r>
          </w:p>
        </w:tc>
      </w:tr>
      <w:tr>
        <w:trPr>
          <w:trHeight w:val="202"/>
        </w:trPr>
        <w:tc>
          <w:tcPr>
            <w:tcW w:w="1880" w:type="dxa"/>
            <w:vAlign w:val="bottom"/>
          </w:tcPr>
          <w:p>
            <w:pPr>
              <w:spacing w:after="0"/>
              <w:rPr>
                <w:sz w:val="20"/>
                <w:szCs w:val="20"/>
                <w:color w:val="auto"/>
              </w:rPr>
            </w:pPr>
            <w:r>
              <w:rPr>
                <w:rFonts w:ascii="Arial" w:cs="Arial" w:eastAsia="Arial" w:hAnsi="Arial"/>
                <w:sz w:val="17"/>
                <w:szCs w:val="17"/>
                <w:color w:val="auto"/>
              </w:rPr>
              <w:t>Robert Gagnon</w:t>
            </w:r>
          </w:p>
        </w:tc>
        <w:tc>
          <w:tcPr>
            <w:tcW w:w="1300" w:type="dxa"/>
            <w:vAlign w:val="bottom"/>
          </w:tcPr>
          <w:p>
            <w:pPr>
              <w:jc w:val="center"/>
              <w:ind w:left="236"/>
              <w:spacing w:after="0"/>
              <w:rPr>
                <w:sz w:val="20"/>
                <w:szCs w:val="20"/>
                <w:color w:val="auto"/>
              </w:rPr>
            </w:pPr>
            <w:r>
              <w:rPr>
                <w:rFonts w:ascii="Arial" w:cs="Arial" w:eastAsia="Arial" w:hAnsi="Arial"/>
                <w:sz w:val="17"/>
                <w:szCs w:val="17"/>
                <w:color w:val="auto"/>
                <w:w w:val="94"/>
              </w:rPr>
              <w:t>43</w:t>
            </w:r>
          </w:p>
        </w:tc>
        <w:tc>
          <w:tcPr>
            <w:tcW w:w="3580" w:type="dxa"/>
            <w:vAlign w:val="bottom"/>
          </w:tcPr>
          <w:p>
            <w:pPr>
              <w:ind w:left="360"/>
              <w:spacing w:after="0"/>
              <w:rPr>
                <w:sz w:val="20"/>
                <w:szCs w:val="20"/>
                <w:color w:val="auto"/>
              </w:rPr>
            </w:pPr>
            <w:r>
              <w:rPr>
                <w:rFonts w:ascii="Arial" w:cs="Arial" w:eastAsia="Arial" w:hAnsi="Arial"/>
                <w:sz w:val="17"/>
                <w:szCs w:val="17"/>
                <w:color w:val="auto"/>
              </w:rPr>
              <w:t>Chief Financial Officer</w:t>
            </w:r>
          </w:p>
        </w:tc>
      </w:tr>
      <w:tr>
        <w:trPr>
          <w:trHeight w:val="214"/>
        </w:trPr>
        <w:tc>
          <w:tcPr>
            <w:tcW w:w="1880" w:type="dxa"/>
            <w:vAlign w:val="bottom"/>
          </w:tcPr>
          <w:p>
            <w:pPr>
              <w:spacing w:after="0"/>
              <w:rPr>
                <w:sz w:val="20"/>
                <w:szCs w:val="20"/>
                <w:color w:val="auto"/>
              </w:rPr>
            </w:pPr>
            <w:r>
              <w:rPr>
                <w:rFonts w:ascii="Arial" w:cs="Arial" w:eastAsia="Arial" w:hAnsi="Arial"/>
                <w:sz w:val="17"/>
                <w:szCs w:val="17"/>
                <w:color w:val="auto"/>
              </w:rPr>
              <w:t>Yong Sun</w:t>
            </w:r>
          </w:p>
        </w:tc>
        <w:tc>
          <w:tcPr>
            <w:tcW w:w="1300" w:type="dxa"/>
            <w:vAlign w:val="bottom"/>
          </w:tcPr>
          <w:p>
            <w:pPr>
              <w:jc w:val="center"/>
              <w:ind w:left="236"/>
              <w:spacing w:after="0"/>
              <w:rPr>
                <w:sz w:val="20"/>
                <w:szCs w:val="20"/>
                <w:color w:val="auto"/>
              </w:rPr>
            </w:pPr>
            <w:r>
              <w:rPr>
                <w:rFonts w:ascii="Arial" w:cs="Arial" w:eastAsia="Arial" w:hAnsi="Arial"/>
                <w:sz w:val="17"/>
                <w:szCs w:val="17"/>
                <w:color w:val="auto"/>
                <w:w w:val="94"/>
              </w:rPr>
              <w:t>54</w:t>
            </w:r>
          </w:p>
        </w:tc>
        <w:tc>
          <w:tcPr>
            <w:tcW w:w="3580" w:type="dxa"/>
            <w:vAlign w:val="bottom"/>
          </w:tcPr>
          <w:p>
            <w:pPr>
              <w:ind w:left="360"/>
              <w:spacing w:after="0"/>
              <w:rPr>
                <w:sz w:val="20"/>
                <w:szCs w:val="20"/>
                <w:color w:val="auto"/>
              </w:rPr>
            </w:pPr>
            <w:r>
              <w:rPr>
                <w:rFonts w:ascii="Arial" w:cs="Arial" w:eastAsia="Arial" w:hAnsi="Arial"/>
                <w:sz w:val="17"/>
                <w:szCs w:val="17"/>
                <w:color w:val="auto"/>
              </w:rPr>
              <w:t>Vice President, Commercial Operations</w:t>
            </w:r>
          </w:p>
        </w:tc>
      </w:tr>
    </w:tbl>
    <w:p>
      <w:pPr>
        <w:spacing w:after="0" w:line="191" w:lineRule="exact"/>
        <w:rPr>
          <w:sz w:val="20"/>
          <w:szCs w:val="20"/>
          <w:color w:val="auto"/>
        </w:rPr>
      </w:pPr>
    </w:p>
    <w:p>
      <w:pPr>
        <w:ind w:right="40" w:firstLine="413"/>
        <w:spacing w:after="0" w:line="270" w:lineRule="auto"/>
        <w:rPr>
          <w:sz w:val="20"/>
          <w:szCs w:val="20"/>
          <w:color w:val="auto"/>
        </w:rPr>
      </w:pPr>
      <w:r>
        <w:rPr>
          <w:rFonts w:ascii="Arial" w:cs="Arial" w:eastAsia="Arial" w:hAnsi="Arial"/>
          <w:sz w:val="16"/>
          <w:szCs w:val="16"/>
          <w:i w:val="1"/>
          <w:iCs w:val="1"/>
          <w:color w:val="auto"/>
        </w:rPr>
        <w:t xml:space="preserve">Jeffrey A. Duchemin </w:t>
      </w:r>
      <w:r>
        <w:rPr>
          <w:rFonts w:ascii="Arial" w:cs="Arial" w:eastAsia="Arial" w:hAnsi="Arial"/>
          <w:sz w:val="16"/>
          <w:szCs w:val="16"/>
          <w:color w:val="auto"/>
        </w:rPr>
        <w:t>was appointed Chief Executive Officer on August 26, 2013. He assumed the additional roles of President on November 1, 2013 and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on October 29, 2013. Prior to joining Harvard Bioscience, Mr. Duchemin spent 16 years with Becton Dickinson (BD) in progressive sales, marketing and executive leadership positions across BD’s three business segments; BD Medical Systems, BD Diagnostic Systems, and BD Biosciences. In October 2012, BD Biosciences Discovery Labware was acquired by Corning Life Sciences. Mr. Duchemin was a Global Business Director for Corning Life Sciences until his departure to Harvard Bioscience. Mr. Duchemin is a transformational leader with demonstrated business results. The depth of his experience spans across a broad range of life science research and medical device products resulting in growth on a global basis. Mr. Duchemin earned an M.B.A. from Southern New Hampshire University and a B.S. in accounting from the University of Massachusetts Dartmouth.</w:t>
      </w:r>
    </w:p>
    <w:p>
      <w:pPr>
        <w:spacing w:after="0" w:line="171" w:lineRule="exact"/>
        <w:rPr>
          <w:sz w:val="20"/>
          <w:szCs w:val="20"/>
          <w:color w:val="auto"/>
        </w:rPr>
      </w:pPr>
    </w:p>
    <w:p>
      <w:pPr>
        <w:ind w:right="20" w:firstLine="413"/>
        <w:spacing w:after="0" w:line="273" w:lineRule="auto"/>
        <w:rPr>
          <w:sz w:val="20"/>
          <w:szCs w:val="20"/>
          <w:color w:val="auto"/>
        </w:rPr>
      </w:pPr>
      <w:r>
        <w:rPr>
          <w:rFonts w:ascii="Arial" w:cs="Arial" w:eastAsia="Arial" w:hAnsi="Arial"/>
          <w:sz w:val="16"/>
          <w:szCs w:val="16"/>
          <w:i w:val="1"/>
          <w:iCs w:val="1"/>
          <w:color w:val="auto"/>
        </w:rPr>
        <w:t xml:space="preserve">Robert E. Gagnon </w:t>
      </w:r>
      <w:r>
        <w:rPr>
          <w:rFonts w:ascii="Arial" w:cs="Arial" w:eastAsia="Arial" w:hAnsi="Arial"/>
          <w:sz w:val="16"/>
          <w:szCs w:val="16"/>
          <w:color w:val="auto"/>
        </w:rPr>
        <w:t>was appointed Chief Financial Officer on November 1, 2013. Prior to joining the company he was recently Executive Vice President,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and Treasurer at Clean Harbors, Inc. (NYSE:CLH), a leading provider of environmental, energy and industrial services throughout North America. Prior to this, he served in progressive executive positions at Biogen Idec, Inc., a Fortune 500 company developing treatments in the areas of immunology and neurology. Earlier, he worked in a variety of senior positions at Deloitte &amp; Touche, LLP, and PricewaterhouseCoopers, LLP. Mr. Gagnon holds an M.B.A. from the MIT Sloan School of Management and a B.A. in accounting from Bentley College.</w:t>
      </w:r>
    </w:p>
    <w:p>
      <w:pPr>
        <w:spacing w:after="0" w:line="168" w:lineRule="exact"/>
        <w:rPr>
          <w:sz w:val="20"/>
          <w:szCs w:val="20"/>
          <w:color w:val="auto"/>
        </w:rPr>
      </w:pPr>
    </w:p>
    <w:p>
      <w:pPr>
        <w:ind w:right="40" w:firstLine="413"/>
        <w:spacing w:after="0" w:line="270" w:lineRule="auto"/>
        <w:rPr>
          <w:sz w:val="20"/>
          <w:szCs w:val="20"/>
          <w:color w:val="auto"/>
        </w:rPr>
      </w:pPr>
      <w:r>
        <w:rPr>
          <w:rFonts w:ascii="Arial" w:cs="Arial" w:eastAsia="Arial" w:hAnsi="Arial"/>
          <w:sz w:val="16"/>
          <w:szCs w:val="16"/>
          <w:i w:val="1"/>
          <w:iCs w:val="1"/>
          <w:color w:val="auto"/>
        </w:rPr>
        <w:t xml:space="preserve">Yong Sun </w:t>
      </w:r>
      <w:r>
        <w:rPr>
          <w:rFonts w:ascii="Arial" w:cs="Arial" w:eastAsia="Arial" w:hAnsi="Arial"/>
          <w:sz w:val="16"/>
          <w:szCs w:val="16"/>
          <w:color w:val="auto"/>
        </w:rPr>
        <w:t>assumed the role of Vice President, Commercial Operations on October 28, 2015. Previously Mr. Sun held the position of Vice President,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and Business Development and Vice President, R&amp;D since October 28, 2013 and March 10, 2014, respectively. Prior to joining Harvard Bioscience, he served as Vice President of Global Marketing and Americas Sales at Beaver-Visitec International, a company combining former ophthalmic business units from BD and Medtronic; in this role he led global marketing to develop and implement strategic marketing plans in target surgical markets. Prior to this, he served in progressive positions at BD, including Director of Global Marketing &amp; United States Sales. Earlier, he served as Marketing Manager, Global Life Sciences Market &amp; Greater China Region at Eli Lilly &amp; Company’s eLilly Unit (now InnoCentive, Inc.). Mr. Sun, holds an M.B.A. from the MIT Sloan School of Management, a M.S. in environmental science &amp; engineering from Northeastern University and a B.S. in biochemistry from Peking University.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 and Website</w:t>
      </w:r>
    </w:p>
    <w:p>
      <w:pPr>
        <w:spacing w:after="0" w:line="213" w:lineRule="exact"/>
        <w:rPr>
          <w:sz w:val="20"/>
          <w:szCs w:val="20"/>
          <w:color w:val="auto"/>
        </w:rPr>
      </w:pPr>
    </w:p>
    <w:p>
      <w:pPr>
        <w:ind w:firstLine="413"/>
        <w:spacing w:after="0" w:line="254" w:lineRule="auto"/>
        <w:rPr>
          <w:sz w:val="20"/>
          <w:szCs w:val="20"/>
          <w:color w:val="auto"/>
        </w:rPr>
      </w:pPr>
      <w:r>
        <w:rPr>
          <w:rFonts w:ascii="Arial" w:cs="Arial" w:eastAsia="Arial" w:hAnsi="Arial"/>
          <w:sz w:val="17"/>
          <w:szCs w:val="17"/>
          <w:color w:val="auto"/>
        </w:rPr>
        <w:t>Our website address is www.harvardbioscience.com. Our Annual Report on Form 10-K, Quarterly Reports on Form 10-Q, Current Reports on Form 8-K, and exhibits and amendments to those reports filed or furnished with the Securities and Exchange Commission pursuant to Section 13(a) of the Exchange Act are available for review on our website and the Securities and Exchange Commission’s website at www.sec.gov. Any such materials that we file with, or furnish to, the SEC in the future will be available on our website as soon as reasonably practicable after they are electronically filed with, or furnished to, the SEC. The information on our website is not incorporated by reference into this Annual Report on Form 10-K.</w:t>
      </w:r>
    </w:p>
    <w:p>
      <w:pPr>
        <w:spacing w:after="0" w:line="17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i w:val="1"/>
          <w:iCs w:val="1"/>
          <w:color w:val="auto"/>
        </w:rPr>
        <w:t>Risk Factors.</w:t>
      </w:r>
    </w:p>
    <w:p>
      <w:pPr>
        <w:spacing w:after="0" w:line="213" w:lineRule="exact"/>
        <w:rPr>
          <w:sz w:val="20"/>
          <w:szCs w:val="20"/>
          <w:color w:val="auto"/>
        </w:rPr>
      </w:pPr>
    </w:p>
    <w:p>
      <w:pPr>
        <w:ind w:right="360" w:firstLine="413"/>
        <w:spacing w:after="0" w:line="254" w:lineRule="auto"/>
        <w:rPr>
          <w:sz w:val="20"/>
          <w:szCs w:val="20"/>
          <w:color w:val="auto"/>
        </w:rPr>
      </w:pPr>
      <w:r>
        <w:rPr>
          <w:rFonts w:ascii="Arial" w:cs="Arial" w:eastAsia="Arial" w:hAnsi="Arial"/>
          <w:sz w:val="17"/>
          <w:szCs w:val="17"/>
          <w:i w:val="1"/>
          <w:iCs w:val="1"/>
          <w:color w:val="auto"/>
        </w:rPr>
        <w:t>The following factors should be reviewed carefully, in conjunction with the other information contained in this Annual Report on Form 10-K. As previously discussed, our actual results could differ materially from our forward-looking statements. Our business faces a variety of risks. These risks include those described below and may include additional risks and uncertainties not presently known to us or that we currently deem immaterial. If any of the events or circumstances described in the following risk factors occur, our business operations, performance and financial condition could be adversely affected and the trading price of our common stock could decline.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Reductions in customers’ research budgets or government funding may adversely affect our business.</w:t>
      </w:r>
    </w:p>
    <w:p>
      <w:pPr>
        <w:spacing w:after="0" w:line="209" w:lineRule="exact"/>
        <w:rPr>
          <w:sz w:val="20"/>
          <w:szCs w:val="20"/>
          <w:color w:val="auto"/>
        </w:rPr>
      </w:pPr>
    </w:p>
    <w:p>
      <w:pPr>
        <w:ind w:right="40" w:firstLine="413"/>
        <w:spacing w:after="0" w:line="269" w:lineRule="auto"/>
        <w:rPr>
          <w:sz w:val="20"/>
          <w:szCs w:val="20"/>
          <w:color w:val="auto"/>
        </w:rPr>
      </w:pPr>
      <w:r>
        <w:rPr>
          <w:rFonts w:ascii="Arial" w:cs="Arial" w:eastAsia="Arial" w:hAnsi="Arial"/>
          <w:sz w:val="16"/>
          <w:szCs w:val="16"/>
          <w:color w:val="auto"/>
        </w:rPr>
        <w:t>Many of our customers representing a significant portion of our revenues are universities, government research laboratories, private foundations and other institutions who are dependent for their funding upon grants from U.S. government agencies, such as the United States National Institutes of Health (NIH), and similar agencies in other countries. Research and development spending of our customers can fluctuate based on spending priorities and general economic conditions. The level of government funding of research and development is unpredictable. There have been instances where NIH grants have been frozen or otherwise unavailable for extended periods or directed for certain products. Any reduction or delay in governmental spending could cause our customers to delay or forego purchases of our products. If government funding necessary to purchase our products were to decrease, our business and results of operations could be materially adversely affected. Spending by some of these customers fluctuates based on budget allocations and the timely passage of the annual federal budget. An impasse in federal government budget decisions could lead to substantial delays or reductions in federal spending.</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228" w:right="25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540"/>
        <w:spacing w:after="0" w:line="303" w:lineRule="auto"/>
        <w:rPr>
          <w:sz w:val="20"/>
          <w:szCs w:val="20"/>
          <w:color w:val="auto"/>
        </w:rPr>
      </w:pPr>
      <w:r>
        <w:rPr>
          <w:rFonts w:ascii="Arial" w:cs="Arial" w:eastAsia="Arial" w:hAnsi="Arial"/>
          <w:sz w:val="16"/>
          <w:szCs w:val="16"/>
          <w:b w:val="1"/>
          <w:bCs w:val="1"/>
          <w:i w:val="1"/>
          <w:iCs w:val="1"/>
          <w:color w:val="auto"/>
        </w:rPr>
        <w:t>With respect to acquisitions we have completed or may seek to consummate in the future, we have and will incur a variety of costs, and may never realize the anticipated benefits of the acquisitions due in part to difficulties integrating the businesses, operations and product lines.</w:t>
      </w:r>
    </w:p>
    <w:p>
      <w:pPr>
        <w:spacing w:after="0" w:line="143" w:lineRule="exact"/>
        <w:rPr>
          <w:sz w:val="20"/>
          <w:szCs w:val="20"/>
          <w:color w:val="auto"/>
        </w:rPr>
      </w:pPr>
    </w:p>
    <w:p>
      <w:pPr>
        <w:ind w:right="60" w:firstLine="413"/>
        <w:spacing w:after="0" w:line="289" w:lineRule="auto"/>
        <w:rPr>
          <w:sz w:val="20"/>
          <w:szCs w:val="20"/>
          <w:color w:val="auto"/>
        </w:rPr>
      </w:pPr>
      <w:r>
        <w:rPr>
          <w:rFonts w:ascii="Arial" w:cs="Arial" w:eastAsia="Arial" w:hAnsi="Arial"/>
          <w:sz w:val="15"/>
          <w:szCs w:val="15"/>
          <w:color w:val="auto"/>
        </w:rPr>
        <w:t>Our business strategy includes the acquisition of businesses, technologies, services or products that we believe are a strategic fit with our business. Most recently, in January 2018, we completed the acquisition of all the outstanding stock of Data Sciences International, Inc., (DSI) a privately held physiologic monitoring business with headquarters in St. Paul, Minnesota. With respect to these recent acquisitions or if we undertake any future acquisition, the process of integrating the acquired business, technology, service or product may result in unforeseen operating difficulties and expenditures and may absorb significant management attention that would otherwise be available for ongoing development of our business. Moreover, we may fail to realize the anticipated benefits of any acquisition as rapidly as expected or at all. Such transactions are inherently risky, and any such recent or future acquisitions could reduce stockholders’ ownership, cause us to incur debt, expose us to future liabilities and result in amortization expenses related to intangible assets with definite lives, which may adversely impact our ability to undertake future acquisitions on substantially similar terms. We may also incur significant expenditures in anticipation of an acquisition that is never realized.</w:t>
      </w:r>
    </w:p>
    <w:p>
      <w:pPr>
        <w:spacing w:after="0" w:line="160" w:lineRule="exact"/>
        <w:rPr>
          <w:sz w:val="20"/>
          <w:szCs w:val="20"/>
          <w:color w:val="auto"/>
        </w:rPr>
      </w:pPr>
    </w:p>
    <w:p>
      <w:pPr>
        <w:ind w:right="20" w:firstLine="413"/>
        <w:spacing w:after="0" w:line="273" w:lineRule="auto"/>
        <w:rPr>
          <w:sz w:val="20"/>
          <w:szCs w:val="20"/>
          <w:color w:val="auto"/>
        </w:rPr>
      </w:pPr>
      <w:r>
        <w:rPr>
          <w:rFonts w:ascii="Arial" w:cs="Arial" w:eastAsia="Arial" w:hAnsi="Arial"/>
          <w:sz w:val="16"/>
          <w:szCs w:val="16"/>
          <w:color w:val="auto"/>
        </w:rPr>
        <w:t>Our ability to achieve the benefits of acquisitions depends in part on the integration and leveraging of technology, operations, sales and marketing channels and personnel. The integration process is a complex, time-consuming and expensive process and may disrupt our business if not completed in a timely and efficient manner. We may have difficulty successfully integrating acquired businesses, and their domestic and foreign operations or product lines, and as a result, we may not realize any of the anticipated benefits of the acquisitions we make. We cannot assure that our growth rate will equal the growth rates that have been experienced by us and these and other acquired companies, respectively, operating as separate companies in the past.</w:t>
      </w:r>
    </w:p>
    <w:p>
      <w:pPr>
        <w:spacing w:after="0" w:line="16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We have substantial debt and other financial obligations and we may incur even more debt. Any failure to meet our debt and other financial obligations could harm our business, financial condition and results of operations.</w:t>
      </w:r>
    </w:p>
    <w:p>
      <w:pPr>
        <w:spacing w:after="0" w:line="166" w:lineRule="exact"/>
        <w:rPr>
          <w:sz w:val="20"/>
          <w:szCs w:val="20"/>
          <w:color w:val="auto"/>
        </w:rPr>
      </w:pPr>
    </w:p>
    <w:p>
      <w:pPr>
        <w:ind w:firstLine="413"/>
        <w:spacing w:after="0" w:line="268" w:lineRule="auto"/>
        <w:rPr>
          <w:sz w:val="20"/>
          <w:szCs w:val="20"/>
          <w:color w:val="auto"/>
        </w:rPr>
      </w:pPr>
      <w:r>
        <w:rPr>
          <w:rFonts w:ascii="Arial" w:cs="Arial" w:eastAsia="Arial" w:hAnsi="Arial"/>
          <w:sz w:val="16"/>
          <w:szCs w:val="16"/>
          <w:color w:val="auto"/>
        </w:rPr>
        <w:t>We have substantial debt and other financial obligations and significant unused borrowing capacity. On January 31, 2018, we entered into a Financing Agreement with Cerberus Business Finance, LLC, as agent and lender (the Credit Agreement). As of March 16, 2018, we had borrowings of $67.0 million under the Credit Agreement. The Credit Agreement includes financial covenants relating to leverage and fixed charges, as well as other customary affirmative and negative covenants, including limitations on our ability to incur additional indebtedness and requires lender approval for acquisitions funded with cash, promissory notes and/or other consideration in excess of $1.0 million and for acquisitions in excess of $0.5 million. If we are not in compliance with certain of these covenants, in addition to other actions the creditor may require, the amounts outstanding under the Credit Agreement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172" w:lineRule="exact"/>
        <w:rPr>
          <w:sz w:val="20"/>
          <w:szCs w:val="20"/>
          <w:color w:val="auto"/>
        </w:rPr>
      </w:pPr>
    </w:p>
    <w:p>
      <w:pPr>
        <w:ind w:right="100" w:firstLine="413"/>
        <w:spacing w:after="0" w:line="310" w:lineRule="auto"/>
        <w:rPr>
          <w:sz w:val="20"/>
          <w:szCs w:val="20"/>
          <w:color w:val="auto"/>
        </w:rPr>
      </w:pPr>
      <w:r>
        <w:rPr>
          <w:rFonts w:ascii="Arial" w:cs="Arial" w:eastAsia="Arial" w:hAnsi="Arial"/>
          <w:sz w:val="15"/>
          <w:szCs w:val="15"/>
          <w:color w:val="auto"/>
        </w:rPr>
        <w:t>The obligations under the Credit Agreement and related guarantees are secured on a first-priority basis (subject to certain liens permitted under the Credit Agreement) by a lien on substantially all the tangible and intangible assets of our company and the subsidiary guarantors, including all of the capital stock held by such obligors, subject to a 65% limitation on pledges of capital stock of foreign subsidiaries and certain other exceptions. Our Credit Agreement and related obligations:</w:t>
      </w:r>
    </w:p>
    <w:p>
      <w:pPr>
        <w:spacing w:after="0" w:line="141" w:lineRule="exact"/>
        <w:rPr>
          <w:sz w:val="20"/>
          <w:szCs w:val="20"/>
          <w:color w:val="auto"/>
        </w:rPr>
      </w:pPr>
    </w:p>
    <w:p>
      <w:pPr>
        <w:ind w:left="600" w:hanging="295"/>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Require us to dedicate significant cash flow to the payment of principal and interest on our debt, which reduces the funds we have available for other purposes;</w:t>
      </w:r>
    </w:p>
    <w:p>
      <w:pPr>
        <w:spacing w:after="0" w:line="232" w:lineRule="exact"/>
        <w:rPr>
          <w:rFonts w:ascii="Arial" w:cs="Arial" w:eastAsia="Arial" w:hAnsi="Arial"/>
          <w:sz w:val="15"/>
          <w:szCs w:val="15"/>
          <w:color w:val="auto"/>
        </w:rPr>
      </w:pPr>
    </w:p>
    <w:p>
      <w:pPr>
        <w:ind w:left="600" w:hanging="295"/>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May limit our flexibility in planning for or reacting to changes in our business and market conditions or funding our strategic growth plan;</w:t>
      </w:r>
    </w:p>
    <w:p>
      <w:pPr>
        <w:spacing w:after="0" w:line="209" w:lineRule="exact"/>
        <w:rPr>
          <w:rFonts w:ascii="Arial" w:cs="Arial" w:eastAsia="Arial" w:hAnsi="Arial"/>
          <w:sz w:val="17"/>
          <w:szCs w:val="17"/>
          <w:color w:val="auto"/>
        </w:rPr>
      </w:pPr>
    </w:p>
    <w:p>
      <w:pPr>
        <w:ind w:left="600" w:hanging="295"/>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Impose on us additional financial and operational restrictions;</w:t>
      </w:r>
    </w:p>
    <w:p>
      <w:pPr>
        <w:spacing w:after="0" w:line="209" w:lineRule="exact"/>
        <w:rPr>
          <w:rFonts w:ascii="Arial" w:cs="Arial" w:eastAsia="Arial" w:hAnsi="Arial"/>
          <w:sz w:val="17"/>
          <w:szCs w:val="17"/>
          <w:color w:val="auto"/>
        </w:rPr>
      </w:pPr>
    </w:p>
    <w:p>
      <w:pPr>
        <w:ind w:left="600" w:right="660" w:hanging="295"/>
        <w:spacing w:after="0" w:line="271"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Expose us to interest rate risk since a portion of our debt obligations is at variable rates (which is mitigated to a certain extent, by interest rate hedging transactions we entered into in connection with our Credit Agreement); and</w:t>
      </w:r>
    </w:p>
    <w:p>
      <w:pPr>
        <w:spacing w:after="0" w:line="165" w:lineRule="exact"/>
        <w:rPr>
          <w:rFonts w:ascii="Arial" w:cs="Arial" w:eastAsia="Arial" w:hAnsi="Arial"/>
          <w:sz w:val="17"/>
          <w:szCs w:val="17"/>
          <w:color w:val="auto"/>
        </w:rPr>
      </w:pPr>
    </w:p>
    <w:p>
      <w:pPr>
        <w:ind w:left="600" w:hanging="295"/>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Restrict our ability to fund certain acquisitions.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228" w:right="25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140" w:firstLine="413"/>
        <w:spacing w:after="0" w:line="271" w:lineRule="auto"/>
        <w:rPr>
          <w:sz w:val="20"/>
          <w:szCs w:val="20"/>
          <w:color w:val="auto"/>
        </w:rPr>
      </w:pPr>
      <w:r>
        <w:rPr>
          <w:rFonts w:ascii="Arial" w:cs="Arial" w:eastAsia="Arial" w:hAnsi="Arial"/>
          <w:sz w:val="17"/>
          <w:szCs w:val="17"/>
          <w:color w:val="auto"/>
        </w:rPr>
        <w:t>In addition, investors may be apprehensive about investing in companies such as ours that carry a substantial amount of leverage on their balance sheets, and this apprehension may adversely affect the price of our common stock.</w:t>
      </w:r>
    </w:p>
    <w:p>
      <w:pPr>
        <w:spacing w:after="0" w:line="166" w:lineRule="exact"/>
        <w:rPr>
          <w:sz w:val="20"/>
          <w:szCs w:val="20"/>
          <w:color w:val="auto"/>
        </w:rPr>
      </w:pPr>
    </w:p>
    <w:p>
      <w:pPr>
        <w:ind w:right="400" w:firstLine="413"/>
        <w:spacing w:after="0" w:line="271" w:lineRule="auto"/>
        <w:rPr>
          <w:sz w:val="20"/>
          <w:szCs w:val="20"/>
          <w:color w:val="auto"/>
        </w:rPr>
      </w:pPr>
      <w:r>
        <w:rPr>
          <w:rFonts w:ascii="Arial" w:cs="Arial" w:eastAsia="Arial" w:hAnsi="Arial"/>
          <w:sz w:val="17"/>
          <w:szCs w:val="17"/>
          <w:color w:val="auto"/>
        </w:rPr>
        <w:t>Further, based upon our actual performance levels, our covenants relating to leverage and fixed charges could limit our ability to incur additional debt, which could hinder our ability to execute our current business strategy.</w:t>
      </w:r>
    </w:p>
    <w:p>
      <w:pPr>
        <w:spacing w:after="0" w:line="166" w:lineRule="exact"/>
        <w:rPr>
          <w:sz w:val="20"/>
          <w:szCs w:val="20"/>
          <w:color w:val="auto"/>
        </w:rPr>
      </w:pPr>
    </w:p>
    <w:p>
      <w:pPr>
        <w:ind w:firstLine="413"/>
        <w:spacing w:after="0" w:line="269" w:lineRule="auto"/>
        <w:rPr>
          <w:sz w:val="20"/>
          <w:szCs w:val="20"/>
          <w:color w:val="auto"/>
        </w:rPr>
      </w:pPr>
      <w:r>
        <w:rPr>
          <w:rFonts w:ascii="Arial" w:cs="Arial" w:eastAsia="Arial" w:hAnsi="Arial"/>
          <w:sz w:val="16"/>
          <w:szCs w:val="16"/>
          <w:color w:val="auto"/>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may such payments, comply with the financial covenants, or any other non-financial or restrictive covenant, would create a default under our Credit Agreement. The maturity date with respect to the loans under the Credit Agreement is currently January 31, 2023. Our cash flow and existing capital resources may be insufficient to repay our debt at maturity, in which such case prior thereto we would have to extend such maturity date, or otherwise repay, refinance and or restructure the obligations under the Credit Agreement, including with proceeds from the sale of assets, and additional equity or debt capital. If we are unsuccessful in obtaining such extension, or entering into such repayment, refinance or restructure prior to maturity, or any other default existed under the Credit Agreement, our lenders could accelerate the indebtedness under the Credit Agreement, foreclose against their collateral or seek other remedies, which would jeopardize our ability to continue our current operations.</w:t>
      </w:r>
    </w:p>
    <w:p>
      <w:pPr>
        <w:spacing w:after="0" w:line="16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A portion of our revenues are derived from customers from the pharmaceutical and biotechnology industries and are subject to risks faced by those industries. Such risks may adversely affect our financial results.</w:t>
      </w:r>
    </w:p>
    <w:p>
      <w:pPr>
        <w:spacing w:after="0" w:line="166" w:lineRule="exact"/>
        <w:rPr>
          <w:sz w:val="20"/>
          <w:szCs w:val="20"/>
          <w:color w:val="auto"/>
        </w:rPr>
      </w:pPr>
    </w:p>
    <w:p>
      <w:pPr>
        <w:ind w:right="120" w:firstLine="413"/>
        <w:spacing w:after="0" w:line="301" w:lineRule="auto"/>
        <w:rPr>
          <w:sz w:val="20"/>
          <w:szCs w:val="20"/>
          <w:color w:val="auto"/>
        </w:rPr>
      </w:pPr>
      <w:r>
        <w:rPr>
          <w:rFonts w:ascii="Arial" w:cs="Arial" w:eastAsia="Arial" w:hAnsi="Arial"/>
          <w:sz w:val="15"/>
          <w:szCs w:val="15"/>
          <w:color w:val="auto"/>
        </w:rPr>
        <w:t>We derive a significant portion of our revenues from pharmaceutical and biotechnology companies. We expect that pharmaceutical and biotechnology companies will continue to be a significant source of our revenues for the foreseeable future, including in our PCMI, Ephys and Data Sciences commercial product families. As a result, we are subject to risks and uncertainties that affect the pharmaceutical and biotechnology industries, such as government regulation, ongoing consolidation, uncertainty of technological change, and reductions and delays in research and development expenditures by companies in these industries.</w:t>
      </w:r>
    </w:p>
    <w:p>
      <w:pPr>
        <w:spacing w:after="0" w:line="147" w:lineRule="exact"/>
        <w:rPr>
          <w:sz w:val="20"/>
          <w:szCs w:val="20"/>
          <w:color w:val="auto"/>
        </w:rPr>
      </w:pPr>
    </w:p>
    <w:p>
      <w:pPr>
        <w:ind w:right="20" w:firstLine="413"/>
        <w:spacing w:after="0" w:line="270" w:lineRule="auto"/>
        <w:rPr>
          <w:sz w:val="20"/>
          <w:szCs w:val="20"/>
          <w:color w:val="auto"/>
        </w:rPr>
      </w:pPr>
      <w:r>
        <w:rPr>
          <w:rFonts w:ascii="Arial" w:cs="Arial" w:eastAsia="Arial" w:hAnsi="Arial"/>
          <w:sz w:val="16"/>
          <w:szCs w:val="16"/>
          <w:color w:val="auto"/>
        </w:rPr>
        <w:t>In particular, the biotechnology industry is largely dependent on raising capital to fund its operations. If biotechnology companies that are our customers are unable to obtain the financing necessary to purchase our products, our business and results of operations could be adversely affected. In addition, we are dependent, both directly and indirectly, upon general health care spending patterns, particularly in the research and development budgets of the pharmaceutical and biotechnology industries, as well as upon the financial condition and purchasing patterns of various governments and government agencies. As it relates to both the biotechnology and pharmaceutical industries, many companies have significant patents that have expired or are about to expire, which could result in reduced revenues for those companies. If pharmaceutical or biotechnology companies that are our customers suffer reduced revenues as a result of these patent expirations, they may be unable to purchase our products, and our business and results of operations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vendor and employee uncertainty about the effects of any of our acquisitions could harm us.</w:t>
      </w:r>
    </w:p>
    <w:p>
      <w:pPr>
        <w:spacing w:after="0" w:line="209" w:lineRule="exact"/>
        <w:rPr>
          <w:sz w:val="20"/>
          <w:szCs w:val="20"/>
          <w:color w:val="auto"/>
        </w:rPr>
      </w:pPr>
    </w:p>
    <w:p>
      <w:pPr>
        <w:ind w:right="100" w:firstLine="413"/>
        <w:spacing w:after="0" w:line="256" w:lineRule="auto"/>
        <w:rPr>
          <w:sz w:val="20"/>
          <w:szCs w:val="20"/>
          <w:color w:val="auto"/>
        </w:rPr>
      </w:pPr>
      <w:r>
        <w:rPr>
          <w:rFonts w:ascii="Arial" w:cs="Arial" w:eastAsia="Arial" w:hAnsi="Arial"/>
          <w:sz w:val="17"/>
          <w:szCs w:val="17"/>
          <w:color w:val="auto"/>
        </w:rPr>
        <w:t>The customers of any company we acquire, including DSI and others in the future, may, in response to the consummation of the acquisition, delay or defer purchasing decisions. Any delay or deferral in purchasing decisions by customers could adversely affect our business. Similarly, employees of acquired companies may experience uncertainty about their future role until or after we execute our post-acquisition strategies. This may adversely affect our ability to attract and retain key management, sales, marketing and technical personnel following an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economic, political and other risks associated with international revenues and operations.</w:t>
      </w:r>
    </w:p>
    <w:p>
      <w:pPr>
        <w:spacing w:after="0" w:line="209" w:lineRule="exact"/>
        <w:rPr>
          <w:sz w:val="20"/>
          <w:szCs w:val="20"/>
          <w:color w:val="auto"/>
        </w:rPr>
      </w:pPr>
    </w:p>
    <w:p>
      <w:pPr>
        <w:ind w:right="80" w:firstLine="413"/>
        <w:spacing w:after="0" w:line="288" w:lineRule="auto"/>
        <w:rPr>
          <w:sz w:val="20"/>
          <w:szCs w:val="20"/>
          <w:color w:val="auto"/>
        </w:rPr>
      </w:pPr>
      <w:r>
        <w:rPr>
          <w:rFonts w:ascii="Arial" w:cs="Arial" w:eastAsia="Arial" w:hAnsi="Arial"/>
          <w:sz w:val="15"/>
          <w:szCs w:val="15"/>
          <w:color w:val="auto"/>
        </w:rPr>
        <w:t>We manufacture and sell our products worldwide and as a result, our business is subject to risks associated with doing business internationally. A substantial amount of our revenues are derived from international operations, and we anticipate that a significant portion of our sales will continue to come from outside the United States in the future. We anticipate that revenues from international operations will likely continue to increase as a result of our efforts to expand our business in markets abroad. In addition, a number of our manufacturing facilities and suppliers are located outside the United States. Our foreign operations subject us to certain risks, including: effects of fluctuations in foreign currency exchange rates (discussed below); the impact of local economic conditions; local product preferences and seasonality (discussed below) and product requirements; local difficulty to effectively establish and expand our business and operations in international markets; disruptions of capital and trading markets; restrictions and potentially negative tax implications of transfer of capital across borders; differing labor regulations; other factors beyond our control, including potential political instability, terrorism, acts of war, natural disasters and diseases; unexpected changes and increased enforcement of regulatory requirements and various state, federal and international, intellectual property, environmental, antitrust, anti-corruption, fraud and abuse (including anti-kickback and false claims laws) and employment laws; and interruption to transportation flows for delivery of parts to us and finished goods to our customers.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20" w:firstLine="413"/>
        <w:spacing w:after="0" w:line="296" w:lineRule="auto"/>
        <w:rPr>
          <w:sz w:val="20"/>
          <w:szCs w:val="20"/>
          <w:color w:val="auto"/>
        </w:rPr>
      </w:pPr>
      <w:r>
        <w:rPr>
          <w:rFonts w:ascii="Arial" w:cs="Arial" w:eastAsia="Arial" w:hAnsi="Arial"/>
          <w:sz w:val="15"/>
          <w:szCs w:val="15"/>
          <w:color w:val="auto"/>
        </w:rPr>
        <w:t>Specifically with respect to the expansion of our business into China, our financial performance may be subject to the following risks, among others affecting companies that operate in China: the impact of declining economic growth in China; regulation of foreign investment and business activities by the Chinese government, including recent scrutiny of foreign companies, may limit our ability to expand our business in China; uncertainties with respect to the legal system in China may limit the legal protections available to us in China; government restrictions on the remittance of currency out of China and the ability of any subsidiary we may establish in China to pay dividends and make other distributions to us; and potential unfavorable tax consequences as a result of our operations in China.</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Newly enacted U.S. government tax reform could have a negative impact on the results of future operations.</w:t>
      </w:r>
    </w:p>
    <w:p>
      <w:pPr>
        <w:spacing w:after="0" w:line="209" w:lineRule="exact"/>
        <w:rPr>
          <w:sz w:val="20"/>
          <w:szCs w:val="20"/>
          <w:color w:val="auto"/>
        </w:rPr>
      </w:pPr>
    </w:p>
    <w:p>
      <w:pPr>
        <w:ind w:firstLine="413"/>
        <w:spacing w:after="0" w:line="269" w:lineRule="auto"/>
        <w:rPr>
          <w:sz w:val="20"/>
          <w:szCs w:val="20"/>
          <w:color w:val="auto"/>
        </w:rPr>
      </w:pPr>
      <w:r>
        <w:rPr>
          <w:rFonts w:ascii="Arial" w:cs="Arial" w:eastAsia="Arial" w:hAnsi="Arial"/>
          <w:sz w:val="16"/>
          <w:szCs w:val="16"/>
          <w:color w:val="auto"/>
        </w:rPr>
        <w:t>On December 22, 2017, the President of the United States signed into law H.R. 1, originally known as the “Tax Cuts and Jobs Act”, hereafter referred to as “the Tax Act”, to be effective as of January 1, 2018. The Company is in the process of determining the impact to the financial statements of all aspects of the Tax Act and will reflect the impact of such reform in the financial statements during the period in which such amounts can be reasonably estimated. The Tax Act contained certain substantial changes to the Internal Revenue Code, some of which could have an adverse effect on our business. The Tax Act significantly revises the U.S. corporate income tax by, among other things, lowering corporate income tax rates, implementing a modified territorial tax system and imposing a repatriation tax on undistributed foreign earnings of foreign subsidiaries. Given the complexity of the Tax Act, anticipated guidance from the Internal Revenue Service about implementing the Tax Act, and the potential for additional guidance from the Securities and Exchange Commission or the Financial Accounting Standards Board related to the Tax Act, the intended and unintended consequences of the Tax Act on our business and on holders of our common shares is uncertain and could be adverse, which could result in further impact to our results of operations, financial condition and cash flow.</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rate fluctuations may have a negative impact on our reported earnings.</w:t>
      </w:r>
    </w:p>
    <w:p>
      <w:pPr>
        <w:spacing w:after="0" w:line="209" w:lineRule="exact"/>
        <w:rPr>
          <w:sz w:val="20"/>
          <w:szCs w:val="20"/>
          <w:color w:val="auto"/>
        </w:rPr>
      </w:pPr>
    </w:p>
    <w:p>
      <w:pPr>
        <w:ind w:right="60" w:firstLine="413"/>
        <w:spacing w:after="0" w:line="268" w:lineRule="auto"/>
        <w:rPr>
          <w:sz w:val="20"/>
          <w:szCs w:val="20"/>
          <w:color w:val="auto"/>
        </w:rPr>
      </w:pPr>
      <w:r>
        <w:rPr>
          <w:rFonts w:ascii="Arial" w:cs="Arial" w:eastAsia="Arial" w:hAnsi="Arial"/>
          <w:sz w:val="16"/>
          <w:szCs w:val="16"/>
          <w:color w:val="auto"/>
        </w:rPr>
        <w:t>We are also subject to the risks of fluctuating foreign currency exchange rates, which could have an adverse effect on the sales price of our products in foreign markets, as well as the costs and expenses of our foreign subsidiaries. A substantial amount of our revenues are derived from international operations, and we anticipate that a significant portion of revenues will continue to come from outside the United States in the future. As a result, currency fluctuations among the United States dollar, British pound, euro and the other currencies in which we do business have caused and will continue to cause foreign currency translation and transaction gains and losses. We have not used forward exchange contracts to hedge our foreign currency exposures. We attempt to manage foreign currency risk through the matching of assets and liabilities. In the future, we may undertake to manage foreign currency risk through hedging methods, including foreign currency contracts. We recognize foreign currency gains or losses arising from our operations in the period incurred. We cannot guarantee that we will be successful in managing foreign currency risk or in predicting the effects of exchange rate fluctuations upon our future operating results because of the number of currencies involved, the variability of currency exposure and the potential volatility of currency exchange rates. We cannot predict with any certainty changes in foreign currency exchange rates or the degree to which we can address these risks.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Economic conditions and regulatory changes caused by the United Kingdom’s likely exit from the European Union could adversely affect our business.</w:t>
      </w:r>
    </w:p>
    <w:p>
      <w:pPr>
        <w:spacing w:after="0" w:line="232" w:lineRule="exact"/>
        <w:rPr>
          <w:sz w:val="20"/>
          <w:szCs w:val="20"/>
          <w:color w:val="auto"/>
        </w:rPr>
      </w:pPr>
    </w:p>
    <w:p>
      <w:pPr>
        <w:ind w:firstLine="413"/>
        <w:spacing w:after="0" w:line="286" w:lineRule="auto"/>
        <w:rPr>
          <w:sz w:val="20"/>
          <w:szCs w:val="20"/>
          <w:color w:val="auto"/>
        </w:rPr>
      </w:pPr>
      <w:r>
        <w:rPr>
          <w:rFonts w:ascii="Arial" w:cs="Arial" w:eastAsia="Arial" w:hAnsi="Arial"/>
          <w:sz w:val="15"/>
          <w:szCs w:val="15"/>
          <w:color w:val="auto"/>
        </w:rPr>
        <w:t>In June 2016, the United Kingdom (the U.K.) held a referendum in which voters approved an exit from the European Union (E.U.), commonly referred to as Brexit. On March 29, 2017, the U.K. formally notified the E.U. of its intention to withdraw pursuant to the Treaty on European Union. The withdrawal of the U.K. from the E.U. will take effect either when agreed upon or, in the absence of such an agreement, two years after the U.K. provided its notice of withdrawal. It appears likely that this withdrawal will involve a process of lengthy negotiations between the U.K. and the E.U. member states to determine the terms of the withdrawal as well as the U.K.’s relationship with the E.U. going forward. The announcement of Brexit has resulted in significant volatility in global stock market and currency exchange rate fluctuations that resulted in strengthening of the U.S. dollar relative to other foreign currencies in which we conduct business. The announcement of Brexit and the likely withdrawal of the U.K. from the E.U. may also create global economic uncertainty, including an uncertain funding environment for U.K. customers receiving funding from the E.U, which may cause our customers to closely monitor their costs and reduce their spending budgets. The effects of Brexit will depend on any agreements the U.K. makes to retain access to E.U. markets either during a transitional period or more permanently. Since a significant proportion of the regulatory framework in the U.K. is derived from E.U. directives and regulations, the referendum could materially change the regulatory regime applicable to the approval of any product candidates in the U.K. In addition, since the EMA is located in the U.K., the implications for the regulatory review process in the E.U. has not been clarified and could result in relocation of the EMA or a disruption in the EMA review process.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200" w:firstLine="413"/>
        <w:spacing w:after="0" w:line="260" w:lineRule="auto"/>
        <w:rPr>
          <w:sz w:val="20"/>
          <w:szCs w:val="20"/>
          <w:color w:val="auto"/>
        </w:rPr>
      </w:pPr>
      <w:r>
        <w:rPr>
          <w:rFonts w:ascii="Arial" w:cs="Arial" w:eastAsia="Arial" w:hAnsi="Arial"/>
          <w:sz w:val="17"/>
          <w:szCs w:val="17"/>
          <w:color w:val="auto"/>
        </w:rPr>
        <w:t>Further, Brexit could adversely affect European and worldwide economic or market conditions and could contribute to instability in global financial markets. Brexit is likely to lead to legal uncertainty and potentially divergent national laws and regulations as the U.K. determines which E.U. laws to replace or replicate. This could adversely affect our business, financial condition, operating results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Domestic and global economic conditions could adversely affect our operations.</w:t>
      </w:r>
    </w:p>
    <w:p>
      <w:pPr>
        <w:spacing w:after="0" w:line="209" w:lineRule="exact"/>
        <w:rPr>
          <w:sz w:val="20"/>
          <w:szCs w:val="20"/>
          <w:color w:val="auto"/>
        </w:rPr>
      </w:pPr>
    </w:p>
    <w:p>
      <w:pPr>
        <w:ind w:right="20" w:firstLine="413"/>
        <w:spacing w:after="0" w:line="252" w:lineRule="auto"/>
        <w:rPr>
          <w:sz w:val="20"/>
          <w:szCs w:val="20"/>
          <w:color w:val="auto"/>
        </w:rPr>
      </w:pPr>
      <w:r>
        <w:rPr>
          <w:rFonts w:ascii="Arial" w:cs="Arial" w:eastAsia="Arial" w:hAnsi="Arial"/>
          <w:sz w:val="17"/>
          <w:szCs w:val="17"/>
          <w:color w:val="auto"/>
        </w:rPr>
        <w:t>We are subject to the risks arising from adverse changes in domestic and global economic conditions. If global economic and market conditions, or economic conditions in the United States, deteriorate, we may experience an adverse effect on our business, operating results and financial condition. Concerns about credit markets, consumer confidence, economic conditions, government spending to sponsor life science research, volatile corporate profits and reduced capital spending could negatively impact demand for our products. If economic growth in the United States and other countries slows or deteriorates, customers may delay or forego purchases of our products. Unstable economic, political and social conditions make it difficult for our customers, our suppliers and us to accurately forecast and plan future business activities. If such conditions exist, our business, financial condition and results of operations could suffer. We cannot project the extent of the impact of the economic environment on our industry or us.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governmental regulations may reduce demand for our products, adversely impact our revenues, or increase our expenses.</w:t>
      </w:r>
    </w:p>
    <w:p>
      <w:pPr>
        <w:spacing w:after="0" w:line="209" w:lineRule="exact"/>
        <w:rPr>
          <w:sz w:val="20"/>
          <w:szCs w:val="20"/>
          <w:color w:val="auto"/>
        </w:rPr>
      </w:pPr>
    </w:p>
    <w:p>
      <w:pPr>
        <w:ind w:right="180" w:firstLine="413"/>
        <w:spacing w:after="0" w:line="269" w:lineRule="auto"/>
        <w:rPr>
          <w:sz w:val="20"/>
          <w:szCs w:val="20"/>
          <w:color w:val="auto"/>
        </w:rPr>
      </w:pPr>
      <w:r>
        <w:rPr>
          <w:rFonts w:ascii="Arial" w:cs="Arial" w:eastAsia="Arial" w:hAnsi="Arial"/>
          <w:sz w:val="16"/>
          <w:szCs w:val="16"/>
          <w:color w:val="auto"/>
        </w:rPr>
        <w:t>We compete in many markets in which we and our customers must comply with federal, state, local and international regulations. We develop, configure and market our products to meet customer needs created by those regulations. These requirements include, among other things, regulations regarding manufacturing practices, product labeling, and advertising and post marketing reporting. We must incur expense and spend time and effort to ensure compliance with these complex regulations. Possible regulatory actions for non-compliance could include warning letters, fines, damages, injunctions, civil penalties, recalls, seizures of our products, and criminal prosecution. These actions could result in, among other things, substantial modifications to our business practices and operations; refunds, recalls, or seizures of our products; a total or partial shutdown of production in one or more of our facilities while we or our suppliers remedy the alleged violation; and withdrawals or suspensions of current products from the market. Any of these events could disrupt our business and have a material adverse effect on our revenues, profitability and financial condition.</w:t>
      </w:r>
    </w:p>
    <w:p>
      <w:pPr>
        <w:spacing w:after="0" w:line="172" w:lineRule="exact"/>
        <w:rPr>
          <w:sz w:val="20"/>
          <w:szCs w:val="20"/>
          <w:color w:val="auto"/>
        </w:rPr>
      </w:pPr>
    </w:p>
    <w:p>
      <w:pPr>
        <w:ind w:right="740"/>
        <w:spacing w:after="0" w:line="271" w:lineRule="auto"/>
        <w:rPr>
          <w:sz w:val="20"/>
          <w:szCs w:val="20"/>
          <w:color w:val="auto"/>
        </w:rPr>
      </w:pPr>
      <w:r>
        <w:rPr>
          <w:rFonts w:ascii="Arial" w:cs="Arial" w:eastAsia="Arial" w:hAnsi="Arial"/>
          <w:sz w:val="17"/>
          <w:szCs w:val="17"/>
          <w:b w:val="1"/>
          <w:bCs w:val="1"/>
          <w:i w:val="1"/>
          <w:iCs w:val="1"/>
          <w:color w:val="auto"/>
        </w:rPr>
        <w:t>We continue to expand our business into foreign countries and international markets. If our products are not accepted in these new markets our financial performance may suffer.</w:t>
      </w:r>
    </w:p>
    <w:p>
      <w:pPr>
        <w:spacing w:after="0" w:line="166" w:lineRule="exact"/>
        <w:rPr>
          <w:sz w:val="20"/>
          <w:szCs w:val="20"/>
          <w:color w:val="auto"/>
        </w:rPr>
      </w:pPr>
    </w:p>
    <w:p>
      <w:pPr>
        <w:ind w:firstLine="413"/>
        <w:spacing w:after="0" w:line="256" w:lineRule="auto"/>
        <w:rPr>
          <w:sz w:val="20"/>
          <w:szCs w:val="20"/>
          <w:color w:val="auto"/>
        </w:rPr>
      </w:pPr>
      <w:r>
        <w:rPr>
          <w:rFonts w:ascii="Arial" w:cs="Arial" w:eastAsia="Arial" w:hAnsi="Arial"/>
          <w:sz w:val="17"/>
          <w:szCs w:val="17"/>
          <w:color w:val="auto"/>
        </w:rPr>
        <w:t>We continue to aggressively expand our sales and marketing efforts in foreign countries and international markets. The cost and diversion of resources to these efforts may not result in an increase in revenues in our business. Expansion of our business into new markets may be more costly and require the devotion of more of our management’s time than we anticipate, which may hurt our business performance in other markets. Our operating results may suffer to the extent that our efforts to expand our product sales in these new markets are delayed or prove to be unsuccessful.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life sciences industry is very competitive.</w:t>
      </w:r>
    </w:p>
    <w:p>
      <w:pPr>
        <w:spacing w:after="0" w:line="209" w:lineRule="exact"/>
        <w:rPr>
          <w:sz w:val="20"/>
          <w:szCs w:val="20"/>
          <w:color w:val="auto"/>
        </w:rPr>
      </w:pPr>
    </w:p>
    <w:p>
      <w:pPr>
        <w:ind w:firstLine="413"/>
        <w:spacing w:after="0" w:line="289" w:lineRule="auto"/>
        <w:rPr>
          <w:sz w:val="20"/>
          <w:szCs w:val="20"/>
          <w:color w:val="auto"/>
        </w:rPr>
      </w:pPr>
      <w:r>
        <w:rPr>
          <w:rFonts w:ascii="Arial" w:cs="Arial" w:eastAsia="Arial" w:hAnsi="Arial"/>
          <w:sz w:val="15"/>
          <w:szCs w:val="15"/>
          <w:color w:val="auto"/>
        </w:rPr>
        <w:t>We expect to encounter increased competition from both established and development-stage companies that continually enter the market. These include companies developing and marketing life science instruments, systems and lab consumables, health care companies that manufacture laboratory-based tests and analyzers, diagnostic and pharmaceutical companies, analytical instrument companies, and companies developing life science or drug discovery technologies. Currently, our principal competition comes from established companies that provide products that perform many of the same functions for which we market our products. Many of our competitors have substantially greater financial, operational, marketing and technical resources than we do. Moreover, these competitors may offer broader product lines and tactical discounts, and may have greater name recognition. In addition, we may face competition from new entrants into the field. We may not have the financial resources, technical expertise or marketing, distribution or support capabilities to compete successfully in the future. In addition, we face changing customer preferences and requirements, including increased customer demand for more environmentally-friendly products.</w:t>
      </w:r>
    </w:p>
    <w:p>
      <w:pPr>
        <w:spacing w:after="0" w:line="160" w:lineRule="exact"/>
        <w:rPr>
          <w:sz w:val="20"/>
          <w:szCs w:val="20"/>
          <w:color w:val="auto"/>
        </w:rPr>
      </w:pPr>
    </w:p>
    <w:p>
      <w:pPr>
        <w:ind w:firstLine="413"/>
        <w:spacing w:after="0" w:line="289" w:lineRule="auto"/>
        <w:rPr>
          <w:sz w:val="20"/>
          <w:szCs w:val="20"/>
          <w:color w:val="auto"/>
        </w:rPr>
      </w:pPr>
      <w:r>
        <w:rPr>
          <w:rFonts w:ascii="Arial" w:cs="Arial" w:eastAsia="Arial" w:hAnsi="Arial"/>
          <w:sz w:val="15"/>
          <w:szCs w:val="15"/>
          <w:color w:val="auto"/>
        </w:rPr>
        <w:t>The life sciences industry is also subject to rapid technological change and discovery. The development of new or improved products, processes or technologies by other companies may render our products or proposed products obsolete or less competitive. In some instances, our competitors may develop or market products that are more effective or commercially attractive than our current or future products. To meet the evolving needs of customers, we must continually enhance our current and planned products and develop and introduce new products. However, we may experience difficulties that may delay or prevent the successful development, introduction and marketing of new products or product enhancements. In addition, our product lines are based on complex technologies that are subject to change as new technologies are developed and introduced in the marketplace. We may have difficulty in keeping abreast of the changes affecting each of the different markets we serve or intend to serve. Our failure to develop and introduce products in a timely manner in response to changing technology, market demands or the requirements of our customers could cause our product sales to decline, and we could experience significant losses.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jc w:val="both"/>
        <w:ind w:right="120" w:firstLine="413"/>
        <w:spacing w:after="0" w:line="256" w:lineRule="auto"/>
        <w:rPr>
          <w:sz w:val="20"/>
          <w:szCs w:val="20"/>
          <w:color w:val="auto"/>
        </w:rPr>
      </w:pPr>
      <w:r>
        <w:rPr>
          <w:rFonts w:ascii="Arial" w:cs="Arial" w:eastAsia="Arial" w:hAnsi="Arial"/>
          <w:sz w:val="17"/>
          <w:szCs w:val="17"/>
          <w:color w:val="auto"/>
        </w:rPr>
        <w:t>We offer and plan to offer a broad range of products and have incurred and expect to continue to incur substantial expenses for development of new products and enhanced versions of our existing products. The speed of technological change in our market may prevent us from being able to successfully market some or all of our products for the length of time required to recover development costs. Failure to recover the development costs of one or more products or product lines could decrease our profitability or cause us to experience significant losses.</w:t>
      </w:r>
    </w:p>
    <w:p>
      <w:pPr>
        <w:spacing w:after="0" w:line="178" w:lineRule="exact"/>
        <w:rPr>
          <w:sz w:val="20"/>
          <w:szCs w:val="20"/>
          <w:color w:val="auto"/>
        </w:rPr>
      </w:pPr>
    </w:p>
    <w:p>
      <w:pPr>
        <w:jc w:val="both"/>
        <w:ind w:right="120"/>
        <w:spacing w:after="0" w:line="271" w:lineRule="auto"/>
        <w:rPr>
          <w:sz w:val="20"/>
          <w:szCs w:val="20"/>
          <w:color w:val="auto"/>
        </w:rPr>
      </w:pPr>
      <w:r>
        <w:rPr>
          <w:rFonts w:ascii="Arial" w:cs="Arial" w:eastAsia="Arial" w:hAnsi="Arial"/>
          <w:sz w:val="17"/>
          <w:szCs w:val="17"/>
          <w:b w:val="1"/>
          <w:bCs w:val="1"/>
          <w:i w:val="1"/>
          <w:iCs w:val="1"/>
          <w:color w:val="auto"/>
        </w:rPr>
        <w:t>Ethical concerns surrounding the use of our products and misunderstanding of the nature of our business could adversely affect our ability to develop and sell our existing products and new products.</w:t>
      </w:r>
    </w:p>
    <w:p>
      <w:pPr>
        <w:spacing w:after="0" w:line="166" w:lineRule="exact"/>
        <w:rPr>
          <w:sz w:val="20"/>
          <w:szCs w:val="20"/>
          <w:color w:val="auto"/>
        </w:rPr>
      </w:pPr>
    </w:p>
    <w:p>
      <w:pPr>
        <w:ind w:right="100" w:firstLine="413"/>
        <w:spacing w:after="0" w:line="260" w:lineRule="auto"/>
        <w:rPr>
          <w:sz w:val="20"/>
          <w:szCs w:val="20"/>
          <w:color w:val="auto"/>
        </w:rPr>
      </w:pPr>
      <w:r>
        <w:rPr>
          <w:rFonts w:ascii="Arial" w:cs="Arial" w:eastAsia="Arial" w:hAnsi="Arial"/>
          <w:sz w:val="17"/>
          <w:szCs w:val="17"/>
          <w:color w:val="auto"/>
        </w:rPr>
        <w:t>Some of our products may be used in areas of research usage involving animal research and other techniques presently being explored in the life science industry. These techniques have drawn negative attention in the public forum. Government authorities may regulate or prohibit any of these activities. Additionally, the public may disfavor or reject these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manage our growth, our operating profits may be adversely impacted.</w:t>
      </w:r>
    </w:p>
    <w:p>
      <w:pPr>
        <w:spacing w:after="0" w:line="209" w:lineRule="exact"/>
        <w:rPr>
          <w:sz w:val="20"/>
          <w:szCs w:val="20"/>
          <w:color w:val="auto"/>
        </w:rPr>
      </w:pPr>
    </w:p>
    <w:p>
      <w:pPr>
        <w:ind w:right="380" w:firstLine="413"/>
        <w:spacing w:after="0" w:line="301" w:lineRule="auto"/>
        <w:rPr>
          <w:sz w:val="20"/>
          <w:szCs w:val="20"/>
          <w:color w:val="auto"/>
        </w:rPr>
      </w:pPr>
      <w:r>
        <w:rPr>
          <w:rFonts w:ascii="Arial" w:cs="Arial" w:eastAsia="Arial" w:hAnsi="Arial"/>
          <w:sz w:val="15"/>
          <w:szCs w:val="15"/>
          <w:color w:val="auto"/>
        </w:rPr>
        <w:t>Our success will depend on the expansion of our operations through both organic growth and acquisitions. Effective growth management will place increased demands on our management team, operational and financial resources and expertise. To manage growth, we must expand our facilities, optimize our operational, financial and management systems, and hire and train additional qualified personnel. Failure to manage this growth effectively could impair our ability to generate revenues or could cause our expenses to increase more rapidly than revenues, resulting in operating losses or reduced profitability.</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Failure or inadequacy of our information technology infrastructure or software could adversely affect our day-to-day operations and decision-making processes and have an adverse effect on our performance.</w:t>
      </w:r>
    </w:p>
    <w:p>
      <w:pPr>
        <w:spacing w:after="0" w:line="166" w:lineRule="exact"/>
        <w:rPr>
          <w:sz w:val="20"/>
          <w:szCs w:val="20"/>
          <w:color w:val="auto"/>
        </w:rPr>
      </w:pPr>
    </w:p>
    <w:p>
      <w:pPr>
        <w:ind w:right="20" w:firstLine="413"/>
        <w:spacing w:after="0" w:line="271" w:lineRule="auto"/>
        <w:rPr>
          <w:sz w:val="20"/>
          <w:szCs w:val="20"/>
          <w:color w:val="auto"/>
        </w:rPr>
      </w:pPr>
      <w:r>
        <w:rPr>
          <w:rFonts w:ascii="Arial" w:cs="Arial" w:eastAsia="Arial" w:hAnsi="Arial"/>
          <w:sz w:val="16"/>
          <w:szCs w:val="16"/>
          <w:color w:val="auto"/>
        </w:rPr>
        <w:t>We depend on accurate and timely information and numerical data from key software applications to aid our day-to-day business, financial reporting and decision-making and, in many cases, proprietary and custom-designed software is necessary to operate our business. We are upgrading our disaster recovery procedures for our critical systems. However, any disruption caused by the failure of these systems, the underlying equipment, or communication networks could delay or otherwise adversely impact our day-to-day business and decision making, could make it impossible for us to operate critical equipment, and could have an adverse effect on our performance, if our disaster recovery plans do not mitigate the disruption. Disruptions could be caused by a variety of factors, such as catastrophic events or weather, power outages, or cyber-attacks on our systems by outside parties.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information security incident, including a cybersecurity breach, could have a negative impact to our business or reputation</w:t>
      </w:r>
    </w:p>
    <w:p>
      <w:pPr>
        <w:spacing w:after="0" w:line="209" w:lineRule="exact"/>
        <w:rPr>
          <w:sz w:val="20"/>
          <w:szCs w:val="20"/>
          <w:color w:val="auto"/>
        </w:rPr>
      </w:pPr>
    </w:p>
    <w:p>
      <w:pPr>
        <w:ind w:right="60" w:firstLine="413"/>
        <w:spacing w:after="0" w:line="289" w:lineRule="auto"/>
        <w:rPr>
          <w:sz w:val="20"/>
          <w:szCs w:val="20"/>
          <w:color w:val="auto"/>
        </w:rPr>
      </w:pPr>
      <w:r>
        <w:rPr>
          <w:rFonts w:ascii="Arial" w:cs="Arial" w:eastAsia="Arial" w:hAnsi="Arial"/>
          <w:sz w:val="15"/>
          <w:szCs w:val="15"/>
          <w:color w:val="auto"/>
        </w:rPr>
        <w:t>To meet business objectives, we rely on both internal information technology (IT) systems and networks, and those of third parties and their vendors, to process and store sensitive data, including confidential research, business plans, financial information, intellectual property, and personal data that may be subject to legal protection. The extensive information security and cybersecurity threats, which affect companies globally, pose a risk to the security and availability of these IT systems and networks, and the confidentiality, integrity, and availability of our sensitive data. We continually assess these threats and make investments to increase internal protection, detection, and response capabilities, as well as ensure our third party providers have required capabilities and controls, to address this risk. To date, we have not experienced any material impact to the business or operations resulting from information or cybersecurity attacks; however, because of the frequently changing attack techniques, along with the increased volume and sophistication of the attacks, there is the potential for us to be adversely impacted. This impact could result in reputational, competitive, operational or other business harm as well as financial costs and regulatory action.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difficulties fully implementing our enterprise resource planning systems.</w:t>
      </w:r>
    </w:p>
    <w:p>
      <w:pPr>
        <w:spacing w:after="0" w:line="209" w:lineRule="exact"/>
        <w:rPr>
          <w:sz w:val="20"/>
          <w:szCs w:val="20"/>
          <w:color w:val="auto"/>
        </w:rPr>
      </w:pPr>
    </w:p>
    <w:p>
      <w:pPr>
        <w:ind w:right="40" w:firstLine="413"/>
        <w:spacing w:after="0" w:line="253" w:lineRule="auto"/>
        <w:rPr>
          <w:sz w:val="20"/>
          <w:szCs w:val="20"/>
          <w:color w:val="auto"/>
        </w:rPr>
      </w:pPr>
      <w:r>
        <w:rPr>
          <w:rFonts w:ascii="Arial" w:cs="Arial" w:eastAsia="Arial" w:hAnsi="Arial"/>
          <w:sz w:val="17"/>
          <w:szCs w:val="17"/>
          <w:color w:val="auto"/>
        </w:rPr>
        <w:t>We have been engaged in a project to upgrade and harmonize our enterprise resource planning (ERP) systems. Our ERP systems are critical to our ability to accurately maintain books and records, record transactions, provide important information to our management and prepare our financial statements. The implementation of the new ERP systems has required, and will continue to require, the investment of significant financial and human resources. In addition, we may not be able to successfully complete the full implementation of the ERP systems without experiencing difficulties. Any disruptions, delays or deficiencies in the design and implementation of the new ERP systems could adversely affect our ability to process orders, ship products, provide services and customer support, send invoices and track payments, fulfill contractual obligations or otherwise operate our business.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additional restructuring costs or not realize the expected benefits of our initiatives to reduce operating expenses to date and in the future.</w:t>
      </w:r>
    </w:p>
    <w:p>
      <w:pPr>
        <w:spacing w:after="0" w:line="232" w:lineRule="exact"/>
        <w:rPr>
          <w:sz w:val="20"/>
          <w:szCs w:val="20"/>
          <w:color w:val="auto"/>
        </w:rPr>
      </w:pPr>
    </w:p>
    <w:p>
      <w:pPr>
        <w:ind w:firstLine="413"/>
        <w:spacing w:after="0" w:line="254" w:lineRule="auto"/>
        <w:rPr>
          <w:sz w:val="20"/>
          <w:szCs w:val="20"/>
          <w:color w:val="auto"/>
        </w:rPr>
      </w:pPr>
      <w:r>
        <w:rPr>
          <w:rFonts w:ascii="Arial" w:cs="Arial" w:eastAsia="Arial" w:hAnsi="Arial"/>
          <w:sz w:val="17"/>
          <w:szCs w:val="17"/>
          <w:color w:val="auto"/>
        </w:rPr>
        <w:t>We may not be able to implement all of the actions that we intend to take in the restructuring of our operations and we may not be able to fully realize the expected benefits from such realignment and restructuring plans or other similar restructurings in the future. In addition, we may incur additional restructuring costs in implementing such realignment and restructuring plans or other similar future plans in excess of our expectations. The implementation of our restructuring efforts, including the reduction of our workforce, may not improve our operational and cost structure or result in greater efficiency of our organization; and we may not be able to support sustainable revenue growth and profitability following such restructurings.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Attractive acquisition opportunities may not be available to us in the future.</w:t>
      </w:r>
    </w:p>
    <w:p>
      <w:pPr>
        <w:spacing w:after="0" w:line="209" w:lineRule="exact"/>
        <w:rPr>
          <w:sz w:val="20"/>
          <w:szCs w:val="20"/>
          <w:color w:val="auto"/>
        </w:rPr>
      </w:pPr>
    </w:p>
    <w:p>
      <w:pPr>
        <w:ind w:right="300" w:firstLine="413"/>
        <w:spacing w:after="0" w:line="277" w:lineRule="auto"/>
        <w:rPr>
          <w:sz w:val="20"/>
          <w:szCs w:val="20"/>
          <w:color w:val="auto"/>
        </w:rPr>
      </w:pPr>
      <w:r>
        <w:rPr>
          <w:rFonts w:ascii="Arial" w:cs="Arial" w:eastAsia="Arial" w:hAnsi="Arial"/>
          <w:sz w:val="16"/>
          <w:szCs w:val="16"/>
          <w:color w:val="auto"/>
        </w:rPr>
        <w:t>We will consider the acquisition of other businesses. However, we may not have the opportunity to make suitable acquisitions on favorable terms in the future, which could negatively impact the growth of our business. In order to pursue such opportunities, we may require significant additional financing, which may not be available to us on favorable terms, if at all. We expect that our competitors, many of which have significantly greater resources than we do, will compete with us to acquire businesses. This competition could increase prices for acquisitions that we would likely pursue.</w:t>
      </w:r>
    </w:p>
    <w:p>
      <w:pPr>
        <w:spacing w:after="0" w:line="16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b w:val="1"/>
          <w:bCs w:val="1"/>
          <w:i w:val="1"/>
          <w:iCs w:val="1"/>
          <w:color w:val="auto"/>
        </w:rPr>
        <w:t>We may be the subject of lawsuits from counterparties to acquisitions and divestitures, including an acquiring company or its stockholders, an acquired company’s previous stockholders, a divested company’s stockholders or our current stockholders.</w:t>
      </w:r>
    </w:p>
    <w:p>
      <w:pPr>
        <w:spacing w:after="0" w:line="166" w:lineRule="exact"/>
        <w:rPr>
          <w:sz w:val="20"/>
          <w:szCs w:val="20"/>
          <w:color w:val="auto"/>
        </w:rPr>
      </w:pPr>
    </w:p>
    <w:p>
      <w:pPr>
        <w:ind w:right="80" w:firstLine="413"/>
        <w:spacing w:after="0" w:line="254" w:lineRule="auto"/>
        <w:rPr>
          <w:sz w:val="20"/>
          <w:szCs w:val="20"/>
          <w:color w:val="auto"/>
        </w:rPr>
      </w:pPr>
      <w:r>
        <w:rPr>
          <w:rFonts w:ascii="Arial" w:cs="Arial" w:eastAsia="Arial" w:hAnsi="Arial"/>
          <w:sz w:val="17"/>
          <w:szCs w:val="17"/>
          <w:color w:val="auto"/>
        </w:rPr>
        <w:t>We may be the subject of lawsuits from either an acquiring company or its stockholders, an acquired company’s previous stockholders, a divested company’s stockholders or our current stockholders. Such lawsuits could result from the actions of the acquisition or divestiture target prior to the date of the acquisition or divestiture, from the acquisition or divestiture transaction itself or from actions after the acquisition or divestiture. Defending potential lawsuits could cost us significant expense and detract management’s attention from the operation of the business. Additionally, these lawsuits could result in the cancellation of or the inability to renew certain insurance coverage that would be necessary to protect our assets.</w:t>
      </w:r>
    </w:p>
    <w:p>
      <w:pPr>
        <w:spacing w:after="0" w:line="180" w:lineRule="exact"/>
        <w:rPr>
          <w:sz w:val="20"/>
          <w:szCs w:val="20"/>
          <w:color w:val="auto"/>
        </w:rPr>
      </w:pPr>
    </w:p>
    <w:p>
      <w:pPr>
        <w:ind w:right="460"/>
        <w:spacing w:after="0" w:line="271" w:lineRule="auto"/>
        <w:rPr>
          <w:sz w:val="20"/>
          <w:szCs w:val="20"/>
          <w:color w:val="auto"/>
        </w:rPr>
      </w:pPr>
      <w:r>
        <w:rPr>
          <w:rFonts w:ascii="Arial" w:cs="Arial" w:eastAsia="Arial" w:hAnsi="Arial"/>
          <w:sz w:val="17"/>
          <w:szCs w:val="17"/>
          <w:b w:val="1"/>
          <w:bCs w:val="1"/>
          <w:i w:val="1"/>
          <w:iCs w:val="1"/>
          <w:color w:val="auto"/>
        </w:rPr>
        <w:t>Failure to raise additional capital or generate the significant capital necessary to implement our acquisition strategy, expand our operations and invest in new products could reduce our ability to compete and result in less revenues.</w:t>
      </w:r>
    </w:p>
    <w:p>
      <w:pPr>
        <w:spacing w:after="0" w:line="166" w:lineRule="exact"/>
        <w:rPr>
          <w:sz w:val="20"/>
          <w:szCs w:val="20"/>
          <w:color w:val="auto"/>
        </w:rPr>
      </w:pPr>
    </w:p>
    <w:p>
      <w:pPr>
        <w:ind w:right="60" w:firstLine="413"/>
        <w:spacing w:after="0" w:line="289" w:lineRule="auto"/>
        <w:rPr>
          <w:sz w:val="20"/>
          <w:szCs w:val="20"/>
          <w:color w:val="auto"/>
        </w:rPr>
      </w:pPr>
      <w:r>
        <w:rPr>
          <w:rFonts w:ascii="Arial" w:cs="Arial" w:eastAsia="Arial" w:hAnsi="Arial"/>
          <w:sz w:val="15"/>
          <w:szCs w:val="15"/>
          <w:color w:val="auto"/>
        </w:rPr>
        <w:t>We anticipate that our financial resources, which include available cash, cash generated from operations, and debt and equity capacity, will be sufficient to finance operations and capital expenditures for at least the next twelve months. However, this expectation is premised on the current operating plan, which may change as a result of many factors, including market acceptance of new products and future opportunities with collaborators. Consequently, we may need additional funding sooner than anticipated. In addition, our Credit Agreement is not sufficient to fund our acquisition strategy. In such case, our inability to raise sufficient capital on favorable terms and in a timely manner (if at all) could seriously harm our business, product development, and acquisition efforts. In addition, our Credit Agreement contains limitations on our ability to incur additional indebtedness and requires lender approval for acquisitions funded with cash, promissory notes and/or other consideration in excess of $1.0 million and for acquisitions in excess of $0.5 million. If future financing is not available or is not available on acceptable terms, we may have to alter our operations or change our business strategy. We cannot assure you that the capital required to fund operations or our acquisition strategy will be available in the future.</w:t>
      </w:r>
    </w:p>
    <w:p>
      <w:pPr>
        <w:spacing w:after="0" w:line="16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If we raise additional funds through the sale of equity or convertible debt or equity-linked securities, existing percentages of ownership in our common stock will be reduced and these transactions may dilute the value of our outstanding common stock.</w:t>
      </w:r>
    </w:p>
    <w:p>
      <w:pPr>
        <w:spacing w:after="0" w:line="166" w:lineRule="exact"/>
        <w:rPr>
          <w:sz w:val="20"/>
          <w:szCs w:val="20"/>
          <w:color w:val="auto"/>
        </w:rPr>
      </w:pPr>
    </w:p>
    <w:p>
      <w:pPr>
        <w:ind w:right="180" w:firstLine="413"/>
        <w:spacing w:after="0" w:line="273" w:lineRule="auto"/>
        <w:rPr>
          <w:sz w:val="20"/>
          <w:szCs w:val="20"/>
          <w:color w:val="auto"/>
        </w:rPr>
      </w:pPr>
      <w:r>
        <w:rPr>
          <w:rFonts w:ascii="Arial" w:cs="Arial" w:eastAsia="Arial" w:hAnsi="Arial"/>
          <w:sz w:val="16"/>
          <w:szCs w:val="16"/>
          <w:color w:val="auto"/>
        </w:rPr>
        <w:t>We may raise additional funds through the sale of equity or convertible debt or equity-linked securities to repay our existing indebtedness, implement our acquisition strategy, expand our operations and/or invest in new products. If we so raise additional funds through such sales, existing percentages of ownership in our common stock will be reduced and these transactions may dilute the value of our outstanding common stock. We may issue securities that have rights, preferences and privileges senior to our common stock. If we raise additional funds through collaborations or licensing arrangements, we may relinquish rights to certain of our technologies or products, or grant licenses to third parties on terms that are unfavorable.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has fluctuated in the past and could experience substantial declines in the future.</w:t>
      </w:r>
    </w:p>
    <w:p>
      <w:pPr>
        <w:spacing w:after="0" w:line="209" w:lineRule="exact"/>
        <w:rPr>
          <w:sz w:val="20"/>
          <w:szCs w:val="20"/>
          <w:color w:val="auto"/>
        </w:rPr>
      </w:pPr>
    </w:p>
    <w:p>
      <w:pPr>
        <w:ind w:right="120" w:firstLine="413"/>
        <w:spacing w:after="0" w:line="271" w:lineRule="auto"/>
        <w:rPr>
          <w:sz w:val="20"/>
          <w:szCs w:val="20"/>
          <w:color w:val="auto"/>
        </w:rPr>
      </w:pPr>
      <w:r>
        <w:rPr>
          <w:rFonts w:ascii="Arial" w:cs="Arial" w:eastAsia="Arial" w:hAnsi="Arial"/>
          <w:sz w:val="17"/>
          <w:szCs w:val="17"/>
          <w:color w:val="auto"/>
        </w:rPr>
        <w:t>The market price of our common stock has experienced significant fluctuations and may become volatile and could decline in the future, perhaps substantially, in response to various factors including, but not limited to:</w:t>
      </w:r>
    </w:p>
    <w:p>
      <w:pPr>
        <w:spacing w:after="0" w:line="166" w:lineRule="exact"/>
        <w:rPr>
          <w:sz w:val="20"/>
          <w:szCs w:val="20"/>
          <w:color w:val="auto"/>
        </w:rPr>
      </w:pPr>
    </w:p>
    <w:p>
      <w:pPr>
        <w:ind w:left="600" w:hanging="295"/>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Significant sales of our common stock, whether by us or our shareholders;</w:t>
      </w:r>
    </w:p>
    <w:p>
      <w:pPr>
        <w:spacing w:after="0" w:line="209" w:lineRule="exact"/>
        <w:rPr>
          <w:rFonts w:ascii="Arial" w:cs="Arial" w:eastAsia="Arial" w:hAnsi="Arial"/>
          <w:sz w:val="17"/>
          <w:szCs w:val="17"/>
          <w:color w:val="auto"/>
        </w:rPr>
      </w:pPr>
    </w:p>
    <w:p>
      <w:pPr>
        <w:ind w:left="600" w:hanging="295"/>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volatility of the financial markets;</w:t>
      </w:r>
    </w:p>
    <w:p>
      <w:pPr>
        <w:spacing w:after="0" w:line="209" w:lineRule="exact"/>
        <w:rPr>
          <w:rFonts w:ascii="Arial" w:cs="Arial" w:eastAsia="Arial" w:hAnsi="Arial"/>
          <w:sz w:val="17"/>
          <w:szCs w:val="17"/>
          <w:color w:val="auto"/>
        </w:rPr>
      </w:pPr>
    </w:p>
    <w:p>
      <w:pPr>
        <w:ind w:left="600" w:hanging="295"/>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uncertainty regarding the prospects of the domestic and foreign economies;</w:t>
      </w:r>
    </w:p>
    <w:p>
      <w:pPr>
        <w:spacing w:after="0" w:line="209" w:lineRule="exact"/>
        <w:rPr>
          <w:rFonts w:ascii="Arial" w:cs="Arial" w:eastAsia="Arial" w:hAnsi="Arial"/>
          <w:sz w:val="17"/>
          <w:szCs w:val="17"/>
          <w:color w:val="auto"/>
        </w:rPr>
      </w:pPr>
    </w:p>
    <w:p>
      <w:pPr>
        <w:ind w:left="600" w:hanging="295"/>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technological innovations by competitors or in competing technologies;</w:t>
      </w:r>
    </w:p>
    <w:p>
      <w:pPr>
        <w:spacing w:after="0" w:line="209" w:lineRule="exact"/>
        <w:rPr>
          <w:rFonts w:ascii="Arial" w:cs="Arial" w:eastAsia="Arial" w:hAnsi="Arial"/>
          <w:sz w:val="17"/>
          <w:szCs w:val="17"/>
          <w:color w:val="auto"/>
        </w:rPr>
      </w:pPr>
    </w:p>
    <w:p>
      <w:pPr>
        <w:ind w:left="600" w:hanging="295"/>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revenues and operating results fluctuating or failing to meet the expectations of management, securities analysts, or investors in any quarter;</w:t>
      </w:r>
    </w:p>
    <w:p>
      <w:pPr>
        <w:spacing w:after="0" w:line="209" w:lineRule="exact"/>
        <w:rPr>
          <w:rFonts w:ascii="Arial" w:cs="Arial" w:eastAsia="Arial" w:hAnsi="Arial"/>
          <w:sz w:val="17"/>
          <w:szCs w:val="17"/>
          <w:color w:val="auto"/>
        </w:rPr>
      </w:pPr>
    </w:p>
    <w:p>
      <w:pPr>
        <w:ind w:left="600" w:right="500" w:hanging="295"/>
        <w:spacing w:after="0" w:line="271"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comments of securities analysts and mistakes by or misinterpretation of comments from analysts, downward revisions in securities analysts’ estimates or management guidance;</w:t>
      </w:r>
    </w:p>
    <w:p>
      <w:pPr>
        <w:spacing w:after="0" w:line="165" w:lineRule="exact"/>
        <w:rPr>
          <w:rFonts w:ascii="Arial" w:cs="Arial" w:eastAsia="Arial" w:hAnsi="Arial"/>
          <w:sz w:val="17"/>
          <w:szCs w:val="17"/>
          <w:color w:val="auto"/>
        </w:rPr>
      </w:pPr>
    </w:p>
    <w:p>
      <w:pPr>
        <w:ind w:left="600" w:hanging="295"/>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investment banks and securities analysts becoming subject to lawsuits that may adversely affect the perception of the market;</w:t>
      </w:r>
    </w:p>
    <w:p>
      <w:pPr>
        <w:spacing w:after="0" w:line="209" w:lineRule="exact"/>
        <w:rPr>
          <w:rFonts w:ascii="Arial" w:cs="Arial" w:eastAsia="Arial" w:hAnsi="Arial"/>
          <w:sz w:val="17"/>
          <w:szCs w:val="17"/>
          <w:color w:val="auto"/>
        </w:rPr>
      </w:pPr>
    </w:p>
    <w:p>
      <w:pPr>
        <w:ind w:left="600" w:hanging="295"/>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conditions or trends in the biotechnology and pharmaceutical industries;</w:t>
      </w:r>
    </w:p>
    <w:p>
      <w:pPr>
        <w:spacing w:after="0" w:line="209" w:lineRule="exact"/>
        <w:rPr>
          <w:rFonts w:ascii="Arial" w:cs="Arial" w:eastAsia="Arial" w:hAnsi="Arial"/>
          <w:sz w:val="17"/>
          <w:szCs w:val="17"/>
          <w:color w:val="auto"/>
        </w:rPr>
      </w:pPr>
    </w:p>
    <w:p>
      <w:pPr>
        <w:ind w:left="600" w:hanging="295"/>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announcements of significant acquisitions or financings or strategic partnerships;</w:t>
      </w:r>
    </w:p>
    <w:p>
      <w:pPr>
        <w:spacing w:after="0" w:line="209" w:lineRule="exact"/>
        <w:rPr>
          <w:rFonts w:ascii="Arial" w:cs="Arial" w:eastAsia="Arial" w:hAnsi="Arial"/>
          <w:sz w:val="17"/>
          <w:szCs w:val="17"/>
          <w:color w:val="auto"/>
        </w:rPr>
      </w:pPr>
    </w:p>
    <w:p>
      <w:pPr>
        <w:ind w:left="600" w:hanging="295"/>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to realize the anticipated benefits of the DSI acquisition;</w:t>
      </w:r>
    </w:p>
    <w:p>
      <w:pPr>
        <w:spacing w:after="0" w:line="209" w:lineRule="exact"/>
        <w:rPr>
          <w:rFonts w:ascii="Arial" w:cs="Arial" w:eastAsia="Arial" w:hAnsi="Arial"/>
          <w:sz w:val="17"/>
          <w:szCs w:val="17"/>
          <w:color w:val="auto"/>
        </w:rPr>
      </w:pPr>
    </w:p>
    <w:p>
      <w:pPr>
        <w:ind w:left="600" w:hanging="295"/>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non-compliance with the internal control standards pursuant to the Sarbanes-Oxley Act of 2002; and</w:t>
      </w:r>
    </w:p>
    <w:p>
      <w:pPr>
        <w:spacing w:after="0" w:line="209" w:lineRule="exact"/>
        <w:rPr>
          <w:rFonts w:ascii="Arial" w:cs="Arial" w:eastAsia="Arial" w:hAnsi="Arial"/>
          <w:sz w:val="17"/>
          <w:szCs w:val="17"/>
          <w:color w:val="auto"/>
        </w:rPr>
      </w:pPr>
    </w:p>
    <w:p>
      <w:pPr>
        <w:ind w:left="600" w:hanging="295"/>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decrease in the demand for our common stock.</w:t>
      </w:r>
    </w:p>
    <w:p>
      <w:pPr>
        <w:spacing w:after="0" w:line="209" w:lineRule="exact"/>
        <w:rPr>
          <w:sz w:val="20"/>
          <w:szCs w:val="20"/>
          <w:color w:val="auto"/>
        </w:rPr>
      </w:pPr>
    </w:p>
    <w:p>
      <w:pPr>
        <w:ind w:right="280" w:firstLine="413"/>
        <w:spacing w:after="0" w:line="253" w:lineRule="auto"/>
        <w:rPr>
          <w:sz w:val="20"/>
          <w:szCs w:val="20"/>
          <w:color w:val="auto"/>
        </w:rPr>
      </w:pPr>
      <w:r>
        <w:rPr>
          <w:rFonts w:ascii="Arial" w:cs="Arial" w:eastAsia="Arial" w:hAnsi="Arial"/>
          <w:sz w:val="17"/>
          <w:szCs w:val="17"/>
          <w:color w:val="auto"/>
        </w:rPr>
        <w:t>In addition, public stock markets have experienced extreme price and trading volatility. The stock market and the NASDAQ Global Market in general, and the biotechnology industry and small cap markets in particular, have experienced significant price and volume fluctuations that at times may have been unrelated or disproportionate to the operating performance of those companies. These broad market and industry factors may further harm the market price of our common stock, regardless of our operating performance. In the past, securities class action litigation has often been instituted following periods of volatility in the market price of a company’s securities. A securities class action suit against us could result in substantial costs, potential liabilities and the diversion of management’s attention and resources.</w:t>
      </w:r>
    </w:p>
    <w:p>
      <w:pPr>
        <w:spacing w:after="0" w:line="181" w:lineRule="exact"/>
        <w:rPr>
          <w:sz w:val="20"/>
          <w:szCs w:val="20"/>
          <w:color w:val="auto"/>
        </w:rPr>
      </w:pPr>
    </w:p>
    <w:p>
      <w:pPr>
        <w:ind w:right="300"/>
        <w:spacing w:after="0" w:line="303" w:lineRule="auto"/>
        <w:rPr>
          <w:sz w:val="20"/>
          <w:szCs w:val="20"/>
          <w:color w:val="auto"/>
        </w:rPr>
      </w:pPr>
      <w:r>
        <w:rPr>
          <w:rFonts w:ascii="Arial" w:cs="Arial" w:eastAsia="Arial" w:hAnsi="Arial"/>
          <w:sz w:val="16"/>
          <w:szCs w:val="16"/>
          <w:b w:val="1"/>
          <w:bCs w:val="1"/>
          <w:i w:val="1"/>
          <w:iCs w:val="1"/>
          <w:color w:val="auto"/>
        </w:rPr>
        <w:t>As a result of our spin-off of Harvard Apparatus Regenerative Technology, Inc., now known as Biostage, together with certain related transactions, third parties may seek to hold us responsible for Biostage’s liabilities, including liabilities that Biostage has assumed from us.</w:t>
      </w:r>
    </w:p>
    <w:p>
      <w:pPr>
        <w:spacing w:after="0" w:line="143" w:lineRule="exact"/>
        <w:rPr>
          <w:sz w:val="20"/>
          <w:szCs w:val="20"/>
          <w:color w:val="auto"/>
        </w:rPr>
      </w:pPr>
    </w:p>
    <w:p>
      <w:pPr>
        <w:ind w:firstLine="413"/>
        <w:spacing w:after="0" w:line="286" w:lineRule="auto"/>
        <w:rPr>
          <w:sz w:val="20"/>
          <w:szCs w:val="20"/>
          <w:color w:val="auto"/>
        </w:rPr>
      </w:pPr>
      <w:r>
        <w:rPr>
          <w:rFonts w:ascii="Arial" w:cs="Arial" w:eastAsia="Arial" w:hAnsi="Arial"/>
          <w:sz w:val="15"/>
          <w:szCs w:val="15"/>
          <w:color w:val="auto"/>
        </w:rPr>
        <w:t>Third parties may seek to hold us responsible for Biostage’s liabilities, including any of the liabilities that Biostage agreed to retain or assume in connection with the separation of the Biostage business from our businesses, and related spin-off distribution. On April 14, 2017, anticipated representatives for the estate of an individual plaintiff filed a wrongful death complaint with the Suffolk Superior Court, in the County of Suffolk, Massachusetts, against us and other defendants, including Biostage, as well as another third party. The complaint seeks payment for an unspecified amount of damages and alleges that the plaintiff sustained terminal injuries allegedly caused by products, including synthetic trachea scaffolds and bioreactors, provided by certain of the named defendants and utilized in connection with surgeries performed by third parties in 2012 and 2013. The litigation is at an early stage and we continue to vigorously defend this case through our liability insurance carrier from whom we have requested defense and indemnification of any losses incurred in connection with this lawsuit. Any such product liability insurance coverage may not be sufficient to satisfy all liabilities resulting from this claim. If claims against us substantially exceed our coverage, then our business could be adversely impacted. While we believe that such claim is without merit, we are unable to predict the ultimate outcome of such litigation. Pursuant to our agreements with Biostage, Biostage has agreed to indemnify us for claims and losses relating to certain liabilities that it has assumed from us, including liabilities in connection with the sale of Biostage’s products, intellectually property infringement and other liabilities related to the operation of Biostage’s business. However, if those liabilities are significant and we are ultimately held liable for them, we cannot assure you that Biostage will have the ability to satisfy its obligations to us, in particular due to Biostage having limited revenues, products in early stage development and a need for additional funds in the future. If Biostage is unable to satisfy its obligations under its indemnity to us, we may have to satisfy these obligations, which could have an adverse impact on our financial condition, results of operations or cash flows.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goodwill or intangible assets become impaired, we may be required to record a significant charge to earnings.</w:t>
      </w:r>
    </w:p>
    <w:p>
      <w:pPr>
        <w:spacing w:after="0" w:line="209" w:lineRule="exact"/>
        <w:rPr>
          <w:sz w:val="20"/>
          <w:szCs w:val="20"/>
          <w:color w:val="auto"/>
        </w:rPr>
      </w:pPr>
    </w:p>
    <w:p>
      <w:pPr>
        <w:ind w:right="40" w:firstLine="413"/>
        <w:spacing w:after="0" w:line="296" w:lineRule="auto"/>
        <w:rPr>
          <w:sz w:val="20"/>
          <w:szCs w:val="20"/>
          <w:color w:val="auto"/>
        </w:rPr>
      </w:pPr>
      <w:r>
        <w:rPr>
          <w:rFonts w:ascii="Arial" w:cs="Arial" w:eastAsia="Arial" w:hAnsi="Arial"/>
          <w:sz w:val="15"/>
          <w:szCs w:val="15"/>
          <w:color w:val="auto"/>
        </w:rPr>
        <w:t>Under accounting principles generally accepted in the United States, we review our goodwill and intangible assets for impairment when events or changes in circumstances indicate the carrying value may not be recoverable. Goodwill is also required to be tested for impairment at least annually. Factors that may be considered a change in circumstances indicating that the carrying value of our goodwill or other intangible assets may not be recoverable include a decline in our stock price and market capitalization, future cash flows, and slower growth rates in our industry. We may be required to record a significant charge to earnings in our financial statements during the period in which any impairment of our goodwill or other intangible assets is determined, which could adversely impact our results of operations.</w:t>
      </w:r>
    </w:p>
    <w:p>
      <w:pPr>
        <w:sectPr>
          <w:pgSz w:w="11900" w:h="16838" w:orient="portrait"/>
          <w:cols w:equalWidth="0" w:num="1">
            <w:col w:w="11420"/>
          </w:cols>
          <w:pgMar w:left="240" w:top="228"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725551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type w:val="continuous"/>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goodwill, other intangible assets and long-lived assets may have an adverse effect on us.</w:t>
      </w:r>
    </w:p>
    <w:p>
      <w:pPr>
        <w:spacing w:after="0" w:line="209" w:lineRule="exact"/>
        <w:rPr>
          <w:sz w:val="20"/>
          <w:szCs w:val="20"/>
          <w:color w:val="auto"/>
        </w:rPr>
      </w:pPr>
    </w:p>
    <w:p>
      <w:pPr>
        <w:ind w:right="140" w:firstLine="413"/>
        <w:spacing w:after="0" w:line="251" w:lineRule="auto"/>
        <w:rPr>
          <w:sz w:val="20"/>
          <w:szCs w:val="20"/>
          <w:color w:val="auto"/>
        </w:rPr>
      </w:pPr>
      <w:r>
        <w:rPr>
          <w:rFonts w:ascii="Arial" w:cs="Arial" w:eastAsia="Arial" w:hAnsi="Arial"/>
          <w:sz w:val="17"/>
          <w:szCs w:val="17"/>
          <w:color w:val="auto"/>
        </w:rPr>
        <w:t>We assess the recoverability of identifiable intangibles with finite lives and other long-lived assets, such as property, plant and equipment, for impairment whenever events or changes in circumstances indicate that the carrying value may not be recoverable in accordance with the provisions of Financial Accounting Standards Board (FASB) Accounting Standards Codification (ASC) 360, “Property, Plant and Equipment”. In accordance with FASB ASC 350, “Intangibles-Goodwill and Other”, goodwill and intangible assets with indefinite lives from acquisitions are evaluated annually, or more frequently, if events or circumstances indicate there may be an impairment, to determine whether any portion of the remaining balance of goodwill and indefinite lived intangibles may not be recoverable. If it is determined in the future that a portion of our goodwill and other intangible assets is impaired, we will be required to write off that portion of the asset according to the methods defined by FASB ASC 360 and FASB ASC 350, which could have an adverse effect on net income for the period in which the write-off occurs. At December 31, 2017, we had goodwill and intangible assets of $57.2 million, or 52%, of our total assets and we concluded that none of our goodwill or other intangible assets was impaired.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accounting estimates are not correct, our financial results could be adversely affected.</w:t>
      </w:r>
    </w:p>
    <w:p>
      <w:pPr>
        <w:spacing w:after="0" w:line="209" w:lineRule="exact"/>
        <w:rPr>
          <w:sz w:val="20"/>
          <w:szCs w:val="20"/>
          <w:color w:val="auto"/>
        </w:rPr>
      </w:pPr>
    </w:p>
    <w:p>
      <w:pPr>
        <w:ind w:right="320" w:firstLine="413"/>
        <w:spacing w:after="0" w:line="283" w:lineRule="auto"/>
        <w:rPr>
          <w:sz w:val="20"/>
          <w:szCs w:val="20"/>
          <w:color w:val="auto"/>
        </w:rPr>
      </w:pPr>
      <w:r>
        <w:rPr>
          <w:rFonts w:ascii="Arial" w:cs="Arial" w:eastAsia="Arial" w:hAnsi="Arial"/>
          <w:sz w:val="16"/>
          <w:szCs w:val="16"/>
          <w:color w:val="auto"/>
        </w:rPr>
        <w:t>Management judgment and estimates are required in the application of our Critical Accounting Policies. We discuss these estimates in the subsection entitled critical accounting policies beginning on page 34 in Item 7, Management’s Discussion and Analysis of Financial Condition and Results of Operations in this Annual Report. If our estimates are incorrect, our future financial operating results and financial condition could be adversely affected.</w:t>
      </w:r>
    </w:p>
    <w:p>
      <w:pPr>
        <w:spacing w:after="0" w:line="15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auto"/>
        </w:rPr>
        <w:t>If we fail to retain key personnel and hire, train and retain qualified employees, we may not be able to compete effectively, which could result in reduced revenue or increased costs.</w:t>
      </w:r>
    </w:p>
    <w:p>
      <w:pPr>
        <w:spacing w:after="0" w:line="166" w:lineRule="exact"/>
        <w:rPr>
          <w:sz w:val="20"/>
          <w:szCs w:val="20"/>
          <w:color w:val="auto"/>
        </w:rPr>
      </w:pPr>
    </w:p>
    <w:p>
      <w:pPr>
        <w:ind w:firstLine="413"/>
        <w:spacing w:after="0" w:line="268" w:lineRule="auto"/>
        <w:rPr>
          <w:sz w:val="20"/>
          <w:szCs w:val="20"/>
          <w:color w:val="auto"/>
        </w:rPr>
      </w:pPr>
      <w:r>
        <w:rPr>
          <w:rFonts w:ascii="Arial" w:cs="Arial" w:eastAsia="Arial" w:hAnsi="Arial"/>
          <w:sz w:val="16"/>
          <w:szCs w:val="16"/>
          <w:color w:val="auto"/>
        </w:rPr>
        <w:t>Our success is highly dependent on the continued services of key management, technical and scientific personnel. Our management and other employees may voluntarily terminate their employment at any time upon short notice. The loss of the services of any member of the senior management team, including the Chief Executive Officer, Jeffrey A. Duchemin; the Chief Financial Officer, Robert E. Gagnon; the Vice President, Commercial Operations, Yong Sun; or any of the managerial, technical or scientific staff may significantly delay or prevent the achievement of product development, our growth strategies and other business objectives. Our future success will also depend on our ability to identify, recruit and retain additional qualified scientific, technical and managerial personnel. We operate in several geographic locations where labor markets are particularly competitive, including the Boston, Massachusetts metropolitan area, England, and Germany where demand for personnel with these skills is extremely high and is likely to remain high. As a result, competition for qualified personnel is intense, particularly in the areas of general management, finance, information technology, engineering and science, and the process of hiring suitably qualified personnel is often lengthy and expensive, and may become more expensive in the future. If we are unable to hire and retain a sufficient number of qualified employees, our ability to conduct and expand our business could be seriously reduced.</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effectively protect our intellectual property, third parties may use our technology, which would impair our ability to compete in our markets.</w:t>
      </w:r>
    </w:p>
    <w:p>
      <w:pPr>
        <w:spacing w:after="0" w:line="232" w:lineRule="exact"/>
        <w:rPr>
          <w:sz w:val="20"/>
          <w:szCs w:val="20"/>
          <w:color w:val="auto"/>
        </w:rPr>
      </w:pPr>
    </w:p>
    <w:p>
      <w:pPr>
        <w:ind w:firstLine="413"/>
        <w:spacing w:after="0" w:line="269" w:lineRule="auto"/>
        <w:rPr>
          <w:sz w:val="20"/>
          <w:szCs w:val="20"/>
          <w:color w:val="auto"/>
        </w:rPr>
      </w:pPr>
      <w:r>
        <w:rPr>
          <w:rFonts w:ascii="Arial" w:cs="Arial" w:eastAsia="Arial" w:hAnsi="Arial"/>
          <w:sz w:val="16"/>
          <w:szCs w:val="16"/>
          <w:color w:val="auto"/>
        </w:rPr>
        <w:t>Our continued success will depend in significant part on our ability to obtain and maintain meaningful patent protection for certain of our products throughout the world. Patent law relating to the scope of claims in the technology fields in which we operate is still evolving. The degree of future protection for our proprietary rights is uncertain. We also own numerous United States registered trademarks and trade names and have applications for the registration of trademarks and trade names pending. We rely on patents to protect a significant part of our intellectual property and to enhance our competitive position. However, our presently pending or future patent applications may not be accepted and patents might not be issued, and any patent previously issued to us may be challenged, invalidated, held unenforceable or circumvented. Furthermore, the claims in patents which have been issued or which may be issued to us in the future may not be sufficiently broad to prevent third parties from producing competing products similar to our products. In addition, the laws of various foreign countries in which we compete may not protect our intellectual property to the same extent, as do the laws of the United States. If we fail to obtain adequate patent protection for our proprietary technology, our ability to be commercially competitive could be materially impaired.</w:t>
      </w:r>
    </w:p>
    <w:p>
      <w:pPr>
        <w:spacing w:after="0" w:line="169" w:lineRule="exact"/>
        <w:rPr>
          <w:sz w:val="20"/>
          <w:szCs w:val="20"/>
          <w:color w:val="auto"/>
        </w:rPr>
      </w:pPr>
    </w:p>
    <w:p>
      <w:pPr>
        <w:ind w:firstLine="413"/>
        <w:spacing w:after="0" w:line="252" w:lineRule="auto"/>
        <w:rPr>
          <w:sz w:val="20"/>
          <w:szCs w:val="20"/>
          <w:color w:val="auto"/>
        </w:rPr>
      </w:pPr>
      <w:r>
        <w:rPr>
          <w:rFonts w:ascii="Arial" w:cs="Arial" w:eastAsia="Arial" w:hAnsi="Arial"/>
          <w:sz w:val="17"/>
          <w:szCs w:val="17"/>
          <w:color w:val="auto"/>
        </w:rPr>
        <w:t>In addition to patent protection, we also rely on protection of trade secrets, know-how and confidential and proprietary information. To maintain the confidentiality of trade-secrets and proprietary information, we generally seek to enter into confidentiality agreements with our employees, consultants and strategic partners upon the commencement of a relationship. However, we may not be able to obtain these agreements in all circumstances in part due to local regulations. In the event of unauthorized use or disclosure of this information, these agreements, even if obtained, may not provide meaningful protection for our trade-secrets or other confidential information. In addition, adequate remedies may not exist in the event of unauthorized use or disclosure of this information. The loss or exposure of our trade secrets and other proprietary information would impair our competitive advantages and could have an adverse effect on our operating results, financial condition and future growth prospects.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manufacture, sale and use of products and services may expose us to product liability claims for which we could have substantial liability.</w:t>
      </w:r>
    </w:p>
    <w:p>
      <w:pPr>
        <w:spacing w:after="0" w:line="221" w:lineRule="exact"/>
        <w:rPr>
          <w:sz w:val="20"/>
          <w:szCs w:val="20"/>
          <w:color w:val="auto"/>
        </w:rPr>
      </w:pPr>
    </w:p>
    <w:p>
      <w:pPr>
        <w:ind w:firstLine="413"/>
        <w:spacing w:after="0" w:line="254" w:lineRule="auto"/>
        <w:rPr>
          <w:sz w:val="20"/>
          <w:szCs w:val="20"/>
          <w:color w:val="auto"/>
        </w:rPr>
      </w:pPr>
      <w:r>
        <w:rPr>
          <w:rFonts w:ascii="Arial" w:cs="Arial" w:eastAsia="Arial" w:hAnsi="Arial"/>
          <w:sz w:val="17"/>
          <w:szCs w:val="17"/>
          <w:color w:val="auto"/>
        </w:rPr>
        <w:t>We face an inherent business risk of exposure to product liability claims if our products, services or product candidates, including without limitation, any of our life science research tools are alleged or found to have caused injury, damage or loss. We may in the future be unable to obtain insurance with adequate levels of coverage for potential liability on acceptable terms or claims of this nature may be excluded from coverage under the terms of any insurance policy that we can obtain. If we are unable to obtain such insurance or the amounts of any claims successfully brought against us substantially exceed our coverage, then our business could be adversely impacted.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involved in lawsuits to protect or enforce our patents that would be expensive and time-consuming.</w:t>
      </w:r>
    </w:p>
    <w:p>
      <w:pPr>
        <w:spacing w:after="0" w:line="209" w:lineRule="exact"/>
        <w:rPr>
          <w:sz w:val="20"/>
          <w:szCs w:val="20"/>
          <w:color w:val="auto"/>
        </w:rPr>
      </w:pPr>
    </w:p>
    <w:p>
      <w:pPr>
        <w:ind w:right="20" w:firstLine="413"/>
        <w:spacing w:after="0" w:line="270" w:lineRule="auto"/>
        <w:rPr>
          <w:sz w:val="20"/>
          <w:szCs w:val="20"/>
          <w:color w:val="auto"/>
        </w:rPr>
      </w:pPr>
      <w:r>
        <w:rPr>
          <w:rFonts w:ascii="Arial" w:cs="Arial" w:eastAsia="Arial" w:hAnsi="Arial"/>
          <w:sz w:val="16"/>
          <w:szCs w:val="16"/>
          <w:color w:val="auto"/>
        </w:rPr>
        <w:t>In order to protect or enforce our patent rights, we may initiate patent litigation against third parties. We may also become subject to interference proceedings conducted in the patent and trademark offices of various countries to determine the priority of inventions. Several of our products are based on patents that are closely surrounded by patents held by competitors or potential competitors. As a result, we believe there is a greater likelihood of a patent dispute than would be expected if our patents were not closely surrounded by other patents. The defense and prosecution, if necessary, of intellectual property suits, interference proceedings and related legal and administrative proceedings would be costly and divert our technical and management personnel from their normal responsibilities. We may not prevail in any of these suits should they occur. An adverse determination of any litigation or defense proceedings could put our patents at risk of being invalidated or interpreted narrowly and could put our patent applications at risk of being rejected and no patents being issued.</w:t>
      </w:r>
    </w:p>
    <w:p>
      <w:pPr>
        <w:spacing w:after="0" w:line="171" w:lineRule="exact"/>
        <w:rPr>
          <w:sz w:val="20"/>
          <w:szCs w:val="20"/>
          <w:color w:val="auto"/>
        </w:rPr>
      </w:pPr>
    </w:p>
    <w:p>
      <w:pPr>
        <w:ind w:right="260" w:firstLine="413"/>
        <w:spacing w:after="0" w:line="256"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For example, during the course of this kind of litigation, there could be public announcements of the results of hearings, motions or other interim proceedings or developments in the litigation. Securities analysts or investors may perceive these announcements to be negative, which could cause the market price of our stock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will depend partly on our ability to operate without infringing on or misappropriating the intellectual property rights of others.</w:t>
      </w:r>
    </w:p>
    <w:p>
      <w:pPr>
        <w:spacing w:after="0" w:line="209" w:lineRule="exact"/>
        <w:rPr>
          <w:sz w:val="20"/>
          <w:szCs w:val="20"/>
          <w:color w:val="auto"/>
        </w:rPr>
      </w:pPr>
    </w:p>
    <w:p>
      <w:pPr>
        <w:ind w:right="20" w:firstLine="413"/>
        <w:spacing w:after="0" w:line="254" w:lineRule="auto"/>
        <w:rPr>
          <w:sz w:val="20"/>
          <w:szCs w:val="20"/>
          <w:color w:val="auto"/>
        </w:rPr>
      </w:pPr>
      <w:r>
        <w:rPr>
          <w:rFonts w:ascii="Arial" w:cs="Arial" w:eastAsia="Arial" w:hAnsi="Arial"/>
          <w:sz w:val="17"/>
          <w:szCs w:val="17"/>
          <w:color w:val="auto"/>
        </w:rPr>
        <w:t>We may be sued for infringing on the intellectual property rights of others, including the patent rights, trademarks and trade names of third parties. Intellectual property litigation is costly and the outcome is uncertain. If we do not prevail in any intellectual property litigation, in addition to any damages we might have to pay, we could be required to stop the infringing activity, or obtain a license to or design around the intellectual property in question. If we are unable to obtain a required license on acceptable terms, or are unable to design around any third party patent, we may be unable to sell some of our products and services, which could result in reduced revenue.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Rising commodity and precious metals costs could adversely impact our profitability.</w:t>
      </w:r>
    </w:p>
    <w:p>
      <w:pPr>
        <w:spacing w:after="0" w:line="209" w:lineRule="exact"/>
        <w:rPr>
          <w:sz w:val="20"/>
          <w:szCs w:val="20"/>
          <w:color w:val="auto"/>
        </w:rPr>
      </w:pPr>
    </w:p>
    <w:p>
      <w:pPr>
        <w:ind w:right="100" w:firstLine="413"/>
        <w:spacing w:after="0" w:line="260" w:lineRule="auto"/>
        <w:rPr>
          <w:sz w:val="20"/>
          <w:szCs w:val="20"/>
          <w:color w:val="auto"/>
        </w:rPr>
      </w:pPr>
      <w:r>
        <w:rPr>
          <w:rFonts w:ascii="Arial" w:cs="Arial" w:eastAsia="Arial" w:hAnsi="Arial"/>
          <w:sz w:val="17"/>
          <w:szCs w:val="17"/>
          <w:color w:val="auto"/>
        </w:rPr>
        <w:t>Raw material commodities such as resins, and precious metal commodities such as platinum are subject to wide price variations. Increases in the costs of these commodities and the costs of energy, transportation and other necessary services may adversely affect our profit margins if we are unable to pass along any higher costs in the form of price increases or otherwise achieve cost efficiencies such as in manufacturing and distribution.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related to conflict minerals may force us to incur additional expenses and otherwise adversely impact our business.</w:t>
      </w:r>
    </w:p>
    <w:p>
      <w:pPr>
        <w:spacing w:after="0" w:line="209" w:lineRule="exact"/>
        <w:rPr>
          <w:sz w:val="20"/>
          <w:szCs w:val="20"/>
          <w:color w:val="auto"/>
        </w:rPr>
      </w:pPr>
    </w:p>
    <w:p>
      <w:pPr>
        <w:ind w:firstLine="456"/>
        <w:spacing w:after="0" w:line="288" w:lineRule="auto"/>
        <w:rPr>
          <w:sz w:val="20"/>
          <w:szCs w:val="20"/>
          <w:color w:val="auto"/>
        </w:rPr>
      </w:pPr>
      <w:r>
        <w:rPr>
          <w:rFonts w:ascii="Arial" w:cs="Arial" w:eastAsia="Arial" w:hAnsi="Arial"/>
          <w:sz w:val="15"/>
          <w:szCs w:val="15"/>
          <w:color w:val="auto"/>
        </w:rPr>
        <w:t>The SEC has promulgated final rules mandated by the Dodd-Frank Act regarding disclosure of the use of tin, tantalum, tungsten and gold, known as conflict minerals, in products manufactured by public companies. These new rules require ongoing due diligence to determine whether such minerals originated from the Democratic Republic of Congo (the DRC) or an adjoining country and whether such minerals helped finance the armed conflict in the DRC. Reporting obligations for the rule began on May 31, 2014 and are required annually thereafter. There will be costs associated with complying with these disclosure requirements, including costs to determine the origin of conflict minerals in our products. The implementation of these rules and their effect on customer, supplier and/or consumer behavior could adversely affect the sourcing, supply and pricing of materials used in our products. As a result, we may also incur costs with respect to potential changes to products, processes or sources of supply. We may face disqualification as a supplier for customers and reputational challenges if the due diligence procedures we implement do not enable us to verify the origins for all conflict minerals used in our products, including that such minerals did not originate from any of the covered conflict countries. Accordingly, the implementation of these rules could have an adverse effect on our business, results of operations and/or financial condition.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of Delaware law, of our charter and bylaws may make a takeover more difficult, which could cause our stock price to decline.</w:t>
      </w:r>
    </w:p>
    <w:p>
      <w:pPr>
        <w:spacing w:after="0" w:line="209" w:lineRule="exact"/>
        <w:rPr>
          <w:sz w:val="20"/>
          <w:szCs w:val="20"/>
          <w:color w:val="auto"/>
        </w:rPr>
      </w:pPr>
    </w:p>
    <w:p>
      <w:pPr>
        <w:ind w:right="20" w:firstLine="413"/>
        <w:spacing w:after="0" w:line="296" w:lineRule="auto"/>
        <w:rPr>
          <w:sz w:val="20"/>
          <w:szCs w:val="20"/>
          <w:color w:val="auto"/>
        </w:rPr>
      </w:pPr>
      <w:r>
        <w:rPr>
          <w:rFonts w:ascii="Arial" w:cs="Arial" w:eastAsia="Arial" w:hAnsi="Arial"/>
          <w:sz w:val="15"/>
          <w:szCs w:val="15"/>
          <w:color w:val="auto"/>
        </w:rPr>
        <w:t>Provisions in our certificate of incorporation and bylaws and in the Delaware corporate law may make it difficult and expensive for a third party to pursue a tender offer, change in control or takeover attempt, which is opposed by management and the board of directors. Public stockholders who might desire to participate in such a transaction may not have an opportunity to do so. We have a staggered board of directors that makes it difficult for stockholders to change the composition of the board of directors in any one year. These anti-takeover provisions could substantially impede the ability of public stockholders to change our management and board of directors. Such provisions may also limit the price that investors might be willing to pay for shares of our common stock in the future.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common stock may not be sustained.</w:t>
      </w:r>
    </w:p>
    <w:p>
      <w:pPr>
        <w:spacing w:after="0" w:line="209" w:lineRule="exact"/>
        <w:rPr>
          <w:sz w:val="20"/>
          <w:szCs w:val="20"/>
          <w:color w:val="auto"/>
        </w:rPr>
      </w:pPr>
    </w:p>
    <w:p>
      <w:pPr>
        <w:ind w:right="80" w:firstLine="413"/>
        <w:spacing w:after="0" w:line="271" w:lineRule="auto"/>
        <w:rPr>
          <w:sz w:val="20"/>
          <w:szCs w:val="20"/>
          <w:color w:val="auto"/>
        </w:rPr>
      </w:pPr>
      <w:r>
        <w:rPr>
          <w:rFonts w:ascii="Arial" w:cs="Arial" w:eastAsia="Arial" w:hAnsi="Arial"/>
          <w:sz w:val="17"/>
          <w:szCs w:val="17"/>
          <w:color w:val="auto"/>
        </w:rPr>
        <w:t>Although our common stock is quoted on the NASDAQ Global Market, an active trading market for the shares may not be sustained. This could negatively affect the price for our common stock, including investors’ ability to buy or sell our common stock and the listing thereof.</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Your percentage ownership will be diluted in the future because of equity award issuances.</w:t>
      </w:r>
    </w:p>
    <w:p>
      <w:pPr>
        <w:spacing w:after="0" w:line="209" w:lineRule="exact"/>
        <w:rPr>
          <w:sz w:val="20"/>
          <w:szCs w:val="20"/>
          <w:color w:val="auto"/>
        </w:rPr>
      </w:pPr>
    </w:p>
    <w:p>
      <w:pPr>
        <w:ind w:firstLine="413"/>
        <w:spacing w:after="0" w:line="273" w:lineRule="auto"/>
        <w:rPr>
          <w:sz w:val="20"/>
          <w:szCs w:val="20"/>
          <w:color w:val="auto"/>
        </w:rPr>
      </w:pPr>
      <w:r>
        <w:rPr>
          <w:rFonts w:ascii="Arial" w:cs="Arial" w:eastAsia="Arial" w:hAnsi="Arial"/>
          <w:sz w:val="16"/>
          <w:szCs w:val="16"/>
          <w:color w:val="auto"/>
        </w:rPr>
        <w:t>Your percentage ownership will be diluted in the future because of equity awards that we expect will be granted to our directors, officers and employees, as well as shares of common stock, or securities convertible into common stock, we issue in connection with future capital raising or strategic transactions. Our Third Amended and Restated 2000 Stock Option and Incentive Plan provides for the grant of equity-based awards, including restricted stock, restricted stock units, stock options, stock appreciation rights and other equity-based awards to our directors, officers and other employees, advisors and consultants. The issuance of any shares of our stock would dilute the proportionate ownership and voting power of existing security holders.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issuance of preferred stock in the future may dilute the rights of our common stockholders.</w:t>
      </w:r>
    </w:p>
    <w:p>
      <w:pPr>
        <w:spacing w:after="0" w:line="209" w:lineRule="exact"/>
        <w:rPr>
          <w:sz w:val="20"/>
          <w:szCs w:val="20"/>
          <w:color w:val="auto"/>
        </w:rPr>
      </w:pPr>
    </w:p>
    <w:p>
      <w:pPr>
        <w:ind w:right="20" w:firstLine="413"/>
        <w:spacing w:after="0" w:line="260" w:lineRule="auto"/>
        <w:rPr>
          <w:sz w:val="20"/>
          <w:szCs w:val="20"/>
          <w:color w:val="auto"/>
        </w:rPr>
      </w:pPr>
      <w:r>
        <w:rPr>
          <w:rFonts w:ascii="Arial" w:cs="Arial" w:eastAsia="Arial" w:hAnsi="Arial"/>
          <w:sz w:val="17"/>
          <w:szCs w:val="17"/>
          <w:color w:val="auto"/>
        </w:rPr>
        <w:t>Our board of directors has the authority to issue up to 5,000,000 shares of preferred stock and to determine the price, privileges and other terms of these shares. The board of directors may exercise this authority without any further approval of stockholders. The rights of the holders of common stock may be adversely affected by the rights of future holders of preferred stock.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dividends will not likely be paid on our common stock.</w:t>
      </w:r>
    </w:p>
    <w:p>
      <w:pPr>
        <w:spacing w:after="0" w:line="209" w:lineRule="exact"/>
        <w:rPr>
          <w:sz w:val="20"/>
          <w:szCs w:val="20"/>
          <w:color w:val="auto"/>
        </w:rPr>
      </w:pPr>
    </w:p>
    <w:p>
      <w:pPr>
        <w:jc w:val="both"/>
        <w:ind w:right="340" w:firstLine="413"/>
        <w:spacing w:after="0" w:line="260" w:lineRule="auto"/>
        <w:rPr>
          <w:sz w:val="20"/>
          <w:szCs w:val="20"/>
          <w:color w:val="auto"/>
        </w:rPr>
      </w:pPr>
      <w:r>
        <w:rPr>
          <w:rFonts w:ascii="Arial" w:cs="Arial" w:eastAsia="Arial" w:hAnsi="Arial"/>
          <w:sz w:val="17"/>
          <w:szCs w:val="17"/>
          <w:color w:val="auto"/>
        </w:rPr>
        <w:t>Currently, we intend to retain all of our earnings to finance the expansion and development of our business and do not anticipate paying any cash dividends to holders of our common stock in the near future. As a result, capital appreciation, if any, of our common stock will be a stockholder’s sole source of gain for the near future.</w:t>
      </w:r>
    </w:p>
    <w:p>
      <w:pPr>
        <w:spacing w:after="0" w:line="174" w:lineRule="exact"/>
        <w:rPr>
          <w:sz w:val="20"/>
          <w:szCs w:val="20"/>
          <w:color w:val="auto"/>
        </w:rPr>
      </w:pPr>
    </w:p>
    <w:p>
      <w:pPr>
        <w:ind w:right="640"/>
        <w:spacing w:after="0" w:line="271" w:lineRule="auto"/>
        <w:rPr>
          <w:sz w:val="20"/>
          <w:szCs w:val="20"/>
          <w:color w:val="auto"/>
        </w:rPr>
      </w:pPr>
      <w:r>
        <w:rPr>
          <w:rFonts w:ascii="Arial" w:cs="Arial" w:eastAsia="Arial" w:hAnsi="Arial"/>
          <w:sz w:val="17"/>
          <w:szCs w:val="17"/>
          <w:b w:val="1"/>
          <w:bCs w:val="1"/>
          <w:i w:val="1"/>
          <w:iCs w:val="1"/>
          <w:color w:val="auto"/>
        </w:rPr>
        <w:t>Changes in the European regulatory environment regarding privacy and data protection regulations could have a material adverse impact on our results of operations.</w:t>
      </w:r>
    </w:p>
    <w:p>
      <w:pPr>
        <w:spacing w:after="0" w:line="166" w:lineRule="exact"/>
        <w:rPr>
          <w:sz w:val="20"/>
          <w:szCs w:val="20"/>
          <w:color w:val="auto"/>
        </w:rPr>
      </w:pPr>
    </w:p>
    <w:p>
      <w:pPr>
        <w:ind w:right="20" w:firstLine="413"/>
        <w:spacing w:after="0" w:line="289" w:lineRule="auto"/>
        <w:rPr>
          <w:sz w:val="20"/>
          <w:szCs w:val="20"/>
          <w:color w:val="auto"/>
        </w:rPr>
      </w:pPr>
      <w:r>
        <w:rPr>
          <w:rFonts w:ascii="Arial" w:cs="Arial" w:eastAsia="Arial" w:hAnsi="Arial"/>
          <w:sz w:val="15"/>
          <w:szCs w:val="15"/>
          <w:color w:val="auto"/>
        </w:rPr>
        <w:t>The E.U. has recently adopted a comprehensive overhaul of its data protection regime in the form of the General Data Protection Regulation (GDPR), which comes into effect in May 2018. GDPR extends the scope of the existing E.U. data protection law to foreign companies processing personal data of E.U. residents. The regulation imposes a strict data protection compliance regime with severe penalties of 4% of worldwide turnover or €20 million, whichever is greater, and includes new rights such as the right of erasure of personal data. Although the GDPR will apply across the E.U., as has been the case under the current data protection regime, E.U. Member States have some national derogations and local data protection authorities (DPAs) will still have the ability to interpret the GDPR, which has the potential to create inconsistencies on a country-by-country basis. Implementation of, and compliance with the GDPR could increase our cost of doing business and/or force us to change our business practices in a manner adverse to our business. In addition, violations of the GDPR may result in significant fines, penalties and damage to our brand and business which could, individually or in the aggregate, materially harm our business and reputation.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4"/>
          <w:szCs w:val="14"/>
          <w:b w:val="1"/>
          <w:bCs w:val="1"/>
          <w:i w:val="1"/>
          <w:iCs w:val="1"/>
          <w:color w:val="auto"/>
        </w:rPr>
        <w:t>Unresolved Staff Comments</w:t>
      </w:r>
      <w:r>
        <w:rPr>
          <w:rFonts w:ascii="Arial" w:cs="Arial" w:eastAsia="Arial" w:hAnsi="Arial"/>
          <w:sz w:val="14"/>
          <w:szCs w:val="14"/>
          <w:b w:val="1"/>
          <w:bCs w:val="1"/>
          <w:color w:val="auto"/>
        </w:rPr>
        <w:t>.</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principal facilities incorporate manufacturing, research and development, sales and marketing, and administration functions. Our facilities consist of:</w:t>
      </w:r>
    </w:p>
    <w:p>
      <w:pPr>
        <w:spacing w:after="0" w:line="221" w:lineRule="exact"/>
        <w:rPr>
          <w:sz w:val="20"/>
          <w:szCs w:val="20"/>
          <w:color w:val="auto"/>
        </w:rPr>
      </w:pPr>
    </w:p>
    <w:p>
      <w:pPr>
        <w:ind w:left="520" w:hanging="106"/>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leased 83,123 square foot facility in Holliston, Massachusetts, which includes our corporate headquarters,</w:t>
      </w:r>
    </w:p>
    <w:p>
      <w:pPr>
        <w:spacing w:after="0" w:line="18" w:lineRule="exact"/>
        <w:rPr>
          <w:rFonts w:ascii="Arial" w:cs="Arial" w:eastAsia="Arial" w:hAnsi="Arial"/>
          <w:sz w:val="17"/>
          <w:szCs w:val="17"/>
          <w:color w:val="auto"/>
        </w:rPr>
      </w:pPr>
    </w:p>
    <w:p>
      <w:pPr>
        <w:ind w:left="520" w:hanging="106"/>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leased 29,020 square foot facility in Richmond, California,</w:t>
      </w:r>
    </w:p>
    <w:p>
      <w:pPr>
        <w:spacing w:after="0" w:line="6" w:lineRule="exact"/>
        <w:rPr>
          <w:rFonts w:ascii="Arial" w:cs="Arial" w:eastAsia="Arial" w:hAnsi="Arial"/>
          <w:sz w:val="17"/>
          <w:szCs w:val="17"/>
          <w:color w:val="auto"/>
        </w:rPr>
      </w:pPr>
    </w:p>
    <w:p>
      <w:pPr>
        <w:ind w:left="520" w:hanging="106"/>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leased 22,449 square foot facility in Reutlingen, Germany,</w:t>
      </w:r>
    </w:p>
    <w:p>
      <w:pPr>
        <w:spacing w:after="0" w:line="6" w:lineRule="exact"/>
        <w:rPr>
          <w:rFonts w:ascii="Arial" w:cs="Arial" w:eastAsia="Arial" w:hAnsi="Arial"/>
          <w:sz w:val="17"/>
          <w:szCs w:val="17"/>
          <w:color w:val="auto"/>
        </w:rPr>
      </w:pPr>
    </w:p>
    <w:p>
      <w:pPr>
        <w:ind w:left="520" w:hanging="106"/>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leased 20,853 square foot facility in Barcelona, Spain,</w:t>
      </w:r>
    </w:p>
    <w:p>
      <w:pPr>
        <w:spacing w:after="0" w:line="6" w:lineRule="exact"/>
        <w:rPr>
          <w:rFonts w:ascii="Arial" w:cs="Arial" w:eastAsia="Arial" w:hAnsi="Arial"/>
          <w:sz w:val="17"/>
          <w:szCs w:val="17"/>
          <w:color w:val="auto"/>
        </w:rPr>
      </w:pPr>
    </w:p>
    <w:p>
      <w:pPr>
        <w:ind w:left="520" w:hanging="106"/>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leased 12,031 square foot facility in March-Hugstetten, Germany,</w:t>
      </w:r>
    </w:p>
    <w:p>
      <w:pPr>
        <w:spacing w:after="0" w:line="198" w:lineRule="exact"/>
        <w:rPr>
          <w:sz w:val="20"/>
          <w:szCs w:val="20"/>
          <w:color w:val="auto"/>
        </w:rPr>
      </w:pPr>
    </w:p>
    <w:p>
      <w:pPr>
        <w:ind w:right="100" w:firstLine="412"/>
        <w:spacing w:after="0" w:line="271" w:lineRule="auto"/>
        <w:rPr>
          <w:sz w:val="20"/>
          <w:szCs w:val="20"/>
          <w:color w:val="auto"/>
        </w:rPr>
      </w:pPr>
      <w:r>
        <w:rPr>
          <w:rFonts w:ascii="Arial" w:cs="Arial" w:eastAsia="Arial" w:hAnsi="Arial"/>
          <w:sz w:val="17"/>
          <w:szCs w:val="17"/>
          <w:color w:val="auto"/>
        </w:rPr>
        <w:t>Excluded from the listing of facilities above, is the 115,667 square foot facility leased by DSI in New Brighton, Minnesota, and the 36,144 square foot facility in Charlotte, North Carolina that was leased by Denville.</w:t>
      </w:r>
    </w:p>
    <w:p>
      <w:pPr>
        <w:spacing w:after="0" w:line="166" w:lineRule="exact"/>
        <w:rPr>
          <w:sz w:val="20"/>
          <w:szCs w:val="20"/>
          <w:color w:val="auto"/>
        </w:rPr>
      </w:pPr>
    </w:p>
    <w:p>
      <w:pPr>
        <w:ind w:right="220" w:firstLine="413"/>
        <w:spacing w:after="0" w:line="271" w:lineRule="auto"/>
        <w:rPr>
          <w:sz w:val="20"/>
          <w:szCs w:val="20"/>
          <w:color w:val="auto"/>
        </w:rPr>
      </w:pPr>
      <w:r>
        <w:rPr>
          <w:rFonts w:ascii="Arial" w:cs="Arial" w:eastAsia="Arial" w:hAnsi="Arial"/>
          <w:sz w:val="17"/>
          <w:szCs w:val="17"/>
          <w:color w:val="auto"/>
        </w:rPr>
        <w:t>We also lease additional facilities in Cambourne, England, Lambrecht, Germany, Hamden Connecticut, Durham, North Carolina and Kista, Sweden, Shanghai, China, Les Ulis, France, St. Augustin, Germany, Lunenburg, Canada and Montreal, Canada.</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believe our current facilities are adequate for our needs for the foreseeable future.</w:t>
      </w:r>
    </w:p>
    <w:p>
      <w:pPr>
        <w:spacing w:after="0" w:line="205"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i w:val="1"/>
          <w:iCs w:val="1"/>
          <w:color w:val="auto"/>
        </w:rPr>
        <w:t>Legal Proceedings.</w:t>
      </w:r>
    </w:p>
    <w:p>
      <w:pPr>
        <w:spacing w:after="0" w:line="213" w:lineRule="exact"/>
        <w:rPr>
          <w:sz w:val="20"/>
          <w:szCs w:val="20"/>
          <w:color w:val="auto"/>
        </w:rPr>
      </w:pPr>
    </w:p>
    <w:p>
      <w:pPr>
        <w:ind w:firstLine="413"/>
        <w:spacing w:after="0" w:line="270" w:lineRule="auto"/>
        <w:rPr>
          <w:sz w:val="20"/>
          <w:szCs w:val="20"/>
          <w:color w:val="auto"/>
        </w:rPr>
      </w:pPr>
      <w:r>
        <w:rPr>
          <w:rFonts w:ascii="Arial" w:cs="Arial" w:eastAsia="Arial" w:hAnsi="Arial"/>
          <w:sz w:val="16"/>
          <w:szCs w:val="16"/>
          <w:color w:val="auto"/>
        </w:rPr>
        <w:t>On April 14, 2017, anticipated representatives for the estate of an individual plaintiff filed a wrongful death complaint with the Suffolk Superior Court, in the County of Suffolk, Massachusetts, against the Company and other defendants, including Biostage, Inc. (f/k/a Harvard Apparatus Regenerative Technology, Inc.), our former subsidiary that was spun off in 2013, as well as another third party. The complaint seeks payment for an unspecified amount of damages and alleges that the plaintiff sustained terminal injuries allegedly caused by products, including synthetic trachea scaffolds and bioreactors, provided by certain of the named defendants and utilized in connection with surgeries performed by third parties in 2012 and 2013. The litigation is at an early stage and the Company intends to vigorously defend this case and has contacted its liability insurance carrier to request defense and indemnification of any losses incurred in connection with this lawsuit. While we believe that such claim is without merit, we are unable to predict the ultimate outcome of such litigation.</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60"/>
          </w:cols>
          <w:pgMar w:left="240" w:top="228" w:right="29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9"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4"/>
          <w:szCs w:val="14"/>
          <w:b w:val="1"/>
          <w:bCs w:val="1"/>
          <w:i w:val="1"/>
          <w:iCs w:val="1"/>
          <w:color w:val="auto"/>
        </w:rPr>
        <w:t>Market for Registrant’s Common Equity, Related Stockholder Matters and Issuer Purchases of Equity Securities.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 Range of Common Stock</w:t>
      </w:r>
    </w:p>
    <w:p>
      <w:pPr>
        <w:spacing w:after="0" w:line="213" w:lineRule="exact"/>
        <w:rPr>
          <w:sz w:val="20"/>
          <w:szCs w:val="20"/>
          <w:color w:val="auto"/>
        </w:rPr>
      </w:pPr>
    </w:p>
    <w:p>
      <w:pPr>
        <w:ind w:right="80" w:firstLine="413"/>
        <w:spacing w:after="0" w:line="260" w:lineRule="auto"/>
        <w:rPr>
          <w:sz w:val="20"/>
          <w:szCs w:val="20"/>
          <w:color w:val="auto"/>
        </w:rPr>
      </w:pPr>
      <w:r>
        <w:rPr>
          <w:rFonts w:ascii="Arial" w:cs="Arial" w:eastAsia="Arial" w:hAnsi="Arial"/>
          <w:sz w:val="17"/>
          <w:szCs w:val="17"/>
          <w:color w:val="auto"/>
        </w:rPr>
        <w:t>Our common stock has been quoted on the NASDAQ Global Market since our initial public offering on December 7, 2000, and currently trades under the symbol “HBIO.” The following table sets forth the range of the high and low sales prices per share of our common stock as reported on the NASDAQ Global Market for the quarterly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20" w:type="dxa"/>
            <w:vAlign w:val="bottom"/>
          </w:tcPr>
          <w:p>
            <w:pPr>
              <w:spacing w:after="0"/>
              <w:rPr>
                <w:sz w:val="20"/>
                <w:szCs w:val="20"/>
                <w:color w:val="auto"/>
              </w:rPr>
            </w:pPr>
            <w:r>
              <w:rPr>
                <w:rFonts w:ascii="Arial" w:cs="Arial" w:eastAsia="Arial" w:hAnsi="Arial"/>
                <w:sz w:val="17"/>
                <w:szCs w:val="17"/>
                <w:b w:val="1"/>
                <w:bCs w:val="1"/>
                <w:color w:val="auto"/>
              </w:rPr>
              <w:t>Fiscal Year Ended December 31, 2017</w:t>
            </w:r>
          </w:p>
        </w:tc>
        <w:tc>
          <w:tcPr>
            <w:tcW w:w="36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Arial" w:cs="Arial" w:eastAsia="Arial" w:hAnsi="Arial"/>
                <w:sz w:val="17"/>
                <w:szCs w:val="17"/>
                <w:b w:val="1"/>
                <w:bCs w:val="1"/>
                <w:color w:val="auto"/>
              </w:rPr>
              <w:t>High</w:t>
            </w:r>
          </w:p>
        </w:tc>
        <w:tc>
          <w:tcPr>
            <w:tcW w:w="360" w:type="dxa"/>
            <w:vAlign w:val="bottom"/>
          </w:tcPr>
          <w:p>
            <w:pPr>
              <w:spacing w:after="0"/>
              <w:rPr>
                <w:sz w:val="20"/>
                <w:szCs w:val="20"/>
                <w:color w:val="auto"/>
              </w:rPr>
            </w:pPr>
          </w:p>
        </w:tc>
        <w:tc>
          <w:tcPr>
            <w:tcW w:w="1220" w:type="dxa"/>
            <w:vAlign w:val="bottom"/>
          </w:tcPr>
          <w:p>
            <w:pPr>
              <w:jc w:val="right"/>
              <w:ind w:right="556"/>
              <w:spacing w:after="0"/>
              <w:rPr>
                <w:sz w:val="20"/>
                <w:szCs w:val="20"/>
                <w:color w:val="auto"/>
              </w:rPr>
            </w:pPr>
            <w:r>
              <w:rPr>
                <w:rFonts w:ascii="Arial" w:cs="Arial" w:eastAsia="Arial" w:hAnsi="Arial"/>
                <w:sz w:val="17"/>
                <w:szCs w:val="17"/>
                <w:b w:val="1"/>
                <w:bCs w:val="1"/>
                <w:color w:val="auto"/>
              </w:rPr>
              <w:t>Low</w:t>
            </w:r>
          </w:p>
        </w:tc>
      </w:tr>
      <w:tr>
        <w:trPr>
          <w:trHeight w:val="195"/>
        </w:trPr>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First Quarter</w:t>
            </w:r>
          </w:p>
        </w:tc>
        <w:tc>
          <w:tcPr>
            <w:tcW w:w="36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3.25</w:t>
            </w: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2.55</w:t>
            </w:r>
          </w:p>
        </w:tc>
      </w:tr>
      <w:tr>
        <w:trPr>
          <w:trHeight w:val="202"/>
        </w:trPr>
        <w:tc>
          <w:tcPr>
            <w:tcW w:w="8120" w:type="dxa"/>
            <w:vAlign w:val="bottom"/>
          </w:tcPr>
          <w:p>
            <w:pPr>
              <w:spacing w:after="0"/>
              <w:rPr>
                <w:sz w:val="20"/>
                <w:szCs w:val="20"/>
                <w:color w:val="auto"/>
              </w:rPr>
            </w:pPr>
            <w:r>
              <w:rPr>
                <w:rFonts w:ascii="Arial" w:cs="Arial" w:eastAsia="Arial" w:hAnsi="Arial"/>
                <w:sz w:val="17"/>
                <w:szCs w:val="17"/>
                <w:color w:val="auto"/>
              </w:rPr>
              <w:t>Second Quarter</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2.75</w:t>
            </w:r>
          </w:p>
        </w:tc>
        <w:tc>
          <w:tcPr>
            <w:tcW w:w="120" w:type="dxa"/>
            <w:vAlign w:val="bottom"/>
          </w:tcPr>
          <w:p>
            <w:pPr>
              <w:spacing w:after="0"/>
              <w:rPr>
                <w:sz w:val="17"/>
                <w:szCs w:val="17"/>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2.30</w:t>
            </w:r>
          </w:p>
        </w:tc>
      </w:tr>
      <w:tr>
        <w:trPr>
          <w:trHeight w:val="202"/>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Third Quarter</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3.75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2.35</w:t>
            </w:r>
          </w:p>
        </w:tc>
      </w:tr>
      <w:tr>
        <w:trPr>
          <w:trHeight w:val="214"/>
        </w:trPr>
        <w:tc>
          <w:tcPr>
            <w:tcW w:w="8120" w:type="dxa"/>
            <w:vAlign w:val="bottom"/>
          </w:tcPr>
          <w:p>
            <w:pPr>
              <w:spacing w:after="0"/>
              <w:rPr>
                <w:sz w:val="20"/>
                <w:szCs w:val="20"/>
                <w:color w:val="auto"/>
              </w:rPr>
            </w:pPr>
            <w:r>
              <w:rPr>
                <w:rFonts w:ascii="Arial" w:cs="Arial" w:eastAsia="Arial" w:hAnsi="Arial"/>
                <w:sz w:val="17"/>
                <w:szCs w:val="17"/>
                <w:color w:val="auto"/>
              </w:rPr>
              <w:t>Fourth Quarter</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3.80</w:t>
            </w:r>
          </w:p>
        </w:tc>
        <w:tc>
          <w:tcPr>
            <w:tcW w:w="120" w:type="dxa"/>
            <w:vAlign w:val="bottom"/>
          </w:tcPr>
          <w:p>
            <w:pPr>
              <w:spacing w:after="0"/>
              <w:rPr>
                <w:sz w:val="18"/>
                <w:szCs w:val="18"/>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3.08</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20" w:type="dxa"/>
            <w:vAlign w:val="bottom"/>
          </w:tcPr>
          <w:p>
            <w:pPr>
              <w:spacing w:after="0"/>
              <w:rPr>
                <w:sz w:val="20"/>
                <w:szCs w:val="20"/>
                <w:color w:val="auto"/>
              </w:rPr>
            </w:pPr>
            <w:r>
              <w:rPr>
                <w:rFonts w:ascii="Arial" w:cs="Arial" w:eastAsia="Arial" w:hAnsi="Arial"/>
                <w:sz w:val="17"/>
                <w:szCs w:val="17"/>
                <w:b w:val="1"/>
                <w:bCs w:val="1"/>
                <w:color w:val="auto"/>
              </w:rPr>
              <w:t>Fiscal Year Ended December 31, 2016</w:t>
            </w:r>
          </w:p>
        </w:tc>
        <w:tc>
          <w:tcPr>
            <w:tcW w:w="36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Arial" w:cs="Arial" w:eastAsia="Arial" w:hAnsi="Arial"/>
                <w:sz w:val="17"/>
                <w:szCs w:val="17"/>
                <w:b w:val="1"/>
                <w:bCs w:val="1"/>
                <w:color w:val="auto"/>
              </w:rPr>
              <w:t>High</w:t>
            </w:r>
          </w:p>
        </w:tc>
        <w:tc>
          <w:tcPr>
            <w:tcW w:w="360" w:type="dxa"/>
            <w:vAlign w:val="bottom"/>
          </w:tcPr>
          <w:p>
            <w:pPr>
              <w:spacing w:after="0"/>
              <w:rPr>
                <w:sz w:val="20"/>
                <w:szCs w:val="20"/>
                <w:color w:val="auto"/>
              </w:rPr>
            </w:pPr>
          </w:p>
        </w:tc>
        <w:tc>
          <w:tcPr>
            <w:tcW w:w="1220" w:type="dxa"/>
            <w:vAlign w:val="bottom"/>
          </w:tcPr>
          <w:p>
            <w:pPr>
              <w:jc w:val="right"/>
              <w:ind w:right="556"/>
              <w:spacing w:after="0"/>
              <w:rPr>
                <w:sz w:val="20"/>
                <w:szCs w:val="20"/>
                <w:color w:val="auto"/>
              </w:rPr>
            </w:pPr>
            <w:r>
              <w:rPr>
                <w:rFonts w:ascii="Arial" w:cs="Arial" w:eastAsia="Arial" w:hAnsi="Arial"/>
                <w:sz w:val="17"/>
                <w:szCs w:val="17"/>
                <w:b w:val="1"/>
                <w:bCs w:val="1"/>
                <w:color w:val="auto"/>
              </w:rPr>
              <w:t>Low</w:t>
            </w:r>
          </w:p>
        </w:tc>
      </w:tr>
      <w:tr>
        <w:trPr>
          <w:trHeight w:val="195"/>
        </w:trPr>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First Quarter</w:t>
            </w:r>
          </w:p>
        </w:tc>
        <w:tc>
          <w:tcPr>
            <w:tcW w:w="36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3.25</w:t>
            </w: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2.48</w:t>
            </w:r>
          </w:p>
        </w:tc>
      </w:tr>
      <w:tr>
        <w:trPr>
          <w:trHeight w:val="202"/>
        </w:trPr>
        <w:tc>
          <w:tcPr>
            <w:tcW w:w="8120" w:type="dxa"/>
            <w:vAlign w:val="bottom"/>
          </w:tcPr>
          <w:p>
            <w:pPr>
              <w:spacing w:after="0"/>
              <w:rPr>
                <w:sz w:val="20"/>
                <w:szCs w:val="20"/>
                <w:color w:val="auto"/>
              </w:rPr>
            </w:pPr>
            <w:r>
              <w:rPr>
                <w:rFonts w:ascii="Arial" w:cs="Arial" w:eastAsia="Arial" w:hAnsi="Arial"/>
                <w:sz w:val="17"/>
                <w:szCs w:val="17"/>
                <w:color w:val="auto"/>
              </w:rPr>
              <w:t>Second Quarter</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3.83</w:t>
            </w:r>
          </w:p>
        </w:tc>
        <w:tc>
          <w:tcPr>
            <w:tcW w:w="120" w:type="dxa"/>
            <w:vAlign w:val="bottom"/>
          </w:tcPr>
          <w:p>
            <w:pPr>
              <w:spacing w:after="0"/>
              <w:rPr>
                <w:sz w:val="17"/>
                <w:szCs w:val="17"/>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2.72</w:t>
            </w:r>
          </w:p>
        </w:tc>
      </w:tr>
      <w:tr>
        <w:trPr>
          <w:trHeight w:val="202"/>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Third Quarter</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3.19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2.53</w:t>
            </w:r>
          </w:p>
        </w:tc>
      </w:tr>
      <w:tr>
        <w:trPr>
          <w:trHeight w:val="214"/>
        </w:trPr>
        <w:tc>
          <w:tcPr>
            <w:tcW w:w="8120" w:type="dxa"/>
            <w:vAlign w:val="bottom"/>
          </w:tcPr>
          <w:p>
            <w:pPr>
              <w:spacing w:after="0"/>
              <w:rPr>
                <w:sz w:val="20"/>
                <w:szCs w:val="20"/>
                <w:color w:val="auto"/>
              </w:rPr>
            </w:pPr>
            <w:r>
              <w:rPr>
                <w:rFonts w:ascii="Arial" w:cs="Arial" w:eastAsia="Arial" w:hAnsi="Arial"/>
                <w:sz w:val="17"/>
                <w:szCs w:val="17"/>
                <w:color w:val="auto"/>
              </w:rPr>
              <w:t>Fourth Quarter</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3.05</w:t>
            </w:r>
          </w:p>
        </w:tc>
        <w:tc>
          <w:tcPr>
            <w:tcW w:w="120" w:type="dxa"/>
            <w:vAlign w:val="bottom"/>
          </w:tcPr>
          <w:p>
            <w:pPr>
              <w:spacing w:after="0"/>
              <w:rPr>
                <w:sz w:val="18"/>
                <w:szCs w:val="18"/>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2.30</w:t>
            </w:r>
          </w:p>
        </w:tc>
      </w:tr>
    </w:tbl>
    <w:p>
      <w:pPr>
        <w:spacing w:after="0" w:line="178" w:lineRule="exact"/>
        <w:rPr>
          <w:sz w:val="20"/>
          <w:szCs w:val="20"/>
          <w:color w:val="auto"/>
        </w:rPr>
      </w:pPr>
    </w:p>
    <w:p>
      <w:pPr>
        <w:ind w:right="400" w:firstLine="413"/>
        <w:spacing w:after="0" w:line="303" w:lineRule="auto"/>
        <w:rPr>
          <w:sz w:val="20"/>
          <w:szCs w:val="20"/>
          <w:color w:val="auto"/>
        </w:rPr>
      </w:pPr>
      <w:r>
        <w:rPr>
          <w:rFonts w:ascii="Arial" w:cs="Arial" w:eastAsia="Arial" w:hAnsi="Arial"/>
          <w:sz w:val="16"/>
          <w:szCs w:val="16"/>
          <w:color w:val="auto"/>
        </w:rPr>
        <w:t>On March 9, 2018, the closing sale price of our common stock on the NASDAQ Global Market was $4.60 per share. There were 116 holders of record of our common stock as of March 9, 2018. We believe that the number of beneficial owners of our common stock at that date was substantially greater.</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13" w:lineRule="exact"/>
        <w:rPr>
          <w:sz w:val="20"/>
          <w:szCs w:val="20"/>
          <w:color w:val="auto"/>
        </w:rPr>
      </w:pPr>
    </w:p>
    <w:p>
      <w:pPr>
        <w:ind w:right="140" w:firstLine="413"/>
        <w:spacing w:after="0" w:line="260" w:lineRule="auto"/>
        <w:rPr>
          <w:sz w:val="20"/>
          <w:szCs w:val="20"/>
          <w:color w:val="auto"/>
        </w:rPr>
      </w:pPr>
      <w:r>
        <w:rPr>
          <w:rFonts w:ascii="Arial" w:cs="Arial" w:eastAsia="Arial" w:hAnsi="Arial"/>
          <w:sz w:val="17"/>
          <w:szCs w:val="17"/>
          <w:color w:val="auto"/>
        </w:rPr>
        <w:t>We have never declared or paid cash dividends on our common stock in the past and do not intend to pay cash dividends on our common stock in the foreseeable future. Any future determination to pay cash dividends will be at the discretion of our Board of Directors and will depend on our financial condition, results of operations, capital requirements and other factors our Board of Directors deems relevant.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Return Performance Graph</w:t>
      </w:r>
    </w:p>
    <w:p>
      <w:pPr>
        <w:spacing w:after="0" w:line="213" w:lineRule="exact"/>
        <w:rPr>
          <w:sz w:val="20"/>
          <w:szCs w:val="20"/>
          <w:color w:val="auto"/>
        </w:rPr>
      </w:pPr>
    </w:p>
    <w:p>
      <w:pPr>
        <w:ind w:right="20" w:firstLine="413"/>
        <w:spacing w:after="0" w:line="260" w:lineRule="auto"/>
        <w:rPr>
          <w:sz w:val="20"/>
          <w:szCs w:val="20"/>
          <w:color w:val="auto"/>
        </w:rPr>
      </w:pPr>
      <w:r>
        <w:rPr>
          <w:rFonts w:ascii="Arial" w:cs="Arial" w:eastAsia="Arial" w:hAnsi="Arial"/>
          <w:sz w:val="17"/>
          <w:szCs w:val="17"/>
          <w:i w:val="1"/>
          <w:iCs w:val="1"/>
          <w:color w:val="auto"/>
        </w:rPr>
        <w:t>This performance graph shall not be deemed “filed” for purposes of Section 18 of the Securities Exchange Act of 1934, as amended (the Exchange Act), or incorporated by reference into any filing of Harvard Bioscience under the Securities Act of 1933, as amended, or the Exchange Act, except as shall be expressly set forth by specific reference in such filing.</w:t>
      </w:r>
    </w:p>
    <w:p>
      <w:pPr>
        <w:spacing w:after="0" w:line="174" w:lineRule="exact"/>
        <w:rPr>
          <w:sz w:val="20"/>
          <w:szCs w:val="20"/>
          <w:color w:val="auto"/>
        </w:rPr>
      </w:pPr>
    </w:p>
    <w:p>
      <w:pPr>
        <w:jc w:val="both"/>
        <w:ind w:right="20" w:firstLine="413"/>
        <w:spacing w:after="0" w:line="254" w:lineRule="auto"/>
        <w:rPr>
          <w:sz w:val="20"/>
          <w:szCs w:val="20"/>
          <w:color w:val="auto"/>
        </w:rPr>
      </w:pPr>
      <w:r>
        <w:rPr>
          <w:rFonts w:ascii="Arial" w:cs="Arial" w:eastAsia="Arial" w:hAnsi="Arial"/>
          <w:sz w:val="17"/>
          <w:szCs w:val="17"/>
          <w:color w:val="auto"/>
        </w:rPr>
        <w:t>The following graph provides a comparison of the cumulative total stockholder return on the Company’s common stock from December 31, 2012 to December 31, 2017 with the cumulative return of the Russell 2000 Index and the Nasdaq Biotechnology Index over the same period. The five-year cumulative return assumes an initial investment of $100 in the Company’s common stock and in each index on December 31, 2012. The total return for the Company’s common stock and the indices used assumes the reinvestment of all dividends. The table below reflects the stock prices as adjusted for the spin-off of HART which was effected on November 1, 2013, for all periods presented.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140970</wp:posOffset>
            </wp:positionV>
            <wp:extent cx="6563995" cy="48367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63995" cy="4836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440" w:type="dxa"/>
            <w:vAlign w:val="bottom"/>
            <w:tcBorders>
              <w:top w:val="single" w:sz="8" w:color="auto"/>
              <w:bottom w:val="single" w:sz="8" w:color="auto"/>
            </w:tcBorders>
          </w:tcPr>
          <w:p>
            <w:pPr>
              <w:spacing w:after="0"/>
              <w:rPr>
                <w:sz w:val="19"/>
                <w:szCs w:val="19"/>
                <w:color w:val="auto"/>
              </w:rPr>
            </w:pPr>
          </w:p>
        </w:tc>
        <w:tc>
          <w:tcPr>
            <w:tcW w:w="250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12/12</w:t>
            </w:r>
          </w:p>
        </w:tc>
        <w:tc>
          <w:tcPr>
            <w:tcW w:w="12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12/13</w:t>
            </w:r>
          </w:p>
        </w:tc>
        <w:tc>
          <w:tcPr>
            <w:tcW w:w="108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12/14</w:t>
            </w:r>
          </w:p>
        </w:tc>
        <w:tc>
          <w:tcPr>
            <w:tcW w:w="11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12/15</w:t>
            </w:r>
          </w:p>
        </w:tc>
        <w:tc>
          <w:tcPr>
            <w:tcW w:w="11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12/16</w:t>
            </w:r>
          </w:p>
        </w:tc>
        <w:tc>
          <w:tcPr>
            <w:tcW w:w="9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12/17</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4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Harvard Bioscience, Inc.</w:t>
            </w:r>
          </w:p>
        </w:tc>
        <w:tc>
          <w:tcPr>
            <w:tcW w:w="2500" w:type="dxa"/>
            <w:vAlign w:val="bottom"/>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100.00</w:t>
            </w:r>
          </w:p>
        </w:tc>
        <w:tc>
          <w:tcPr>
            <w:tcW w:w="1200" w:type="dxa"/>
            <w:vAlign w:val="bottom"/>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141.63</w:t>
            </w:r>
          </w:p>
        </w:tc>
        <w:tc>
          <w:tcPr>
            <w:tcW w:w="1080" w:type="dxa"/>
            <w:vAlign w:val="bottom"/>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170.86</w:t>
            </w:r>
          </w:p>
        </w:tc>
        <w:tc>
          <w:tcPr>
            <w:tcW w:w="1140" w:type="dxa"/>
            <w:vAlign w:val="bottom"/>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104.56</w:t>
            </w:r>
          </w:p>
        </w:tc>
        <w:tc>
          <w:tcPr>
            <w:tcW w:w="1140" w:type="dxa"/>
            <w:vAlign w:val="bottom"/>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91.91</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99.44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7"/>
                <w:szCs w:val="17"/>
                <w:b w:val="1"/>
                <w:bCs w:val="1"/>
                <w:color w:val="auto"/>
              </w:rPr>
              <w:t>Russell 2000</w:t>
            </w:r>
          </w:p>
        </w:tc>
        <w:tc>
          <w:tcPr>
            <w:tcW w:w="2500" w:type="dxa"/>
            <w:vAlign w:val="bottom"/>
          </w:tcPr>
          <w:p>
            <w:pPr>
              <w:jc w:val="right"/>
              <w:ind w:right="256"/>
              <w:spacing w:after="0"/>
              <w:rPr>
                <w:sz w:val="20"/>
                <w:szCs w:val="20"/>
                <w:color w:val="auto"/>
              </w:rPr>
            </w:pPr>
            <w:r>
              <w:rPr>
                <w:rFonts w:ascii="Arial" w:cs="Arial" w:eastAsia="Arial" w:hAnsi="Arial"/>
                <w:sz w:val="17"/>
                <w:szCs w:val="17"/>
                <w:b w:val="1"/>
                <w:bCs w:val="1"/>
                <w:color w:val="auto"/>
              </w:rPr>
              <w:t>100.00</w:t>
            </w:r>
          </w:p>
        </w:tc>
        <w:tc>
          <w:tcPr>
            <w:tcW w:w="1200" w:type="dxa"/>
            <w:vAlign w:val="bottom"/>
          </w:tcPr>
          <w:p>
            <w:pPr>
              <w:jc w:val="right"/>
              <w:ind w:right="316"/>
              <w:spacing w:after="0"/>
              <w:rPr>
                <w:sz w:val="20"/>
                <w:szCs w:val="20"/>
                <w:color w:val="auto"/>
              </w:rPr>
            </w:pPr>
            <w:r>
              <w:rPr>
                <w:rFonts w:ascii="Arial" w:cs="Arial" w:eastAsia="Arial" w:hAnsi="Arial"/>
                <w:sz w:val="17"/>
                <w:szCs w:val="17"/>
                <w:b w:val="1"/>
                <w:bCs w:val="1"/>
                <w:color w:val="auto"/>
              </w:rPr>
              <w:t>138.82</w:t>
            </w:r>
          </w:p>
        </w:tc>
        <w:tc>
          <w:tcPr>
            <w:tcW w:w="1080" w:type="dxa"/>
            <w:vAlign w:val="bottom"/>
          </w:tcPr>
          <w:p>
            <w:pPr>
              <w:jc w:val="right"/>
              <w:ind w:right="256"/>
              <w:spacing w:after="0"/>
              <w:rPr>
                <w:sz w:val="20"/>
                <w:szCs w:val="20"/>
                <w:color w:val="auto"/>
              </w:rPr>
            </w:pPr>
            <w:r>
              <w:rPr>
                <w:rFonts w:ascii="Arial" w:cs="Arial" w:eastAsia="Arial" w:hAnsi="Arial"/>
                <w:sz w:val="17"/>
                <w:szCs w:val="17"/>
                <w:b w:val="1"/>
                <w:bCs w:val="1"/>
                <w:color w:val="auto"/>
              </w:rPr>
              <w:t>145.62</w:t>
            </w:r>
          </w:p>
        </w:tc>
        <w:tc>
          <w:tcPr>
            <w:tcW w:w="1140" w:type="dxa"/>
            <w:vAlign w:val="bottom"/>
          </w:tcPr>
          <w:p>
            <w:pPr>
              <w:jc w:val="right"/>
              <w:ind w:right="256"/>
              <w:spacing w:after="0"/>
              <w:rPr>
                <w:sz w:val="20"/>
                <w:szCs w:val="20"/>
                <w:color w:val="auto"/>
              </w:rPr>
            </w:pPr>
            <w:r>
              <w:rPr>
                <w:rFonts w:ascii="Arial" w:cs="Arial" w:eastAsia="Arial" w:hAnsi="Arial"/>
                <w:sz w:val="17"/>
                <w:szCs w:val="17"/>
                <w:b w:val="1"/>
                <w:bCs w:val="1"/>
                <w:color w:val="auto"/>
              </w:rPr>
              <w:t>139.19</w:t>
            </w:r>
          </w:p>
        </w:tc>
        <w:tc>
          <w:tcPr>
            <w:tcW w:w="1140" w:type="dxa"/>
            <w:vAlign w:val="bottom"/>
          </w:tcPr>
          <w:p>
            <w:pPr>
              <w:jc w:val="right"/>
              <w:ind w:right="256"/>
              <w:spacing w:after="0"/>
              <w:rPr>
                <w:sz w:val="20"/>
                <w:szCs w:val="20"/>
                <w:color w:val="auto"/>
              </w:rPr>
            </w:pPr>
            <w:r>
              <w:rPr>
                <w:rFonts w:ascii="Arial" w:cs="Arial" w:eastAsia="Arial" w:hAnsi="Arial"/>
                <w:sz w:val="17"/>
                <w:szCs w:val="17"/>
                <w:b w:val="1"/>
                <w:bCs w:val="1"/>
                <w:color w:val="auto"/>
              </w:rPr>
              <w:t>168.85</w:t>
            </w: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193.58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NASDAQ Biotechnology</w:t>
            </w:r>
          </w:p>
        </w:tc>
        <w:tc>
          <w:tcPr>
            <w:tcW w:w="2500" w:type="dxa"/>
            <w:vAlign w:val="bottom"/>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100.00</w:t>
            </w:r>
          </w:p>
        </w:tc>
        <w:tc>
          <w:tcPr>
            <w:tcW w:w="1200" w:type="dxa"/>
            <w:vAlign w:val="bottom"/>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174.05</w:t>
            </w:r>
          </w:p>
        </w:tc>
        <w:tc>
          <w:tcPr>
            <w:tcW w:w="1080" w:type="dxa"/>
            <w:vAlign w:val="bottom"/>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230.33</w:t>
            </w:r>
          </w:p>
        </w:tc>
        <w:tc>
          <w:tcPr>
            <w:tcW w:w="1140" w:type="dxa"/>
            <w:vAlign w:val="bottom"/>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244.29</w:t>
            </w:r>
          </w:p>
        </w:tc>
        <w:tc>
          <w:tcPr>
            <w:tcW w:w="1140" w:type="dxa"/>
            <w:vAlign w:val="bottom"/>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194.95</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228.29</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The stock price performance included in this graph is not necessarily indicative of future stock price performance.</w:t>
      </w:r>
    </w:p>
    <w:p>
      <w:pPr>
        <w:spacing w:after="0" w:line="205"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13" w:lineRule="exact"/>
        <w:rPr>
          <w:sz w:val="20"/>
          <w:szCs w:val="20"/>
          <w:color w:val="auto"/>
        </w:rPr>
      </w:pPr>
    </w:p>
    <w:p>
      <w:pPr>
        <w:ind w:right="220" w:firstLine="413"/>
        <w:spacing w:after="0" w:line="277" w:lineRule="auto"/>
        <w:rPr>
          <w:sz w:val="20"/>
          <w:szCs w:val="20"/>
          <w:color w:val="auto"/>
        </w:rPr>
      </w:pPr>
      <w:r>
        <w:rPr>
          <w:rFonts w:ascii="Arial" w:cs="Arial" w:eastAsia="Arial" w:hAnsi="Arial"/>
          <w:sz w:val="16"/>
          <w:szCs w:val="16"/>
          <w:color w:val="auto"/>
        </w:rPr>
        <w:t>The financial data presented below have been derived from our audited consolidated financial statements. The selected historical financial data presented below should be read in conjunction with “Item 7. Management’s Discussion and Analysis of Financial Condition and Results of Operations” and “Item 8. Financial Statements and Supplementary Data.” and with our previously filed Annual Reports on Form 10-K. The selected data in this section is not intended to replace the consolidated financial statements. The information presented below is not necessarily indicative of the results of our future operations.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5"/>
        </w:trPr>
        <w:tc>
          <w:tcPr>
            <w:tcW w:w="5080" w:type="dxa"/>
            <w:vAlign w:val="bottom"/>
            <w:gridSpan w:val="3"/>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7"/>
          </w:tcPr>
          <w:p>
            <w:pPr>
              <w:jc w:val="center"/>
              <w:ind w:right="256"/>
              <w:spacing w:after="0"/>
              <w:rPr>
                <w:sz w:val="20"/>
                <w:szCs w:val="20"/>
                <w:color w:val="auto"/>
              </w:rPr>
            </w:pPr>
            <w:r>
              <w:rPr>
                <w:rFonts w:ascii="Arial" w:cs="Arial" w:eastAsia="Arial" w:hAnsi="Arial"/>
                <w:sz w:val="17"/>
                <w:szCs w:val="17"/>
                <w:b w:val="1"/>
                <w:bCs w:val="1"/>
                <w:color w:val="auto"/>
                <w:w w:val="90"/>
              </w:rPr>
              <w:t>For The Year Ended December 31,</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56"/>
              <w:spacing w:after="0"/>
              <w:rPr>
                <w:sz w:val="20"/>
                <w:szCs w:val="20"/>
                <w:color w:val="auto"/>
              </w:rPr>
            </w:pPr>
            <w:r>
              <w:rPr>
                <w:rFonts w:ascii="Arial" w:cs="Arial" w:eastAsia="Arial" w:hAnsi="Arial"/>
                <w:sz w:val="17"/>
                <w:szCs w:val="17"/>
                <w:b w:val="1"/>
                <w:bCs w:val="1"/>
                <w:color w:val="auto"/>
                <w:w w:val="89"/>
              </w:rPr>
              <w:t>2015</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40" w:type="dxa"/>
            <w:vAlign w:val="bottom"/>
            <w:gridSpan w:val="7"/>
          </w:tcPr>
          <w:p>
            <w:pPr>
              <w:jc w:val="center"/>
              <w:ind w:right="236"/>
              <w:spacing w:after="0"/>
              <w:rPr>
                <w:sz w:val="20"/>
                <w:szCs w:val="20"/>
                <w:color w:val="auto"/>
              </w:rPr>
            </w:pPr>
            <w:r>
              <w:rPr>
                <w:rFonts w:ascii="Arial" w:cs="Arial" w:eastAsia="Arial" w:hAnsi="Arial"/>
                <w:sz w:val="17"/>
                <w:szCs w:val="17"/>
                <w:b w:val="1"/>
                <w:bCs w:val="1"/>
                <w:color w:val="auto"/>
                <w:w w:val="87"/>
              </w:rPr>
              <w:t>(in thousands, except per share data)</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Revenues</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101,882</w:t>
            </w:r>
          </w:p>
        </w:tc>
        <w:tc>
          <w:tcPr>
            <w:tcW w:w="12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104,521</w:t>
            </w:r>
          </w:p>
        </w:tc>
        <w:tc>
          <w:tcPr>
            <w:tcW w:w="3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108,664</w:t>
            </w:r>
          </w:p>
        </w:tc>
        <w:tc>
          <w:tcPr>
            <w:tcW w:w="12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108,663</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105,171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54,285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56,106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59,941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59,319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57,475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60" w:type="dxa"/>
            <w:vAlign w:val="bottom"/>
            <w:gridSpan w:val="2"/>
          </w:tcPr>
          <w:p>
            <w:pPr>
              <w:ind w:left="140"/>
              <w:spacing w:after="0"/>
              <w:rPr>
                <w:sz w:val="20"/>
                <w:szCs w:val="20"/>
                <w:color w:val="auto"/>
              </w:rPr>
            </w:pPr>
            <w:r>
              <w:rPr>
                <w:rFonts w:ascii="Arial" w:cs="Arial" w:eastAsia="Arial" w:hAnsi="Arial"/>
                <w:sz w:val="17"/>
                <w:szCs w:val="17"/>
                <w:color w:val="auto"/>
              </w:rPr>
              <w:t>Gross profit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47,597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48,415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48,723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49,344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47,696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47,698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51,412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50,436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42,726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46,159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60" w:type="dxa"/>
            <w:vAlign w:val="bottom"/>
            <w:gridSpan w:val="2"/>
          </w:tcPr>
          <w:p>
            <w:pPr>
              <w:ind w:left="140"/>
              <w:spacing w:after="0"/>
              <w:rPr>
                <w:sz w:val="20"/>
                <w:szCs w:val="20"/>
                <w:color w:val="auto"/>
              </w:rPr>
            </w:pPr>
            <w:r>
              <w:rPr>
                <w:rFonts w:ascii="Arial" w:cs="Arial" w:eastAsia="Arial" w:hAnsi="Arial"/>
                <w:sz w:val="17"/>
                <w:szCs w:val="17"/>
                <w:color w:val="auto"/>
              </w:rPr>
              <w:t>Operating (loss) income</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(2,997)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6,618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1,537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expense, net</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(1,102)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60" w:type="dxa"/>
            <w:vAlign w:val="bottom"/>
            <w:gridSpan w:val="2"/>
          </w:tcPr>
          <w:p>
            <w:pPr>
              <w:ind w:left="140"/>
              <w:spacing w:after="0"/>
              <w:rPr>
                <w:sz w:val="20"/>
                <w:szCs w:val="20"/>
                <w:color w:val="auto"/>
              </w:rPr>
            </w:pPr>
            <w:r>
              <w:rPr>
                <w:rFonts w:ascii="Arial" w:cs="Arial" w:eastAsia="Arial" w:hAnsi="Arial"/>
                <w:sz w:val="17"/>
                <w:szCs w:val="17"/>
                <w:color w:val="auto"/>
                <w:w w:val="98"/>
              </w:rPr>
              <w:t>(Loss) income from continuing operations before income taxes (1)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(2,088)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(3,078)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(3,608)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4,417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expense (benefit) (2)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1,229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15,431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2,062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60" w:type="dxa"/>
            <w:vAlign w:val="bottom"/>
            <w:gridSpan w:val="2"/>
          </w:tcPr>
          <w:p>
            <w:pPr>
              <w:ind w:left="140"/>
              <w:spacing w:after="0"/>
              <w:rPr>
                <w:sz w:val="20"/>
                <w:szCs w:val="20"/>
                <w:color w:val="auto"/>
              </w:rPr>
            </w:pPr>
            <w:r>
              <w:rPr>
                <w:rFonts w:ascii="Arial" w:cs="Arial" w:eastAsia="Arial" w:hAnsi="Arial"/>
                <w:sz w:val="17"/>
                <w:szCs w:val="17"/>
                <w:color w:val="auto"/>
              </w:rPr>
              <w:t>(Loss) income from continuing operations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(4,307)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(19,039)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2,355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723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Discontinued operations (3):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Loss from discontinued operations, net of tax</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(2,553)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Net (loss) income</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(4,307)</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2,355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80" w:type="dxa"/>
            <w:vAlign w:val="bottom"/>
            <w:gridSpan w:val="3"/>
            <w:vMerge w:val="restart"/>
          </w:tcPr>
          <w:p>
            <w:pPr>
              <w:spacing w:after="0"/>
              <w:rPr>
                <w:sz w:val="20"/>
                <w:szCs w:val="20"/>
                <w:color w:val="auto"/>
              </w:rPr>
            </w:pPr>
            <w:r>
              <w:rPr>
                <w:rFonts w:ascii="Arial" w:cs="Arial" w:eastAsia="Arial" w:hAnsi="Arial"/>
                <w:sz w:val="17"/>
                <w:szCs w:val="17"/>
                <w:color w:val="auto"/>
              </w:rPr>
              <w:t>(Loss) earnings per share:</w:t>
            </w: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6"/>
              </w:rPr>
              <w:t>Basic (loss) earnings per common share from continuing operations</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0.07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Discontinued operations</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Basic (loss) earnings per common share</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0.07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4"/>
              </w:rPr>
              <w:t>Diluted (loss) earnings per common share from continuing operations</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0.07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Discontinued operations</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Diluted (loss) earnings per common share</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0.07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restart"/>
          </w:tcPr>
          <w:p>
            <w:pPr>
              <w:spacing w:after="0"/>
              <w:rPr>
                <w:sz w:val="15"/>
                <w:szCs w:val="15"/>
                <w:color w:val="auto"/>
              </w:rPr>
            </w:pPr>
          </w:p>
        </w:tc>
        <w:tc>
          <w:tcPr>
            <w:tcW w:w="11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common shares: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Basic</w:t>
            </w:r>
          </w:p>
        </w:tc>
        <w:tc>
          <w:tcPr>
            <w:tcW w:w="2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34,753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34,212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33,593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32,171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30,384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60" w:type="dxa"/>
            <w:vAlign w:val="bottom"/>
            <w:tcBorders>
              <w:bottom w:val="single" w:sz="8" w:color="CCEEFF"/>
            </w:tcBorders>
            <w:gridSpan w:val="2"/>
            <w:shd w:val="clear" w:color="auto" w:fill="CCEEFF"/>
          </w:tcPr>
          <w:p>
            <w:pPr>
              <w:ind w:left="140"/>
              <w:spacing w:after="0" w:line="174" w:lineRule="exact"/>
              <w:rPr>
                <w:sz w:val="20"/>
                <w:szCs w:val="20"/>
                <w:color w:val="auto"/>
              </w:rPr>
            </w:pPr>
            <w:r>
              <w:rPr>
                <w:rFonts w:ascii="Arial" w:cs="Arial" w:eastAsia="Arial" w:hAnsi="Arial"/>
                <w:sz w:val="17"/>
                <w:szCs w:val="17"/>
                <w:color w:val="auto"/>
              </w:rPr>
              <w:t>Diluted</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36"/>
              <w:spacing w:after="0" w:line="180" w:lineRule="exact"/>
              <w:rPr>
                <w:sz w:val="20"/>
                <w:szCs w:val="20"/>
                <w:color w:val="auto"/>
              </w:rPr>
            </w:pPr>
            <w:r>
              <w:rPr>
                <w:rFonts w:ascii="Arial" w:cs="Arial" w:eastAsia="Arial" w:hAnsi="Arial"/>
                <w:sz w:val="17"/>
                <w:szCs w:val="17"/>
                <w:color w:val="auto"/>
              </w:rPr>
              <w:t>34,753</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6"/>
              <w:spacing w:after="0" w:line="180" w:lineRule="exact"/>
              <w:rPr>
                <w:sz w:val="20"/>
                <w:szCs w:val="20"/>
                <w:color w:val="auto"/>
              </w:rPr>
            </w:pPr>
            <w:r>
              <w:rPr>
                <w:rFonts w:ascii="Arial" w:cs="Arial" w:eastAsia="Arial" w:hAnsi="Arial"/>
                <w:sz w:val="17"/>
                <w:szCs w:val="17"/>
                <w:color w:val="auto"/>
              </w:rPr>
              <w:t>34,212</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36"/>
              <w:spacing w:after="0" w:line="180" w:lineRule="exact"/>
              <w:rPr>
                <w:sz w:val="20"/>
                <w:szCs w:val="20"/>
                <w:color w:val="auto"/>
              </w:rPr>
            </w:pPr>
            <w:r>
              <w:rPr>
                <w:rFonts w:ascii="Arial" w:cs="Arial" w:eastAsia="Arial" w:hAnsi="Arial"/>
                <w:sz w:val="17"/>
                <w:szCs w:val="17"/>
                <w:color w:val="auto"/>
              </w:rPr>
              <w:t>33,593</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36"/>
              <w:spacing w:after="0" w:line="180" w:lineRule="exact"/>
              <w:rPr>
                <w:sz w:val="20"/>
                <w:szCs w:val="20"/>
                <w:color w:val="auto"/>
              </w:rPr>
            </w:pPr>
            <w:r>
              <w:rPr>
                <w:rFonts w:ascii="Arial" w:cs="Arial" w:eastAsia="Arial" w:hAnsi="Arial"/>
                <w:sz w:val="17"/>
                <w:szCs w:val="17"/>
                <w:color w:val="auto"/>
              </w:rPr>
              <w:t>33,237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gridSpan w:val="2"/>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31,914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center"/>
              <w:ind w:left="736"/>
              <w:spacing w:after="0"/>
              <w:rPr>
                <w:sz w:val="20"/>
                <w:szCs w:val="20"/>
                <w:color w:val="auto"/>
              </w:rPr>
            </w:pPr>
            <w:r>
              <w:rPr>
                <w:rFonts w:ascii="Arial" w:cs="Arial" w:eastAsia="Arial" w:hAnsi="Arial"/>
                <w:sz w:val="17"/>
                <w:szCs w:val="17"/>
                <w:b w:val="1"/>
                <w:bCs w:val="1"/>
                <w:color w:val="auto"/>
                <w:w w:val="88"/>
              </w:rPr>
              <w:t>As of December 31,</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56"/>
              <w:spacing w:after="0"/>
              <w:rPr>
                <w:sz w:val="20"/>
                <w:szCs w:val="20"/>
                <w:color w:val="auto"/>
              </w:rPr>
            </w:pPr>
            <w:r>
              <w:rPr>
                <w:rFonts w:ascii="Arial" w:cs="Arial" w:eastAsia="Arial" w:hAnsi="Arial"/>
                <w:sz w:val="17"/>
                <w:szCs w:val="17"/>
                <w:b w:val="1"/>
                <w:bCs w:val="1"/>
                <w:color w:val="auto"/>
                <w:w w:val="89"/>
              </w:rPr>
              <w:t>2015</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gridSpan w:val="4"/>
          </w:tcPr>
          <w:p>
            <w:pPr>
              <w:ind w:left="120"/>
              <w:spacing w:after="0"/>
              <w:rPr>
                <w:sz w:val="20"/>
                <w:szCs w:val="20"/>
                <w:color w:val="auto"/>
              </w:rPr>
            </w:pPr>
            <w:r>
              <w:rPr>
                <w:rFonts w:ascii="Arial" w:cs="Arial" w:eastAsia="Arial" w:hAnsi="Arial"/>
                <w:sz w:val="17"/>
                <w:szCs w:val="17"/>
                <w:b w:val="1"/>
                <w:bCs w:val="1"/>
                <w:color w:val="auto"/>
              </w:rPr>
              <w:t>(in thousands)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5,733</w:t>
            </w:r>
          </w:p>
        </w:tc>
        <w:tc>
          <w:tcPr>
            <w:tcW w:w="12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5,596</w:t>
            </w:r>
          </w:p>
        </w:tc>
        <w:tc>
          <w:tcPr>
            <w:tcW w:w="3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6,744</w:t>
            </w:r>
          </w:p>
        </w:tc>
        <w:tc>
          <w:tcPr>
            <w:tcW w:w="12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14,134</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25,771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33,494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30,871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31,226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38,964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44,665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109,354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107,765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120,050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135,916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135,460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 net of current portion</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8,983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11,374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16,369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16,450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19,750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auto"/>
              </w:rPr>
              <w:t>Stockholders’ equity</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80,900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72,196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77,598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95,468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94,485</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700" w:right="180" w:hanging="395"/>
        <w:spacing w:after="0" w:line="260"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Included in the net operating loss for the year ended December 31, 2016 was $1.7 million of forensic investigation costs from the first half, a $0.7 million AHN impairment charge from the third quarter, and a $1.2 million loss on sale of AHN from the fourth quarter. The total impact of these three charges, on a pre-tax basis, was $3.6 million for the year ended December 31, 2016.</w:t>
      </w:r>
    </w:p>
    <w:p>
      <w:pPr>
        <w:spacing w:after="0" w:line="174" w:lineRule="exact"/>
        <w:rPr>
          <w:rFonts w:ascii="Arial" w:cs="Arial" w:eastAsia="Arial" w:hAnsi="Arial"/>
          <w:sz w:val="17"/>
          <w:szCs w:val="17"/>
          <w:color w:val="auto"/>
        </w:rPr>
      </w:pPr>
    </w:p>
    <w:p>
      <w:pPr>
        <w:ind w:left="700" w:hanging="395"/>
        <w:spacing w:after="0"/>
        <w:tabs>
          <w:tab w:leader="none" w:pos="70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Income tax expense for the year ended December 31, 2015 is primarily the result of the recognition of a valuation allowance on U.S. deferred tax assets.</w:t>
      </w:r>
    </w:p>
    <w:p>
      <w:pPr>
        <w:spacing w:after="0" w:line="232" w:lineRule="exact"/>
        <w:rPr>
          <w:rFonts w:ascii="Arial" w:cs="Arial" w:eastAsia="Arial" w:hAnsi="Arial"/>
          <w:sz w:val="15"/>
          <w:szCs w:val="15"/>
          <w:color w:val="auto"/>
        </w:rPr>
      </w:pPr>
    </w:p>
    <w:p>
      <w:pPr>
        <w:ind w:left="700" w:right="440" w:hanging="395"/>
        <w:spacing w:after="0" w:line="277"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September 30, 2008, we completed the sale of assets of our Union Biometrica Division including its German subsidiary, Union Biometrica GmbH, representing at that time the remaining portion of our Capital Equipment Business Segment, to UBIO Acquisition Company. The purchase price paid by UBIO Acquisition Company included an earn-out based on the revenue generated by the acquired business over a five-year post-transaction period. Discontinued operations include a gain on disposal related to the earn-out, net of tax, of $0.3 million in 2013.</w:t>
      </w:r>
    </w:p>
    <w:p>
      <w:pPr>
        <w:spacing w:after="0" w:line="162" w:lineRule="exact"/>
        <w:rPr>
          <w:rFonts w:ascii="Arial" w:cs="Arial" w:eastAsia="Arial" w:hAnsi="Arial"/>
          <w:sz w:val="16"/>
          <w:szCs w:val="16"/>
          <w:color w:val="auto"/>
        </w:rPr>
      </w:pPr>
    </w:p>
    <w:p>
      <w:pPr>
        <w:ind w:left="700" w:right="20"/>
        <w:spacing w:after="0" w:line="293" w:lineRule="auto"/>
        <w:rPr>
          <w:rFonts w:ascii="Arial" w:cs="Arial" w:eastAsia="Arial" w:hAnsi="Arial"/>
          <w:sz w:val="16"/>
          <w:szCs w:val="16"/>
          <w:color w:val="auto"/>
        </w:rPr>
      </w:pPr>
      <w:r>
        <w:rPr>
          <w:rFonts w:ascii="Arial" w:cs="Arial" w:eastAsia="Arial" w:hAnsi="Arial"/>
          <w:sz w:val="15"/>
          <w:szCs w:val="15"/>
          <w:color w:val="auto"/>
        </w:rPr>
        <w:t>On November 1, 2013, the spin-off of our RMD business from our Company was completed. Through the spin-off date the historical operations of RMD were reported as continuing operations in our consolidated statements of operations. Following the spin-off, and reported herein, the historical operations of RMD were restated and presented as discontinued operations in our consolidated statements of operations presented. Discontinued operations include the results of the RMD business except for certain corporate overhead costs and other allocations, which remain in continuing operations. The costs incurred to separate and spin-off the RMD business remain in continuing operations and have been classified and reported as transaction costs, within operating expenses, on our consolidated statements of operations. Discontinued operations include losses from operations of the RMD business, net of tax, for 2013 of $2.8 million.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10"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4"/>
          <w:szCs w:val="14"/>
          <w:b w:val="1"/>
          <w:bCs w:val="1"/>
          <w:i w:val="1"/>
          <w:iCs w:val="1"/>
          <w:color w:val="auto"/>
        </w:rPr>
        <w:t>Management’s Discussion and Analysis of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13" w:lineRule="exact"/>
        <w:rPr>
          <w:sz w:val="20"/>
          <w:szCs w:val="20"/>
          <w:color w:val="auto"/>
        </w:rPr>
      </w:pPr>
    </w:p>
    <w:p>
      <w:pPr>
        <w:ind w:right="40" w:firstLine="413"/>
        <w:spacing w:after="0" w:line="291" w:lineRule="auto"/>
        <w:rPr>
          <w:sz w:val="20"/>
          <w:szCs w:val="20"/>
          <w:color w:val="auto"/>
        </w:rPr>
      </w:pPr>
      <w:r>
        <w:rPr>
          <w:rFonts w:ascii="Arial" w:cs="Arial" w:eastAsia="Arial" w:hAnsi="Arial"/>
          <w:sz w:val="15"/>
          <w:szCs w:val="15"/>
          <w:i w:val="1"/>
          <w:iCs w:val="1"/>
          <w:color w:val="auto"/>
        </w:rPr>
        <w:t>The following section of this Annual Report on Form 10-K entitled “Management’s Discussion and Analysis of Financial Condition and Results of Operations” contains statements that are not statements of historical fact and are forward-looking statements within the meaning of federal securities laws. These statements involve known and unknown risks, uncertainties and other factors that may cause our actual results, performance or achievements to be materially different from any future results, performance or achievements expressed or implied by the forward-looking statements. These statements reflect our current views with respect to future events and are based on assumptions and subject to risks and uncertainties. Factors that may cause our actual results to differ materially from those in the forward-looking statements include those factors described in “Item 1A. Risk Factors” beginning on page 9 of this Annual Report on Form 10-K. You should carefully review all of these factors, as well as the comprehensive discussion of forward-looking statements on page 1 of this Annual Report on Form 10-K.</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3" w:lineRule="exact"/>
        <w:rPr>
          <w:sz w:val="20"/>
          <w:szCs w:val="20"/>
          <w:color w:val="auto"/>
        </w:rPr>
      </w:pPr>
    </w:p>
    <w:p>
      <w:pPr>
        <w:ind w:firstLine="413"/>
        <w:spacing w:after="0" w:line="301" w:lineRule="auto"/>
        <w:rPr>
          <w:sz w:val="20"/>
          <w:szCs w:val="20"/>
          <w:color w:val="auto"/>
        </w:rPr>
      </w:pPr>
      <w:r>
        <w:rPr>
          <w:rFonts w:ascii="Arial" w:cs="Arial" w:eastAsia="Arial" w:hAnsi="Arial"/>
          <w:sz w:val="15"/>
          <w:szCs w:val="15"/>
          <w:color w:val="auto"/>
        </w:rPr>
        <w:t>Harvard Bioscience, Inc., a Delaware corporation, is a global developer, manufacturer and marketer of a broad range of scientific instruments, systems and lab consumables used to advance life science for basic research, drug discovery, clinical and environmental testing. Our products are sold to thousands of researchers in over 100 countries through our global sales organization, websites, catalogs, and through distributors including Thermo Fisher Scientific Inc., VWR and other specialized distributors. We have sales and manufacturing operations in the United States, the United Kingdom, Germany, Sweden, Spain, France, Canada, and China.</w:t>
      </w:r>
    </w:p>
    <w:p>
      <w:pPr>
        <w:spacing w:after="0" w:line="147" w:lineRule="exact"/>
        <w:rPr>
          <w:sz w:val="20"/>
          <w:szCs w:val="20"/>
          <w:color w:val="auto"/>
        </w:rPr>
      </w:pPr>
    </w:p>
    <w:p>
      <w:pPr>
        <w:ind w:right="100" w:firstLine="413"/>
        <w:spacing w:after="0" w:line="256" w:lineRule="auto"/>
        <w:rPr>
          <w:sz w:val="20"/>
          <w:szCs w:val="20"/>
          <w:color w:val="auto"/>
        </w:rPr>
      </w:pPr>
      <w:r>
        <w:rPr>
          <w:rFonts w:ascii="Arial" w:cs="Arial" w:eastAsia="Arial" w:hAnsi="Arial"/>
          <w:sz w:val="17"/>
          <w:szCs w:val="17"/>
          <w:color w:val="auto"/>
        </w:rPr>
        <w:t>Led by President and CEO Jeffrey A. Duchemin, we have conducted a multi-year restructuring program to reduce costs, align global functions, consolidate facilities to optimize our global footprint, divest non-core businesses and to reinvest in key areas such as sales and common IT systems. As part of these efforts, we divested our AHN Biotechnologie GmbH subsidiary (AHN) in the fourth quarter of 2016 and, during the first quarter of 2018, we sold substantially all the assets of our wholly-owned subsidiary, Denville Scientific, Inc. (Denville).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are also pursuing a strategy to grow the business through strategic, accretive acquisitions, including four acquisitions since the fourth quarter of 2014.</w:t>
      </w:r>
    </w:p>
    <w:p>
      <w:pPr>
        <w:spacing w:after="0" w:line="221" w:lineRule="exact"/>
        <w:rPr>
          <w:sz w:val="20"/>
          <w:szCs w:val="20"/>
          <w:color w:val="auto"/>
        </w:rPr>
      </w:pPr>
    </w:p>
    <w:p>
      <w:pPr>
        <w:ind w:right="120" w:firstLine="456"/>
        <w:spacing w:after="0" w:line="301" w:lineRule="auto"/>
        <w:rPr>
          <w:sz w:val="20"/>
          <w:szCs w:val="20"/>
          <w:color w:val="auto"/>
        </w:rPr>
      </w:pPr>
      <w:r>
        <w:rPr>
          <w:rFonts w:ascii="Arial" w:cs="Arial" w:eastAsia="Arial" w:hAnsi="Arial"/>
          <w:sz w:val="15"/>
          <w:szCs w:val="15"/>
          <w:color w:val="auto"/>
        </w:rPr>
        <w:t>Most recently, in January 2018, we acquired Data Sciences International, Inc. (DSI) for approximately $70.0 million. DSI, a St. Paul, Minnesota-based life science research company, is a recognized leader in physiologic monitoring focused on delivering preclinical products, systems, services and solutions to its customers. Its customers include pharmaceutical and biotechnology companies, as well as contract research organizations, academic labs and government researchers. This acquisition diversifies our customer base into the biopharmaceutical and contract research organization markets and offers revenue and cost synergies.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13" w:lineRule="exact"/>
        <w:rPr>
          <w:sz w:val="20"/>
          <w:szCs w:val="20"/>
          <w:color w:val="auto"/>
        </w:rPr>
      </w:pPr>
    </w:p>
    <w:p>
      <w:pPr>
        <w:ind w:right="140" w:firstLine="413"/>
        <w:spacing w:after="0" w:line="260" w:lineRule="auto"/>
        <w:rPr>
          <w:sz w:val="20"/>
          <w:szCs w:val="20"/>
          <w:color w:val="auto"/>
        </w:rPr>
      </w:pPr>
      <w:r>
        <w:rPr>
          <w:rFonts w:ascii="Arial" w:cs="Arial" w:eastAsia="Arial" w:hAnsi="Arial"/>
          <w:sz w:val="17"/>
          <w:szCs w:val="17"/>
          <w:color w:val="auto"/>
        </w:rPr>
        <w:t>Our vision is to be a world leading life science company that excels in meeting the needs of our customers by providing a wide breath of innovative products and solutions, while providing exemplary customer service. Our business strategy is to grow our top-line and bottom-line, and build shareholder value through a commitment to:</w:t>
      </w:r>
    </w:p>
    <w:p>
      <w:pPr>
        <w:spacing w:after="0" w:line="174" w:lineRule="exact"/>
        <w:rPr>
          <w:sz w:val="20"/>
          <w:szCs w:val="20"/>
          <w:color w:val="auto"/>
        </w:rPr>
      </w:pPr>
    </w:p>
    <w:p>
      <w:pPr>
        <w:ind w:left="700" w:hanging="294"/>
        <w:spacing w:after="0"/>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commercial excellence;</w:t>
      </w:r>
    </w:p>
    <w:p>
      <w:pPr>
        <w:spacing w:after="0" w:line="209" w:lineRule="exact"/>
        <w:rPr>
          <w:rFonts w:ascii="Arial" w:cs="Arial" w:eastAsia="Arial" w:hAnsi="Arial"/>
          <w:sz w:val="17"/>
          <w:szCs w:val="17"/>
          <w:color w:val="auto"/>
        </w:rPr>
      </w:pPr>
    </w:p>
    <w:p>
      <w:pPr>
        <w:ind w:left="700" w:hanging="294"/>
        <w:spacing w:after="0"/>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new product development;</w:t>
      </w:r>
    </w:p>
    <w:p>
      <w:pPr>
        <w:spacing w:after="0" w:line="209" w:lineRule="exact"/>
        <w:rPr>
          <w:rFonts w:ascii="Arial" w:cs="Arial" w:eastAsia="Arial" w:hAnsi="Arial"/>
          <w:sz w:val="17"/>
          <w:szCs w:val="17"/>
          <w:color w:val="auto"/>
        </w:rPr>
      </w:pPr>
    </w:p>
    <w:p>
      <w:pPr>
        <w:ind w:left="700" w:hanging="294"/>
        <w:spacing w:after="0"/>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strategic acquisitions; and</w:t>
      </w:r>
    </w:p>
    <w:p>
      <w:pPr>
        <w:spacing w:after="0" w:line="209" w:lineRule="exact"/>
        <w:rPr>
          <w:rFonts w:ascii="Arial" w:cs="Arial" w:eastAsia="Arial" w:hAnsi="Arial"/>
          <w:sz w:val="17"/>
          <w:szCs w:val="17"/>
          <w:color w:val="auto"/>
        </w:rPr>
      </w:pPr>
    </w:p>
    <w:p>
      <w:pPr>
        <w:ind w:left="700" w:hanging="294"/>
        <w:spacing w:after="0"/>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operational efficiencies.</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the table below, we provide an overview of selected operating metrics.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jc w:val="right"/>
              <w:ind w:right="456"/>
              <w:spacing w:after="0"/>
              <w:rPr>
                <w:sz w:val="20"/>
                <w:szCs w:val="20"/>
                <w:color w:val="auto"/>
              </w:rPr>
            </w:pPr>
            <w:r>
              <w:rPr>
                <w:rFonts w:ascii="Arial" w:cs="Arial" w:eastAsia="Arial" w:hAnsi="Arial"/>
                <w:sz w:val="17"/>
                <w:szCs w:val="17"/>
                <w:b w:val="1"/>
                <w:bCs w:val="1"/>
                <w:color w:val="auto"/>
              </w:rPr>
              <w:t>% of</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jc w:val="right"/>
              <w:ind w:right="456"/>
              <w:spacing w:after="0"/>
              <w:rPr>
                <w:sz w:val="20"/>
                <w:szCs w:val="20"/>
                <w:color w:val="auto"/>
              </w:rPr>
            </w:pPr>
            <w:r>
              <w:rPr>
                <w:rFonts w:ascii="Arial" w:cs="Arial" w:eastAsia="Arial" w:hAnsi="Arial"/>
                <w:sz w:val="17"/>
                <w:szCs w:val="17"/>
                <w:b w:val="1"/>
                <w:bCs w:val="1"/>
                <w:color w:val="auto"/>
              </w:rPr>
              <w:t>% of</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 of</w:t>
            </w:r>
          </w:p>
        </w:tc>
      </w:tr>
      <w:tr>
        <w:trPr>
          <w:trHeight w:val="219"/>
        </w:trPr>
        <w:tc>
          <w:tcPr>
            <w:tcW w:w="3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456"/>
              <w:spacing w:after="0"/>
              <w:rPr>
                <w:sz w:val="20"/>
                <w:szCs w:val="20"/>
                <w:color w:val="auto"/>
              </w:rPr>
            </w:pPr>
            <w:r>
              <w:rPr>
                <w:rFonts w:ascii="Arial" w:cs="Arial" w:eastAsia="Arial" w:hAnsi="Arial"/>
                <w:sz w:val="17"/>
                <w:szCs w:val="17"/>
                <w:b w:val="1"/>
                <w:bCs w:val="1"/>
                <w:color w:val="auto"/>
              </w:rPr>
              <w:t>2017</w:t>
            </w:r>
          </w:p>
        </w:tc>
        <w:tc>
          <w:tcPr>
            <w:tcW w:w="1260" w:type="dxa"/>
            <w:vAlign w:val="bottom"/>
          </w:tcPr>
          <w:p>
            <w:pPr>
              <w:jc w:val="right"/>
              <w:ind w:right="296"/>
              <w:spacing w:after="0"/>
              <w:rPr>
                <w:sz w:val="20"/>
                <w:szCs w:val="20"/>
                <w:color w:val="auto"/>
              </w:rPr>
            </w:pPr>
            <w:r>
              <w:rPr>
                <w:rFonts w:ascii="Arial" w:cs="Arial" w:eastAsia="Arial" w:hAnsi="Arial"/>
                <w:sz w:val="17"/>
                <w:szCs w:val="17"/>
                <w:b w:val="1"/>
                <w:bCs w:val="1"/>
                <w:color w:val="auto"/>
              </w:rPr>
              <w:t>Revenues</w:t>
            </w:r>
          </w:p>
        </w:tc>
        <w:tc>
          <w:tcPr>
            <w:tcW w:w="260" w:type="dxa"/>
            <w:vAlign w:val="bottom"/>
          </w:tcPr>
          <w:p>
            <w:pPr>
              <w:spacing w:after="0"/>
              <w:rPr>
                <w:sz w:val="19"/>
                <w:szCs w:val="19"/>
                <w:color w:val="auto"/>
              </w:rPr>
            </w:pPr>
          </w:p>
        </w:tc>
        <w:tc>
          <w:tcPr>
            <w:tcW w:w="1040" w:type="dxa"/>
            <w:vAlign w:val="bottom"/>
          </w:tcPr>
          <w:p>
            <w:pPr>
              <w:jc w:val="right"/>
              <w:ind w:right="476"/>
              <w:spacing w:after="0"/>
              <w:rPr>
                <w:sz w:val="20"/>
                <w:szCs w:val="20"/>
                <w:color w:val="auto"/>
              </w:rPr>
            </w:pPr>
            <w:r>
              <w:rPr>
                <w:rFonts w:ascii="Arial" w:cs="Arial" w:eastAsia="Arial" w:hAnsi="Arial"/>
                <w:sz w:val="17"/>
                <w:szCs w:val="17"/>
                <w:b w:val="1"/>
                <w:bCs w:val="1"/>
                <w:color w:val="auto"/>
              </w:rPr>
              <w:t>2016</w:t>
            </w:r>
          </w:p>
        </w:tc>
        <w:tc>
          <w:tcPr>
            <w:tcW w:w="1240" w:type="dxa"/>
            <w:vAlign w:val="bottom"/>
          </w:tcPr>
          <w:p>
            <w:pPr>
              <w:jc w:val="right"/>
              <w:ind w:right="296"/>
              <w:spacing w:after="0"/>
              <w:rPr>
                <w:sz w:val="20"/>
                <w:szCs w:val="20"/>
                <w:color w:val="auto"/>
              </w:rPr>
            </w:pPr>
            <w:r>
              <w:rPr>
                <w:rFonts w:ascii="Arial" w:cs="Arial" w:eastAsia="Arial" w:hAnsi="Arial"/>
                <w:sz w:val="17"/>
                <w:szCs w:val="17"/>
                <w:b w:val="1"/>
                <w:bCs w:val="1"/>
                <w:color w:val="auto"/>
              </w:rPr>
              <w:t>Revenues</w:t>
            </w:r>
          </w:p>
        </w:tc>
        <w:tc>
          <w:tcPr>
            <w:tcW w:w="280" w:type="dxa"/>
            <w:vAlign w:val="bottom"/>
          </w:tcPr>
          <w:p>
            <w:pPr>
              <w:spacing w:after="0"/>
              <w:rPr>
                <w:sz w:val="19"/>
                <w:szCs w:val="19"/>
                <w:color w:val="auto"/>
              </w:rPr>
            </w:pPr>
          </w:p>
        </w:tc>
        <w:tc>
          <w:tcPr>
            <w:tcW w:w="1000" w:type="dxa"/>
            <w:vAlign w:val="bottom"/>
          </w:tcPr>
          <w:p>
            <w:pPr>
              <w:jc w:val="right"/>
              <w:ind w:right="456"/>
              <w:spacing w:after="0"/>
              <w:rPr>
                <w:sz w:val="20"/>
                <w:szCs w:val="20"/>
                <w:color w:val="auto"/>
              </w:rPr>
            </w:pPr>
            <w:r>
              <w:rPr>
                <w:rFonts w:ascii="Arial" w:cs="Arial" w:eastAsia="Arial" w:hAnsi="Arial"/>
                <w:sz w:val="17"/>
                <w:szCs w:val="17"/>
                <w:b w:val="1"/>
                <w:bCs w:val="1"/>
                <w:color w:val="auto"/>
              </w:rPr>
              <w:t>2015</w:t>
            </w:r>
          </w:p>
        </w:tc>
        <w:tc>
          <w:tcPr>
            <w:tcW w:w="12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Revenues</w:t>
            </w:r>
          </w:p>
        </w:tc>
      </w:tr>
      <w:tr>
        <w:trPr>
          <w:trHeight w:val="195"/>
        </w:trPr>
        <w:tc>
          <w:tcPr>
            <w:tcW w:w="39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gridSpan w:val="2"/>
          </w:tcPr>
          <w:p>
            <w:pPr>
              <w:jc w:val="right"/>
              <w:ind w:right="536"/>
              <w:spacing w:after="0"/>
              <w:rPr>
                <w:sz w:val="20"/>
                <w:szCs w:val="20"/>
                <w:color w:val="auto"/>
              </w:rPr>
            </w:pPr>
            <w:r>
              <w:rPr>
                <w:rFonts w:ascii="Arial" w:cs="Arial" w:eastAsia="Arial" w:hAnsi="Arial"/>
                <w:sz w:val="17"/>
                <w:szCs w:val="17"/>
                <w:color w:val="auto"/>
              </w:rPr>
              <w:t>(dollars in thousands)</w:t>
            </w: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02"/>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101,882</w:t>
            </w: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104,521</w:t>
            </w: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108,664</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2"/>
        </w:trPr>
        <w:tc>
          <w:tcPr>
            <w:tcW w:w="3920" w:type="dxa"/>
            <w:vAlign w:val="bottom"/>
          </w:tcPr>
          <w:p>
            <w:pPr>
              <w:spacing w:after="0"/>
              <w:rPr>
                <w:sz w:val="20"/>
                <w:szCs w:val="20"/>
                <w:color w:val="auto"/>
              </w:rPr>
            </w:pPr>
            <w:r>
              <w:rPr>
                <w:rFonts w:ascii="Arial" w:cs="Arial" w:eastAsia="Arial" w:hAnsi="Arial"/>
                <w:sz w:val="17"/>
                <w:szCs w:val="17"/>
                <w:color w:val="auto"/>
              </w:rPr>
              <w:t>Cost of revenues</w:t>
            </w:r>
          </w:p>
        </w:tc>
        <w:tc>
          <w:tcPr>
            <w:tcW w:w="200" w:type="dxa"/>
            <w:vAlign w:val="bottom"/>
          </w:tcPr>
          <w:p>
            <w:pPr>
              <w:spacing w:after="0"/>
              <w:rPr>
                <w:sz w:val="17"/>
                <w:szCs w:val="17"/>
                <w:color w:val="auto"/>
              </w:rPr>
            </w:pPr>
          </w:p>
        </w:tc>
        <w:tc>
          <w:tcPr>
            <w:tcW w:w="1020" w:type="dxa"/>
            <w:vAlign w:val="bottom"/>
          </w:tcPr>
          <w:p>
            <w:pPr>
              <w:jc w:val="right"/>
              <w:ind w:right="116"/>
              <w:spacing w:after="0"/>
              <w:rPr>
                <w:sz w:val="20"/>
                <w:szCs w:val="20"/>
                <w:color w:val="auto"/>
              </w:rPr>
            </w:pPr>
            <w:r>
              <w:rPr>
                <w:rFonts w:ascii="Arial" w:cs="Arial" w:eastAsia="Arial" w:hAnsi="Arial"/>
                <w:sz w:val="17"/>
                <w:szCs w:val="17"/>
                <w:color w:val="auto"/>
              </w:rPr>
              <w:t>54,285</w:t>
            </w:r>
          </w:p>
        </w:tc>
        <w:tc>
          <w:tcPr>
            <w:tcW w:w="1260" w:type="dxa"/>
            <w:vAlign w:val="bottom"/>
          </w:tcPr>
          <w:p>
            <w:pPr>
              <w:jc w:val="right"/>
              <w:spacing w:after="0"/>
              <w:rPr>
                <w:sz w:val="20"/>
                <w:szCs w:val="20"/>
                <w:color w:val="auto"/>
              </w:rPr>
            </w:pPr>
            <w:r>
              <w:rPr>
                <w:rFonts w:ascii="Arial" w:cs="Arial" w:eastAsia="Arial" w:hAnsi="Arial"/>
                <w:sz w:val="17"/>
                <w:szCs w:val="17"/>
                <w:color w:val="auto"/>
              </w:rPr>
              <w:t>53.3%</w:t>
            </w:r>
          </w:p>
        </w:tc>
        <w:tc>
          <w:tcPr>
            <w:tcW w:w="260" w:type="dxa"/>
            <w:vAlign w:val="bottom"/>
          </w:tcPr>
          <w:p>
            <w:pPr>
              <w:spacing w:after="0"/>
              <w:rPr>
                <w:sz w:val="17"/>
                <w:szCs w:val="17"/>
                <w:color w:val="auto"/>
              </w:rPr>
            </w:pPr>
          </w:p>
        </w:tc>
        <w:tc>
          <w:tcPr>
            <w:tcW w:w="1040" w:type="dxa"/>
            <w:vAlign w:val="bottom"/>
          </w:tcPr>
          <w:p>
            <w:pPr>
              <w:jc w:val="right"/>
              <w:ind w:right="136"/>
              <w:spacing w:after="0"/>
              <w:rPr>
                <w:sz w:val="20"/>
                <w:szCs w:val="20"/>
                <w:color w:val="auto"/>
              </w:rPr>
            </w:pPr>
            <w:r>
              <w:rPr>
                <w:rFonts w:ascii="Arial" w:cs="Arial" w:eastAsia="Arial" w:hAnsi="Arial"/>
                <w:sz w:val="17"/>
                <w:szCs w:val="17"/>
                <w:color w:val="auto"/>
              </w:rPr>
              <w:t>56,106</w:t>
            </w:r>
          </w:p>
        </w:tc>
        <w:tc>
          <w:tcPr>
            <w:tcW w:w="1240" w:type="dxa"/>
            <w:vAlign w:val="bottom"/>
          </w:tcPr>
          <w:p>
            <w:pPr>
              <w:jc w:val="right"/>
              <w:spacing w:after="0"/>
              <w:rPr>
                <w:sz w:val="20"/>
                <w:szCs w:val="20"/>
                <w:color w:val="auto"/>
              </w:rPr>
            </w:pPr>
            <w:r>
              <w:rPr>
                <w:rFonts w:ascii="Arial" w:cs="Arial" w:eastAsia="Arial" w:hAnsi="Arial"/>
                <w:sz w:val="17"/>
                <w:szCs w:val="17"/>
                <w:color w:val="auto"/>
              </w:rPr>
              <w:t>53.7%</w:t>
            </w:r>
          </w:p>
        </w:tc>
        <w:tc>
          <w:tcPr>
            <w:tcW w:w="280" w:type="dxa"/>
            <w:vAlign w:val="bottom"/>
          </w:tcPr>
          <w:p>
            <w:pPr>
              <w:spacing w:after="0"/>
              <w:rPr>
                <w:sz w:val="17"/>
                <w:szCs w:val="17"/>
                <w:color w:val="auto"/>
              </w:rPr>
            </w:pPr>
          </w:p>
        </w:tc>
        <w:tc>
          <w:tcPr>
            <w:tcW w:w="1000" w:type="dxa"/>
            <w:vAlign w:val="bottom"/>
          </w:tcPr>
          <w:p>
            <w:pPr>
              <w:jc w:val="right"/>
              <w:ind w:right="116"/>
              <w:spacing w:after="0"/>
              <w:rPr>
                <w:sz w:val="20"/>
                <w:szCs w:val="20"/>
                <w:color w:val="auto"/>
              </w:rPr>
            </w:pPr>
            <w:r>
              <w:rPr>
                <w:rFonts w:ascii="Arial" w:cs="Arial" w:eastAsia="Arial" w:hAnsi="Arial"/>
                <w:sz w:val="17"/>
                <w:szCs w:val="17"/>
                <w:color w:val="auto"/>
              </w:rPr>
              <w:t>59,941</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55.2%</w:t>
            </w:r>
          </w:p>
        </w:tc>
      </w:tr>
      <w:tr>
        <w:trPr>
          <w:trHeight w:val="202"/>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 expenses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21,036</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20,486</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20,577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18.9%</w:t>
            </w:r>
          </w:p>
        </w:tc>
      </w:tr>
      <w:tr>
        <w:trPr>
          <w:trHeight w:val="202"/>
        </w:trPr>
        <w:tc>
          <w:tcPr>
            <w:tcW w:w="392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200" w:type="dxa"/>
            <w:vAlign w:val="bottom"/>
          </w:tcPr>
          <w:p>
            <w:pPr>
              <w:spacing w:after="0"/>
              <w:rPr>
                <w:sz w:val="17"/>
                <w:szCs w:val="17"/>
                <w:color w:val="auto"/>
              </w:rPr>
            </w:pPr>
          </w:p>
        </w:tc>
        <w:tc>
          <w:tcPr>
            <w:tcW w:w="1020" w:type="dxa"/>
            <w:vAlign w:val="bottom"/>
          </w:tcPr>
          <w:p>
            <w:pPr>
              <w:jc w:val="right"/>
              <w:ind w:right="116"/>
              <w:spacing w:after="0"/>
              <w:rPr>
                <w:sz w:val="20"/>
                <w:szCs w:val="20"/>
                <w:color w:val="auto"/>
              </w:rPr>
            </w:pPr>
            <w:r>
              <w:rPr>
                <w:rFonts w:ascii="Arial" w:cs="Arial" w:eastAsia="Arial" w:hAnsi="Arial"/>
                <w:sz w:val="17"/>
                <w:szCs w:val="17"/>
                <w:color w:val="auto"/>
              </w:rPr>
              <w:t>18,575</w:t>
            </w:r>
          </w:p>
        </w:tc>
        <w:tc>
          <w:tcPr>
            <w:tcW w:w="1260" w:type="dxa"/>
            <w:vAlign w:val="bottom"/>
          </w:tcPr>
          <w:p>
            <w:pPr>
              <w:jc w:val="right"/>
              <w:spacing w:after="0"/>
              <w:rPr>
                <w:sz w:val="20"/>
                <w:szCs w:val="20"/>
                <w:color w:val="auto"/>
              </w:rPr>
            </w:pPr>
            <w:r>
              <w:rPr>
                <w:rFonts w:ascii="Arial" w:cs="Arial" w:eastAsia="Arial" w:hAnsi="Arial"/>
                <w:sz w:val="17"/>
                <w:szCs w:val="17"/>
                <w:color w:val="auto"/>
              </w:rPr>
              <w:t>18.2%</w:t>
            </w:r>
          </w:p>
        </w:tc>
        <w:tc>
          <w:tcPr>
            <w:tcW w:w="260" w:type="dxa"/>
            <w:vAlign w:val="bottom"/>
          </w:tcPr>
          <w:p>
            <w:pPr>
              <w:spacing w:after="0"/>
              <w:rPr>
                <w:sz w:val="17"/>
                <w:szCs w:val="17"/>
                <w:color w:val="auto"/>
              </w:rPr>
            </w:pPr>
          </w:p>
        </w:tc>
        <w:tc>
          <w:tcPr>
            <w:tcW w:w="1040" w:type="dxa"/>
            <w:vAlign w:val="bottom"/>
          </w:tcPr>
          <w:p>
            <w:pPr>
              <w:jc w:val="right"/>
              <w:ind w:right="136"/>
              <w:spacing w:after="0"/>
              <w:rPr>
                <w:sz w:val="20"/>
                <w:szCs w:val="20"/>
                <w:color w:val="auto"/>
              </w:rPr>
            </w:pPr>
            <w:r>
              <w:rPr>
                <w:rFonts w:ascii="Arial" w:cs="Arial" w:eastAsia="Arial" w:hAnsi="Arial"/>
                <w:sz w:val="17"/>
                <w:szCs w:val="17"/>
                <w:color w:val="auto"/>
              </w:rPr>
              <w:t>20,950</w:t>
            </w:r>
          </w:p>
        </w:tc>
        <w:tc>
          <w:tcPr>
            <w:tcW w:w="1240" w:type="dxa"/>
            <w:vAlign w:val="bottom"/>
          </w:tcPr>
          <w:p>
            <w:pPr>
              <w:jc w:val="right"/>
              <w:spacing w:after="0"/>
              <w:rPr>
                <w:sz w:val="20"/>
                <w:szCs w:val="20"/>
                <w:color w:val="auto"/>
              </w:rPr>
            </w:pPr>
            <w:r>
              <w:rPr>
                <w:rFonts w:ascii="Arial" w:cs="Arial" w:eastAsia="Arial" w:hAnsi="Arial"/>
                <w:sz w:val="17"/>
                <w:szCs w:val="17"/>
                <w:color w:val="auto"/>
              </w:rPr>
              <w:t>20.0%</w:t>
            </w:r>
          </w:p>
        </w:tc>
        <w:tc>
          <w:tcPr>
            <w:tcW w:w="280" w:type="dxa"/>
            <w:vAlign w:val="bottom"/>
          </w:tcPr>
          <w:p>
            <w:pPr>
              <w:spacing w:after="0"/>
              <w:rPr>
                <w:sz w:val="17"/>
                <w:szCs w:val="17"/>
                <w:color w:val="auto"/>
              </w:rPr>
            </w:pPr>
          </w:p>
        </w:tc>
        <w:tc>
          <w:tcPr>
            <w:tcW w:w="1000" w:type="dxa"/>
            <w:vAlign w:val="bottom"/>
          </w:tcPr>
          <w:p>
            <w:pPr>
              <w:jc w:val="right"/>
              <w:ind w:right="116"/>
              <w:spacing w:after="0"/>
              <w:rPr>
                <w:sz w:val="20"/>
                <w:szCs w:val="20"/>
                <w:color w:val="auto"/>
              </w:rPr>
            </w:pPr>
            <w:r>
              <w:rPr>
                <w:rFonts w:ascii="Arial" w:cs="Arial" w:eastAsia="Arial" w:hAnsi="Arial"/>
                <w:sz w:val="17"/>
                <w:szCs w:val="17"/>
                <w:color w:val="auto"/>
              </w:rPr>
              <w:t>19,832</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18.3%</w:t>
            </w:r>
          </w:p>
        </w:tc>
      </w:tr>
      <w:tr>
        <w:trPr>
          <w:trHeight w:val="202"/>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expenses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5,645</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5,392</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6,420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02"/>
        </w:trPr>
        <w:tc>
          <w:tcPr>
            <w:tcW w:w="3920" w:type="dxa"/>
            <w:vAlign w:val="bottom"/>
          </w:tcPr>
          <w:p>
            <w:pPr>
              <w:spacing w:after="0"/>
              <w:rPr>
                <w:sz w:val="20"/>
                <w:szCs w:val="20"/>
                <w:color w:val="auto"/>
              </w:rPr>
            </w:pPr>
            <w:r>
              <w:rPr>
                <w:rFonts w:ascii="Arial" w:cs="Arial" w:eastAsia="Arial" w:hAnsi="Arial"/>
                <w:sz w:val="17"/>
                <w:szCs w:val="17"/>
                <w:color w:val="auto"/>
              </w:rPr>
              <w:t>Restructuring (credits) charges</w:t>
            </w:r>
          </w:p>
        </w:tc>
        <w:tc>
          <w:tcPr>
            <w:tcW w:w="200" w:type="dxa"/>
            <w:vAlign w:val="bottom"/>
          </w:tcPr>
          <w:p>
            <w:pPr>
              <w:spacing w:after="0"/>
              <w:rPr>
                <w:sz w:val="17"/>
                <w:szCs w:val="17"/>
                <w:color w:val="auto"/>
              </w:rPr>
            </w:pPr>
          </w:p>
        </w:tc>
        <w:tc>
          <w:tcPr>
            <w:tcW w:w="10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0.0%</w:t>
            </w:r>
          </w:p>
        </w:tc>
        <w:tc>
          <w:tcPr>
            <w:tcW w:w="260" w:type="dxa"/>
            <w:vAlign w:val="bottom"/>
          </w:tcPr>
          <w:p>
            <w:pPr>
              <w:spacing w:after="0"/>
              <w:rPr>
                <w:sz w:val="17"/>
                <w:szCs w:val="17"/>
                <w:color w:val="auto"/>
              </w:rPr>
            </w:pPr>
          </w:p>
        </w:tc>
        <w:tc>
          <w:tcPr>
            <w:tcW w:w="1040" w:type="dxa"/>
            <w:vAlign w:val="bottom"/>
          </w:tcPr>
          <w:p>
            <w:pPr>
              <w:jc w:val="right"/>
              <w:ind w:right="76"/>
              <w:spacing w:after="0"/>
              <w:rPr>
                <w:sz w:val="20"/>
                <w:szCs w:val="20"/>
                <w:color w:val="auto"/>
              </w:rPr>
            </w:pPr>
            <w:r>
              <w:rPr>
                <w:rFonts w:ascii="Arial" w:cs="Arial" w:eastAsia="Arial" w:hAnsi="Arial"/>
                <w:sz w:val="17"/>
                <w:szCs w:val="17"/>
                <w:color w:val="auto"/>
              </w:rPr>
              <w:t>(4)</w:t>
            </w:r>
          </w:p>
        </w:tc>
        <w:tc>
          <w:tcPr>
            <w:tcW w:w="1240" w:type="dxa"/>
            <w:vAlign w:val="bottom"/>
          </w:tcPr>
          <w:p>
            <w:pPr>
              <w:jc w:val="right"/>
              <w:spacing w:after="0"/>
              <w:rPr>
                <w:sz w:val="20"/>
                <w:szCs w:val="20"/>
                <w:color w:val="auto"/>
              </w:rPr>
            </w:pPr>
            <w:r>
              <w:rPr>
                <w:rFonts w:ascii="Arial" w:cs="Arial" w:eastAsia="Arial" w:hAnsi="Arial"/>
                <w:sz w:val="17"/>
                <w:szCs w:val="17"/>
                <w:color w:val="auto"/>
              </w:rPr>
              <w:t>0.0%</w:t>
            </w:r>
          </w:p>
        </w:tc>
        <w:tc>
          <w:tcPr>
            <w:tcW w:w="280" w:type="dxa"/>
            <w:vAlign w:val="bottom"/>
          </w:tcPr>
          <w:p>
            <w:pPr>
              <w:spacing w:after="0"/>
              <w:rPr>
                <w:sz w:val="17"/>
                <w:szCs w:val="17"/>
                <w:color w:val="auto"/>
              </w:rPr>
            </w:pPr>
          </w:p>
        </w:tc>
        <w:tc>
          <w:tcPr>
            <w:tcW w:w="1000" w:type="dxa"/>
            <w:vAlign w:val="bottom"/>
          </w:tcPr>
          <w:p>
            <w:pPr>
              <w:jc w:val="right"/>
              <w:ind w:right="116"/>
              <w:spacing w:after="0"/>
              <w:rPr>
                <w:sz w:val="20"/>
                <w:szCs w:val="20"/>
                <w:color w:val="auto"/>
              </w:rPr>
            </w:pPr>
            <w:r>
              <w:rPr>
                <w:rFonts w:ascii="Arial" w:cs="Arial" w:eastAsia="Arial" w:hAnsi="Arial"/>
                <w:sz w:val="17"/>
                <w:szCs w:val="17"/>
                <w:color w:val="auto"/>
              </w:rPr>
              <w:t>788</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0.7%</w:t>
            </w:r>
          </w:p>
        </w:tc>
      </w:tr>
      <w:tr>
        <w:trPr>
          <w:trHeight w:val="202"/>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intangible assets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2,442</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2,722</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2,819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02"/>
        </w:trPr>
        <w:tc>
          <w:tcPr>
            <w:tcW w:w="3920" w:type="dxa"/>
            <w:vAlign w:val="bottom"/>
          </w:tcPr>
          <w:p>
            <w:pPr>
              <w:spacing w:after="0"/>
              <w:rPr>
                <w:sz w:val="20"/>
                <w:szCs w:val="20"/>
                <w:color w:val="auto"/>
              </w:rPr>
            </w:pPr>
            <w:r>
              <w:rPr>
                <w:rFonts w:ascii="Arial" w:cs="Arial" w:eastAsia="Arial" w:hAnsi="Arial"/>
                <w:sz w:val="17"/>
                <w:szCs w:val="17"/>
                <w:color w:val="auto"/>
              </w:rPr>
              <w:t>Impairment charges</w:t>
            </w:r>
          </w:p>
        </w:tc>
        <w:tc>
          <w:tcPr>
            <w:tcW w:w="200" w:type="dxa"/>
            <w:vAlign w:val="bottom"/>
          </w:tcPr>
          <w:p>
            <w:pPr>
              <w:spacing w:after="0"/>
              <w:rPr>
                <w:sz w:val="17"/>
                <w:szCs w:val="17"/>
                <w:color w:val="auto"/>
              </w:rPr>
            </w:pPr>
          </w:p>
        </w:tc>
        <w:tc>
          <w:tcPr>
            <w:tcW w:w="10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0.0%</w:t>
            </w:r>
          </w:p>
        </w:tc>
        <w:tc>
          <w:tcPr>
            <w:tcW w:w="260" w:type="dxa"/>
            <w:vAlign w:val="bottom"/>
          </w:tcPr>
          <w:p>
            <w:pPr>
              <w:spacing w:after="0"/>
              <w:rPr>
                <w:sz w:val="17"/>
                <w:szCs w:val="17"/>
                <w:color w:val="auto"/>
              </w:rPr>
            </w:pPr>
          </w:p>
        </w:tc>
        <w:tc>
          <w:tcPr>
            <w:tcW w:w="1040" w:type="dxa"/>
            <w:vAlign w:val="bottom"/>
          </w:tcPr>
          <w:p>
            <w:pPr>
              <w:jc w:val="right"/>
              <w:ind w:right="136"/>
              <w:spacing w:after="0"/>
              <w:rPr>
                <w:sz w:val="20"/>
                <w:szCs w:val="20"/>
                <w:color w:val="auto"/>
              </w:rPr>
            </w:pPr>
            <w:r>
              <w:rPr>
                <w:rFonts w:ascii="Arial" w:cs="Arial" w:eastAsia="Arial" w:hAnsi="Arial"/>
                <w:sz w:val="17"/>
                <w:szCs w:val="17"/>
                <w:color w:val="auto"/>
              </w:rPr>
              <w:t>676</w:t>
            </w:r>
          </w:p>
        </w:tc>
        <w:tc>
          <w:tcPr>
            <w:tcW w:w="1240" w:type="dxa"/>
            <w:vAlign w:val="bottom"/>
          </w:tcPr>
          <w:p>
            <w:pPr>
              <w:jc w:val="right"/>
              <w:spacing w:after="0"/>
              <w:rPr>
                <w:sz w:val="20"/>
                <w:szCs w:val="20"/>
                <w:color w:val="auto"/>
              </w:rPr>
            </w:pPr>
            <w:r>
              <w:rPr>
                <w:rFonts w:ascii="Arial" w:cs="Arial" w:eastAsia="Arial" w:hAnsi="Arial"/>
                <w:sz w:val="17"/>
                <w:szCs w:val="17"/>
                <w:color w:val="auto"/>
              </w:rPr>
              <w:t>0.6%</w:t>
            </w:r>
          </w:p>
        </w:tc>
        <w:tc>
          <w:tcPr>
            <w:tcW w:w="280" w:type="dxa"/>
            <w:vAlign w:val="bottom"/>
          </w:tcPr>
          <w:p>
            <w:pPr>
              <w:spacing w:after="0"/>
              <w:rPr>
                <w:sz w:val="17"/>
                <w:szCs w:val="17"/>
                <w:color w:val="auto"/>
              </w:rPr>
            </w:pPr>
          </w:p>
        </w:tc>
        <w:tc>
          <w:tcPr>
            <w:tcW w:w="100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0.0%</w:t>
            </w:r>
          </w:p>
        </w:tc>
      </w:tr>
      <w:tr>
        <w:trPr>
          <w:trHeight w:val="202"/>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Loss on sale of AHN</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1,190</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Operating Income</w:t>
      </w:r>
    </w:p>
    <w:p>
      <w:pPr>
        <w:spacing w:after="0" w:line="213" w:lineRule="exact"/>
        <w:rPr>
          <w:sz w:val="20"/>
          <w:szCs w:val="20"/>
          <w:color w:val="auto"/>
        </w:rPr>
      </w:pPr>
    </w:p>
    <w:p>
      <w:pPr>
        <w:ind w:firstLine="456"/>
        <w:spacing w:after="0" w:line="27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We generate revenues by selling apparatus, instruments, devices and consumables through our distributors, direct sales force, websites and catalogs.</w:t>
      </w:r>
      <w:r>
        <w:rPr>
          <w:rFonts w:ascii="Arial" w:cs="Arial" w:eastAsia="Arial" w:hAnsi="Arial"/>
          <w:sz w:val="16"/>
          <w:szCs w:val="16"/>
          <w:i w:val="1"/>
          <w:iCs w:val="1"/>
          <w:color w:val="auto"/>
        </w:rPr>
        <w:t xml:space="preserve"> </w:t>
      </w:r>
      <w:r>
        <w:rPr>
          <w:rFonts w:ascii="Arial" w:cs="Arial" w:eastAsia="Arial" w:hAnsi="Arial"/>
          <w:sz w:val="16"/>
          <w:szCs w:val="16"/>
          <w:color w:val="auto"/>
        </w:rPr>
        <w:t>Our websites and catalogs serve as the primary sales tools for our various product lines. These product lines include both proprietary manufactured products and complementary products from various suppliers. Our reputation as a leading producer in many of our manufactured products creates traffic to our website, enables cross-selling and facilitates the introduction of new products. We have field sales teams in the U.S., Canada, the United Kingdom, Germany, France, Spain and China. In those regions where we do not have a direct sales team, we use distributors. Revenues from direct sales to end users represented approximately 65%, 64% and 63% of our revenues for the years ended December 31, 2017, 2016 and 2015, respectively.</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7"/>
          <w:szCs w:val="17"/>
          <w:color w:val="auto"/>
        </w:rPr>
        <w:t>Our products consist of instruments, consumables, and systems that are made up of several individual products. Sales prices of these products are mostly priced in the range of $5,000 to $15,000, but range from under $100 to over $100,000. They are mainly scientific instruments like spectrophotometers and plate readers that analyze light to detect and quantify a wide range of molecular and cellular processes, or apparatus like gel electrophoresis units. We also use distributors for both our catalog products and our higher priced products, for sales in locations where we do not have subsidiaries or where we have existing distributors in place from acquired businesses. For the years ended December 31, 2017, 2016 and 2015, approximately 35%, 36% and 37% of our revenues, respectively, were derived from sales to distributors.</w:t>
      </w:r>
    </w:p>
    <w:p>
      <w:pPr>
        <w:spacing w:after="0" w:line="18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7"/>
          <w:szCs w:val="17"/>
          <w:color w:val="auto"/>
        </w:rPr>
        <w:t>For the years ended December 31, 2017, 2016 and 2015, approximately 62% of our revenues, for all periods, were derived from products we manufacture, approximately 14%, 14% and 13%, respectively, were derived from complementary products we distribute in order to provide the researcher with a single source for all equipment needed to conduct a particular experiment. Approximately 24%, 24% and 25% of our revenues, respectively, for the years ended December 31, 2017, 2016, 2015 were derived from distributed products sold under our brand names.</w:t>
      </w:r>
    </w:p>
    <w:p>
      <w:pPr>
        <w:spacing w:after="0" w:line="178" w:lineRule="exact"/>
        <w:rPr>
          <w:sz w:val="20"/>
          <w:szCs w:val="20"/>
          <w:color w:val="auto"/>
        </w:rPr>
      </w:pPr>
    </w:p>
    <w:p>
      <w:pPr>
        <w:ind w:firstLine="456"/>
        <w:spacing w:after="0" w:line="260" w:lineRule="auto"/>
        <w:rPr>
          <w:sz w:val="20"/>
          <w:szCs w:val="20"/>
          <w:color w:val="auto"/>
        </w:rPr>
      </w:pPr>
      <w:r>
        <w:rPr>
          <w:rFonts w:ascii="Arial" w:cs="Arial" w:eastAsia="Arial" w:hAnsi="Arial"/>
          <w:sz w:val="17"/>
          <w:szCs w:val="17"/>
          <w:color w:val="auto"/>
        </w:rPr>
        <w:t>For the years ended December 31, 2017, 2016 and 2015, approximately 35%, 38% and 40% of our revenues, respectively, were derived from sales made by our non-United States operations. The decrease in international revenues was primarily due to the impact of the loss of revenue following the AHN disposition, the effects of currency fluctuation, and the impact of softness in the European funding environment.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Changes in the relative proportion of our revenue sources between catalog or website sales, direct sales and distribution sales are primarily the result of a different sales proportion of acquired companies and changes in geographic mix.</w:t>
      </w:r>
    </w:p>
    <w:p>
      <w:pPr>
        <w:spacing w:after="0" w:line="166"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includes material, labor and manufacturing overhead costs, obsolescence charges, packaging costs, warranty costs, shipping</w:t>
      </w:r>
      <w:r>
        <w:rPr>
          <w:rFonts w:ascii="Arial" w:cs="Arial" w:eastAsia="Arial" w:hAnsi="Arial"/>
          <w:sz w:val="16"/>
          <w:szCs w:val="16"/>
          <w:i w:val="1"/>
          <w:iCs w:val="1"/>
          <w:color w:val="auto"/>
        </w:rPr>
        <w:t xml:space="preserve"> </w:t>
      </w:r>
      <w:r>
        <w:rPr>
          <w:rFonts w:ascii="Arial" w:cs="Arial" w:eastAsia="Arial" w:hAnsi="Arial"/>
          <w:sz w:val="16"/>
          <w:szCs w:val="16"/>
          <w:color w:val="auto"/>
        </w:rPr>
        <w:t>costs and royalties. Our cost of revenues may vary over time based on the mix of products sold. We sell products that we manufacture and products that we purchase from third parties. The products that we purchase from third parties typically have a higher cost of revenues as a percent of revenues because the profit is effectively shared with the original manufacturer. We anticipate that our manufactured products will continue to have a lower cost of revenues as a percentage of revenues as compared with the cost of non-manufactured products for the foreseeable future. Additionally, our cost of revenues as a percent of revenues will vary based on mix of direct to end user sales and distributor sales, mix by product line and mix by geography.</w:t>
      </w:r>
    </w:p>
    <w:p>
      <w:pPr>
        <w:spacing w:after="0" w:line="171" w:lineRule="exact"/>
        <w:rPr>
          <w:sz w:val="20"/>
          <w:szCs w:val="20"/>
          <w:color w:val="auto"/>
        </w:rPr>
      </w:pPr>
    </w:p>
    <w:p>
      <w:pPr>
        <w:ind w:right="20" w:firstLine="456"/>
        <w:spacing w:after="0" w:line="273"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 consists primarily of salaries and related expenses for personnel in sales, marketing and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functions. We also incur costs for travel, trade shows, demonstration equipment, public relations and marketing materials, consisting primarily of the printing and distribution of our catalogs, supplements and the maintenance of our websites. We may from time to time expand our marketing efforts by employing additional technical marketing specialists in an effort to increase sales of selected categories of products. We may also from time to time expand our direct sales organizations in an effort to concentrate on key accounts or promote certain product lines.</w:t>
      </w:r>
    </w:p>
    <w:p>
      <w:pPr>
        <w:spacing w:after="0" w:line="168" w:lineRule="exact"/>
        <w:rPr>
          <w:sz w:val="20"/>
          <w:szCs w:val="20"/>
          <w:color w:val="auto"/>
        </w:rPr>
      </w:pPr>
    </w:p>
    <w:p>
      <w:pPr>
        <w:ind w:right="400" w:firstLine="456"/>
        <w:spacing w:after="0" w:line="260"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 consists primarily of salaries and other related costs for personnel in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finance, accounting, information technology and human resource functions. Other costs include professional fees for legal and accounting services, facility costs, investor relations, insurance and provision for doubtful accounts.</w:t>
      </w:r>
    </w:p>
    <w:p>
      <w:pPr>
        <w:spacing w:after="0" w:line="174" w:lineRule="exact"/>
        <w:rPr>
          <w:sz w:val="20"/>
          <w:szCs w:val="20"/>
          <w:color w:val="auto"/>
        </w:rPr>
      </w:pPr>
    </w:p>
    <w:p>
      <w:pPr>
        <w:ind w:right="40" w:firstLine="456"/>
        <w:spacing w:after="0" w:line="25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 consists primarily of salaries and related expenses for personnel and spending to</w:t>
      </w:r>
      <w:r>
        <w:rPr>
          <w:rFonts w:ascii="Arial" w:cs="Arial" w:eastAsia="Arial" w:hAnsi="Arial"/>
          <w:sz w:val="17"/>
          <w:szCs w:val="17"/>
          <w:i w:val="1"/>
          <w:iCs w:val="1"/>
          <w:color w:val="auto"/>
        </w:rPr>
        <w:t xml:space="preserve"> </w:t>
      </w:r>
      <w:r>
        <w:rPr>
          <w:rFonts w:ascii="Arial" w:cs="Arial" w:eastAsia="Arial" w:hAnsi="Arial"/>
          <w:sz w:val="17"/>
          <w:szCs w:val="17"/>
          <w:color w:val="auto"/>
        </w:rPr>
        <w:t>develop and enhance our products. Other research and development expense includes fees for consultants and outside service providers, and material costs for prototype and test units. We expense research and development costs as incurred. From time to time, we receive grants from governmental entities in relation to research projects. Such grants received are accounted for as a reduction in research and development expense over the period of the project. We believe that investment in product development is a competitive necessity and plan to continue to make these investments in order to realize the potential of new technologies that we develop, license or acquire for existing markets.</w:t>
      </w:r>
    </w:p>
    <w:p>
      <w:pPr>
        <w:spacing w:after="0" w:line="181" w:lineRule="exact"/>
        <w:rPr>
          <w:sz w:val="20"/>
          <w:szCs w:val="20"/>
          <w:color w:val="auto"/>
        </w:rPr>
      </w:pPr>
    </w:p>
    <w:p>
      <w:pPr>
        <w:ind w:right="460" w:firstLine="456"/>
        <w:spacing w:after="0" w:line="271"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Restructuring charges consist of severance, other personnel-related charges and exit costs related to plans to create organizational</w:t>
      </w:r>
      <w:r>
        <w:rPr>
          <w:rFonts w:ascii="Arial" w:cs="Arial" w:eastAsia="Arial" w:hAnsi="Arial"/>
          <w:sz w:val="17"/>
          <w:szCs w:val="17"/>
          <w:i w:val="1"/>
          <w:iCs w:val="1"/>
          <w:color w:val="auto"/>
        </w:rPr>
        <w:t xml:space="preserve"> </w:t>
      </w:r>
      <w:r>
        <w:rPr>
          <w:rFonts w:ascii="Arial" w:cs="Arial" w:eastAsia="Arial" w:hAnsi="Arial"/>
          <w:sz w:val="17"/>
          <w:szCs w:val="17"/>
          <w:color w:val="auto"/>
        </w:rPr>
        <w:t>efficiencies and reduce operating expenses.</w:t>
      </w:r>
    </w:p>
    <w:p>
      <w:pPr>
        <w:spacing w:after="0" w:line="166" w:lineRule="exact"/>
        <w:rPr>
          <w:sz w:val="20"/>
          <w:szCs w:val="20"/>
          <w:color w:val="auto"/>
        </w:rPr>
      </w:pPr>
    </w:p>
    <w:p>
      <w:pPr>
        <w:ind w:right="100" w:firstLine="456"/>
        <w:spacing w:after="0" w:line="302" w:lineRule="auto"/>
        <w:rPr>
          <w:sz w:val="20"/>
          <w:szCs w:val="20"/>
          <w:color w:val="auto"/>
        </w:rPr>
      </w:pPr>
      <w:r>
        <w:rPr>
          <w:rFonts w:ascii="Arial" w:cs="Arial" w:eastAsia="Arial" w:hAnsi="Arial"/>
          <w:sz w:val="17"/>
          <w:szCs w:val="17"/>
          <w:i w:val="1"/>
          <w:iCs w:val="1"/>
          <w:color w:val="auto"/>
        </w:rPr>
        <w:t xml:space="preserve">Amortization of intangibles. </w:t>
      </w:r>
      <w:r>
        <w:rPr>
          <w:rFonts w:ascii="Arial" w:cs="Arial" w:eastAsia="Arial" w:hAnsi="Arial"/>
          <w:sz w:val="17"/>
          <w:szCs w:val="17"/>
          <w:color w:val="auto"/>
        </w:rPr>
        <w:t>Amortization of intangibles expense consists of the expensing of the costs of the finite lived intangible assets over the useful life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assets.</w:t>
      </w:r>
    </w:p>
    <w:p>
      <w:pPr>
        <w:spacing w:after="0" w:line="141" w:lineRule="exact"/>
        <w:rPr>
          <w:sz w:val="20"/>
          <w:szCs w:val="20"/>
          <w:color w:val="auto"/>
        </w:rPr>
      </w:pPr>
    </w:p>
    <w:p>
      <w:pPr>
        <w:ind w:firstLine="456"/>
        <w:spacing w:after="0" w:line="256"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Stock-based compensation expense for the years ended December 31, 2017, 2016 and 2015 was $3.5 million, $3.5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and $2.8 million, respectively. The stock-based compensation expense related to stock options, restricted stock units, restricted stock units with a market condition and the employee stock purchase plan and was recorded as a component of cost of revenues, sales and marketing expenses, general and administrative expenses, research and development expenses and discontinued operations.</w:t>
      </w:r>
    </w:p>
    <w:p>
      <w:pPr>
        <w:spacing w:after="0" w:line="178" w:lineRule="exact"/>
        <w:rPr>
          <w:sz w:val="20"/>
          <w:szCs w:val="20"/>
          <w:color w:val="auto"/>
        </w:rPr>
      </w:pPr>
    </w:p>
    <w:p>
      <w:pPr>
        <w:jc w:val="both"/>
        <w:ind w:right="40" w:firstLine="456"/>
        <w:spacing w:after="0" w:line="260" w:lineRule="auto"/>
        <w:rPr>
          <w:sz w:val="20"/>
          <w:szCs w:val="20"/>
          <w:color w:val="auto"/>
        </w:rPr>
      </w:pPr>
      <w:r>
        <w:rPr>
          <w:rFonts w:ascii="Arial" w:cs="Arial" w:eastAsia="Arial" w:hAnsi="Arial"/>
          <w:sz w:val="17"/>
          <w:szCs w:val="17"/>
          <w:color w:val="auto"/>
        </w:rPr>
        <w:t>Currently, we intend to retain all of our earnings to pay down debt, finance the expansion and development of our business and do not anticipate paying any cash dividends to holders of our common stock in the near future. As a result, capital appreciation, if any, of our common stock will be a stockholder’s sole source of gain for the near future.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228" w:right="25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2017 compared to Year Ended December 31, 2016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09" w:lineRule="exact"/>
        <w:rPr>
          <w:sz w:val="20"/>
          <w:szCs w:val="20"/>
          <w:color w:val="auto"/>
        </w:rPr>
      </w:pPr>
    </w:p>
    <w:p>
      <w:pPr>
        <w:ind w:right="40" w:firstLine="607"/>
        <w:spacing w:after="0" w:line="271" w:lineRule="auto"/>
        <w:rPr>
          <w:sz w:val="20"/>
          <w:szCs w:val="20"/>
          <w:color w:val="auto"/>
        </w:rPr>
      </w:pPr>
      <w:r>
        <w:rPr>
          <w:rFonts w:ascii="Arial" w:cs="Arial" w:eastAsia="Arial" w:hAnsi="Arial"/>
          <w:sz w:val="17"/>
          <w:szCs w:val="17"/>
          <w:color w:val="auto"/>
        </w:rPr>
        <w:t>Revenues decreased 2.6%, or $2.6 million, to $101.9 million for the year ended December 31, 2017, compared to revenues of $104.5 million for the year ended December 31, 2016.</w:t>
      </w:r>
    </w:p>
    <w:p>
      <w:pPr>
        <w:spacing w:after="0" w:line="166" w:lineRule="exact"/>
        <w:rPr>
          <w:sz w:val="20"/>
          <w:szCs w:val="20"/>
          <w:color w:val="auto"/>
        </w:rPr>
      </w:pPr>
    </w:p>
    <w:p>
      <w:pPr>
        <w:jc w:val="both"/>
        <w:ind w:right="120" w:firstLine="607"/>
        <w:spacing w:after="0" w:line="260" w:lineRule="auto"/>
        <w:rPr>
          <w:sz w:val="20"/>
          <w:szCs w:val="20"/>
          <w:color w:val="auto"/>
        </w:rPr>
      </w:pPr>
      <w:r>
        <w:rPr>
          <w:rFonts w:ascii="Arial" w:cs="Arial" w:eastAsia="Arial" w:hAnsi="Arial"/>
          <w:sz w:val="17"/>
          <w:szCs w:val="17"/>
          <w:color w:val="auto"/>
        </w:rPr>
        <w:t>The loss in revenues from the October 2016 AHN disposition negatively impacted 2017 revenues by approximately $2.1 million, while the impact of currency translation negatively impacted 2017 revenues by approximately $0.3 million. Excluding the impact of the AHN disposition and currency translation, organic revenues declined approximately $0.3 million, or 0.2%.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260" w:type="dxa"/>
            <w:vAlign w:val="bottom"/>
            <w:gridSpan w:val="3"/>
          </w:tcPr>
          <w:p>
            <w:pPr>
              <w:jc w:val="right"/>
              <w:ind w:right="2580"/>
              <w:spacing w:after="0"/>
              <w:rPr>
                <w:sz w:val="20"/>
                <w:szCs w:val="20"/>
                <w:color w:val="auto"/>
              </w:rPr>
            </w:pPr>
            <w:r>
              <w:rPr>
                <w:rFonts w:ascii="Arial" w:cs="Arial" w:eastAsia="Arial" w:hAnsi="Arial"/>
                <w:sz w:val="17"/>
                <w:szCs w:val="17"/>
                <w:b w:val="1"/>
                <w:bCs w:val="1"/>
                <w:color w:val="auto"/>
                <w:w w:val="94"/>
              </w:rPr>
              <w:t>Reconciliation of Changes In Revenues Compared to the Same Period of the Prior Year</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91"/>
              </w:rPr>
              <w:t>For the Year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1"/>
              </w:rPr>
              <w:t>December 31, 2017</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14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Organic and AHN change</w:t>
            </w:r>
          </w:p>
        </w:tc>
        <w:tc>
          <w:tcPr>
            <w:tcW w:w="9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14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effect</w:t>
            </w:r>
          </w:p>
        </w:tc>
        <w:tc>
          <w:tcPr>
            <w:tcW w:w="9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76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revenue change</w:t>
            </w:r>
          </w:p>
        </w:tc>
        <w:tc>
          <w:tcPr>
            <w:tcW w:w="9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100" w:firstLine="413"/>
        <w:spacing w:after="0" w:line="252" w:lineRule="auto"/>
        <w:rPr>
          <w:sz w:val="20"/>
          <w:szCs w:val="20"/>
          <w:color w:val="auto"/>
        </w:rPr>
      </w:pPr>
      <w:r>
        <w:rPr>
          <w:rFonts w:ascii="Arial" w:cs="Arial" w:eastAsia="Arial" w:hAnsi="Arial"/>
          <w:sz w:val="17"/>
          <w:szCs w:val="17"/>
          <w:color w:val="auto"/>
        </w:rPr>
        <w:t>Each reporting period, we face currency exposure that arises from translating the results of our worldwide operations to the United States dollar at exchange rates that fluctuate from the beginning of such period. We evaluate our results of operations on both a reported and a foreign currency-neutral basis, which excludes the impact of fluctuations in foreign currency exchange rates. We believe that disclosing this non-GAAP financial information provides investors with an enhanced understanding of the underlying operations of the business. This non-GAAP financial information is used by our management to internally evaluate our operating results. The non-GAAP financial information provided in the table above should be considered in addition to, not as a substitute for, the financial information provided and presented in accordance with accounting principles generally accepted in the United States, or GAAP and may be different than other companies’ non-GAAP financial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w:t>
      </w:r>
    </w:p>
    <w:p>
      <w:pPr>
        <w:spacing w:after="0" w:line="209" w:lineRule="exact"/>
        <w:rPr>
          <w:sz w:val="20"/>
          <w:szCs w:val="20"/>
          <w:color w:val="auto"/>
        </w:rPr>
      </w:pPr>
    </w:p>
    <w:p>
      <w:pPr>
        <w:ind w:firstLine="413"/>
        <w:spacing w:after="0" w:line="256" w:lineRule="auto"/>
        <w:rPr>
          <w:sz w:val="20"/>
          <w:szCs w:val="20"/>
          <w:color w:val="auto"/>
        </w:rPr>
      </w:pPr>
      <w:r>
        <w:rPr>
          <w:rFonts w:ascii="Arial" w:cs="Arial" w:eastAsia="Arial" w:hAnsi="Arial"/>
          <w:sz w:val="17"/>
          <w:szCs w:val="17"/>
          <w:color w:val="auto"/>
        </w:rPr>
        <w:t>Cost of revenues were $54.3 million for the year ended December 31, 2017, a decrease of $1.8 million, or 3.2%, compared with $56.1 million for the year ended December 31, 2016. The decrease in cost of revenues was primarily due to the decrease in sales, including the effect of cost of revenues from the sale of AHN of approximately $1.6 million. Gross profit margin as a percentage of revenues increased slightly to 46.7% for the year ended December 31, 2017 compared with 46.3% for 2016.</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 expenses</w:t>
      </w:r>
    </w:p>
    <w:p>
      <w:pPr>
        <w:spacing w:after="0" w:line="209" w:lineRule="exact"/>
        <w:rPr>
          <w:sz w:val="20"/>
          <w:szCs w:val="20"/>
          <w:color w:val="auto"/>
        </w:rPr>
      </w:pPr>
    </w:p>
    <w:p>
      <w:pPr>
        <w:ind w:right="200" w:firstLine="413"/>
        <w:spacing w:after="0" w:line="260" w:lineRule="auto"/>
        <w:rPr>
          <w:sz w:val="20"/>
          <w:szCs w:val="20"/>
          <w:color w:val="auto"/>
        </w:rPr>
      </w:pPr>
      <w:r>
        <w:rPr>
          <w:rFonts w:ascii="Arial" w:cs="Arial" w:eastAsia="Arial" w:hAnsi="Arial"/>
          <w:sz w:val="17"/>
          <w:szCs w:val="17"/>
          <w:color w:val="auto"/>
        </w:rPr>
        <w:t>Sales and marketing expenses increased $0.5 million, or 2.7%, to $21.0 million for the year ended December 31, 2017 compared with $20.5 million for the year ended December 31, 2016. This increase was due to increases in employee costs and stock compensation offset by decreases in consulting and purchased services as well as the impact of the sale of AHN.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09" w:lineRule="exact"/>
        <w:rPr>
          <w:sz w:val="20"/>
          <w:szCs w:val="20"/>
          <w:color w:val="auto"/>
        </w:rPr>
      </w:pPr>
    </w:p>
    <w:p>
      <w:pPr>
        <w:jc w:val="both"/>
        <w:ind w:firstLine="413"/>
        <w:spacing w:after="0" w:line="260" w:lineRule="auto"/>
        <w:rPr>
          <w:sz w:val="20"/>
          <w:szCs w:val="20"/>
          <w:color w:val="auto"/>
        </w:rPr>
      </w:pPr>
      <w:r>
        <w:rPr>
          <w:rFonts w:ascii="Arial" w:cs="Arial" w:eastAsia="Arial" w:hAnsi="Arial"/>
          <w:sz w:val="17"/>
          <w:szCs w:val="17"/>
          <w:color w:val="auto"/>
        </w:rPr>
        <w:t>General and administrative expenses were $18.6 million for the year ended December 31, 2017, a decrease of $2.4 million, or 11.3%, compared with $21.0 million for the year ended December 31, 2016. The decrease was primarily due to a decrease in audit costs, consulting and purchased services costs, as well as the impact of the sale of AHN.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09" w:lineRule="exact"/>
        <w:rPr>
          <w:sz w:val="20"/>
          <w:szCs w:val="20"/>
          <w:color w:val="auto"/>
        </w:rPr>
      </w:pPr>
    </w:p>
    <w:p>
      <w:pPr>
        <w:ind w:right="200" w:firstLine="413"/>
        <w:spacing w:after="0" w:line="260" w:lineRule="auto"/>
        <w:rPr>
          <w:sz w:val="20"/>
          <w:szCs w:val="20"/>
          <w:color w:val="auto"/>
        </w:rPr>
      </w:pPr>
      <w:r>
        <w:rPr>
          <w:rFonts w:ascii="Arial" w:cs="Arial" w:eastAsia="Arial" w:hAnsi="Arial"/>
          <w:sz w:val="17"/>
          <w:szCs w:val="17"/>
          <w:color w:val="auto"/>
        </w:rPr>
        <w:t>Research and development expenses were $5.6 million for the year ended December 31, 2017, an increase of $0.2 million, or 4.7%, compared with $5.4 million for the year ended December 31, 2016. The increase was primarily due to an increase in employee, consulting and other purchased services due to investments in product development and compliance efforts.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 of intangible assets</w:t>
      </w:r>
    </w:p>
    <w:p>
      <w:pPr>
        <w:spacing w:after="0" w:line="209" w:lineRule="exact"/>
        <w:rPr>
          <w:sz w:val="20"/>
          <w:szCs w:val="20"/>
          <w:color w:val="auto"/>
        </w:rPr>
      </w:pPr>
    </w:p>
    <w:p>
      <w:pPr>
        <w:ind w:right="220" w:firstLine="413"/>
        <w:spacing w:after="0" w:line="260" w:lineRule="auto"/>
        <w:rPr>
          <w:sz w:val="20"/>
          <w:szCs w:val="20"/>
          <w:color w:val="auto"/>
        </w:rPr>
      </w:pPr>
      <w:r>
        <w:rPr>
          <w:rFonts w:ascii="Arial" w:cs="Arial" w:eastAsia="Arial" w:hAnsi="Arial"/>
          <w:sz w:val="17"/>
          <w:szCs w:val="17"/>
          <w:color w:val="auto"/>
        </w:rPr>
        <w:t>Amortization of intangible asset expenses was $2.4 million for the year ended December 31, 2017 compared with $2.7 million for the year ended December 31, 2016. The decrease in amortization expense was due to some long-lived intangibles having become fully amortized in 2016, as well as the impact of the disposal of AHN.</w:t>
      </w:r>
    </w:p>
    <w:p>
      <w:pPr>
        <w:sectPr>
          <w:pgSz w:w="11900" w:h="16838" w:orient="portrait"/>
          <w:cols w:equalWidth="0" w:num="1">
            <w:col w:w="11420"/>
          </w:cols>
          <w:pgMar w:left="240" w:top="228"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725551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type w:val="continuous"/>
        </w:sectPr>
      </w:pPr>
    </w:p>
    <w:bookmarkStart w:id="27" w:name="page28"/>
    <w:bookmarkEnd w:id="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charges</w:t>
      </w:r>
    </w:p>
    <w:p>
      <w:pPr>
        <w:spacing w:after="0" w:line="209" w:lineRule="exact"/>
        <w:rPr>
          <w:sz w:val="20"/>
          <w:szCs w:val="20"/>
          <w:color w:val="auto"/>
        </w:rPr>
      </w:pPr>
    </w:p>
    <w:p>
      <w:pPr>
        <w:jc w:val="both"/>
        <w:ind w:right="60" w:firstLine="413"/>
        <w:spacing w:after="0" w:line="260" w:lineRule="auto"/>
        <w:rPr>
          <w:sz w:val="20"/>
          <w:szCs w:val="20"/>
          <w:color w:val="auto"/>
        </w:rPr>
      </w:pPr>
      <w:r>
        <w:rPr>
          <w:rFonts w:ascii="Arial" w:cs="Arial" w:eastAsia="Arial" w:hAnsi="Arial"/>
          <w:sz w:val="17"/>
          <w:szCs w:val="17"/>
          <w:color w:val="auto"/>
        </w:rPr>
        <w:t>During the third quarter of 2016, we initiated plans to sell the operations of AHN. As a result of initiating the plan to sell the operations of AHN, we evaluated the long-lived assets for impairment, pursuant to ASC 360-10. Based on the resulting impairment analysis, we recognized an impairment charge of $0.7 million for the year ended December 31, 2016.</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on sale of AHN</w:t>
      </w:r>
    </w:p>
    <w:p>
      <w:pPr>
        <w:spacing w:after="0" w:line="209" w:lineRule="exact"/>
        <w:rPr>
          <w:sz w:val="20"/>
          <w:szCs w:val="20"/>
          <w:color w:val="auto"/>
        </w:rPr>
      </w:pPr>
    </w:p>
    <w:p>
      <w:pPr>
        <w:ind w:right="320" w:firstLine="413"/>
        <w:spacing w:after="0" w:line="271" w:lineRule="auto"/>
        <w:rPr>
          <w:sz w:val="20"/>
          <w:szCs w:val="20"/>
          <w:color w:val="auto"/>
        </w:rPr>
      </w:pPr>
      <w:r>
        <w:rPr>
          <w:rFonts w:ascii="Arial" w:cs="Arial" w:eastAsia="Arial" w:hAnsi="Arial"/>
          <w:sz w:val="17"/>
          <w:szCs w:val="17"/>
          <w:color w:val="auto"/>
        </w:rPr>
        <w:t>The loss on sale of AHN was $1.2 million for the year ended December 31, 2016. During the fourth quarter of 2016, we concluded the sale of AHN. Upon the closing of the transaction, we recorded a loss on sale of $1.2 million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 net</w:t>
      </w:r>
    </w:p>
    <w:p>
      <w:pPr>
        <w:spacing w:after="0" w:line="209" w:lineRule="exact"/>
        <w:rPr>
          <w:sz w:val="20"/>
          <w:szCs w:val="20"/>
          <w:color w:val="auto"/>
        </w:rPr>
      </w:pPr>
    </w:p>
    <w:p>
      <w:pPr>
        <w:ind w:firstLine="413"/>
        <w:spacing w:after="0" w:line="296" w:lineRule="auto"/>
        <w:rPr>
          <w:sz w:val="20"/>
          <w:szCs w:val="20"/>
          <w:color w:val="auto"/>
        </w:rPr>
      </w:pPr>
      <w:r>
        <w:rPr>
          <w:rFonts w:ascii="Arial" w:cs="Arial" w:eastAsia="Arial" w:hAnsi="Arial"/>
          <w:sz w:val="15"/>
          <w:szCs w:val="15"/>
          <w:color w:val="auto"/>
        </w:rPr>
        <w:t>Other expense, net, was $2.0 million and $0.1 million for the years ended December 31, 2017 and 2016, respectively. Included in other expense, net for the year ended December 31, 2017 was $0.7 million of interest expense and $0.7 million of transaction related costs, including due diligence and deal investigative activities. For the year ended December 31, 2016, other expense, net included $0.6 million of interest expense. The increase in other expense, net was primarily due to the increase in transaction related costs and currency exchange rate fluctuations. Currency exchange rate fluctuations included as a component of net loss resulted in approximately $0.5 million in currency losses during the year ended December 31, 2017, compared to $0.7 million in currency gains during the year ended December 31, 2016.</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09" w:lineRule="exact"/>
        <w:rPr>
          <w:sz w:val="20"/>
          <w:szCs w:val="20"/>
          <w:color w:val="auto"/>
        </w:rPr>
      </w:pPr>
    </w:p>
    <w:p>
      <w:pPr>
        <w:ind w:right="160" w:firstLine="413"/>
        <w:spacing w:after="0" w:line="256" w:lineRule="auto"/>
        <w:rPr>
          <w:sz w:val="20"/>
          <w:szCs w:val="20"/>
          <w:color w:val="auto"/>
        </w:rPr>
      </w:pPr>
      <w:r>
        <w:rPr>
          <w:rFonts w:ascii="Arial" w:cs="Arial" w:eastAsia="Arial" w:hAnsi="Arial"/>
          <w:sz w:val="17"/>
          <w:szCs w:val="17"/>
          <w:color w:val="auto"/>
        </w:rPr>
        <w:t>Income tax was a benefit of approximately $1.2 million and an expense of $1.2 million for the years ended December 31, 2017 and 2016, respectively. The decrease in income tax expense year over year was primarily attributable to a reduction in the valuation allowance recorded against US net deferred tax assets in 2017, partially offset by tax expense associated with the remeasurement of net federal deferred tax assets. These events result directly from recent U.S. tax reform legislation which is discussed below.</w:t>
      </w:r>
    </w:p>
    <w:p>
      <w:pPr>
        <w:spacing w:after="0" w:line="178" w:lineRule="exact"/>
        <w:rPr>
          <w:sz w:val="20"/>
          <w:szCs w:val="20"/>
          <w:color w:val="auto"/>
        </w:rPr>
      </w:pPr>
    </w:p>
    <w:p>
      <w:pPr>
        <w:ind w:right="160" w:firstLine="456"/>
        <w:spacing w:after="0" w:line="273" w:lineRule="auto"/>
        <w:rPr>
          <w:sz w:val="20"/>
          <w:szCs w:val="20"/>
          <w:color w:val="auto"/>
        </w:rPr>
      </w:pPr>
      <w:r>
        <w:rPr>
          <w:rFonts w:ascii="Arial" w:cs="Arial" w:eastAsia="Arial" w:hAnsi="Arial"/>
          <w:sz w:val="16"/>
          <w:szCs w:val="16"/>
          <w:color w:val="auto"/>
        </w:rPr>
        <w:t>On December 22, 2017, tax reform legislation known as the Tax Cuts and Jobs Act (the Tax Act) was signed into law. The Tax Act makes broad and complex changes to the U.S. Internal Revenue Code, including the reduction of the corporate income tax rate from 35% to 21% and the implementation of a modified territorial tax system; the latter includes a one-time transition tax on previously unremitted earnings of foreign subsidiaries. The Company has recorded provisional estimates related to repatriation tax impact and changes in the revaluation of net deferred tax assets in the consolidated financial statements. Other provisions of the Tax Act will not impact the Company until the tax year ended December 31, 2018.</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Year Ended December 31, 2016 compared to Year Ended December 31, 2015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09" w:lineRule="exact"/>
        <w:rPr>
          <w:sz w:val="20"/>
          <w:szCs w:val="20"/>
          <w:color w:val="auto"/>
        </w:rPr>
      </w:pPr>
    </w:p>
    <w:p>
      <w:pPr>
        <w:ind w:right="220" w:firstLine="413"/>
        <w:spacing w:after="0" w:line="271" w:lineRule="auto"/>
        <w:rPr>
          <w:sz w:val="20"/>
          <w:szCs w:val="20"/>
          <w:color w:val="auto"/>
        </w:rPr>
      </w:pPr>
      <w:r>
        <w:rPr>
          <w:rFonts w:ascii="Arial" w:cs="Arial" w:eastAsia="Arial" w:hAnsi="Arial"/>
          <w:sz w:val="17"/>
          <w:szCs w:val="17"/>
          <w:color w:val="auto"/>
        </w:rPr>
        <w:t>Revenues decreased 3.8%, or $4.2 million, to $104.5 million for the year ended December 31, 2016, compared to revenues of $108.7 million for the year ended December 31, 2015.</w:t>
      </w:r>
    </w:p>
    <w:p>
      <w:pPr>
        <w:spacing w:after="0" w:line="166" w:lineRule="exact"/>
        <w:rPr>
          <w:sz w:val="20"/>
          <w:szCs w:val="20"/>
          <w:color w:val="auto"/>
        </w:rPr>
      </w:pPr>
    </w:p>
    <w:p>
      <w:pPr>
        <w:ind w:right="240" w:firstLine="413"/>
        <w:spacing w:after="0" w:line="256" w:lineRule="auto"/>
        <w:rPr>
          <w:sz w:val="20"/>
          <w:szCs w:val="20"/>
          <w:color w:val="auto"/>
        </w:rPr>
      </w:pPr>
      <w:r>
        <w:rPr>
          <w:rFonts w:ascii="Arial" w:cs="Arial" w:eastAsia="Arial" w:hAnsi="Arial"/>
          <w:sz w:val="17"/>
          <w:szCs w:val="17"/>
          <w:color w:val="auto"/>
        </w:rPr>
        <w:t>Excluding the effects of currency translation, primarily from the weakening of the British Pound against the U.S. dollar, our revenues decreased 1.8% or $2.0 million, from the previous year. The remainder of the decline in revenues was primarily the result of softness in the European funding environment and slower than expected NIH budget funding, as well as less revenues from AHN in 2016 compared to 2015, following its sale in October 2016, due to two fewer months of revenue which amounted to approximately $0.5 million.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5"/>
        </w:trPr>
        <w:tc>
          <w:tcPr>
            <w:tcW w:w="2160" w:type="dxa"/>
            <w:vAlign w:val="bottom"/>
            <w:gridSpan w:val="3"/>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7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9260" w:type="dxa"/>
            <w:vAlign w:val="bottom"/>
            <w:gridSpan w:val="3"/>
          </w:tcPr>
          <w:p>
            <w:pPr>
              <w:jc w:val="right"/>
              <w:ind w:right="2580"/>
              <w:spacing w:after="0"/>
              <w:rPr>
                <w:sz w:val="20"/>
                <w:szCs w:val="20"/>
                <w:color w:val="auto"/>
              </w:rPr>
            </w:pPr>
            <w:r>
              <w:rPr>
                <w:rFonts w:ascii="Arial" w:cs="Arial" w:eastAsia="Arial" w:hAnsi="Arial"/>
                <w:sz w:val="17"/>
                <w:szCs w:val="17"/>
                <w:b w:val="1"/>
                <w:bCs w:val="1"/>
                <w:color w:val="auto"/>
                <w:w w:val="94"/>
              </w:rPr>
              <w:t>Reconciliation of Changes In Revenues Compared to the Same Period of the Prior Year</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91"/>
              </w:rPr>
              <w:t>For the Year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1"/>
              </w:rPr>
              <w:t>December 31, 2016</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Organic and AHN change</w:t>
            </w:r>
          </w:p>
        </w:tc>
        <w:tc>
          <w:tcPr>
            <w:tcW w:w="9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exchange effect</w:t>
            </w:r>
          </w:p>
        </w:tc>
        <w:tc>
          <w:tcPr>
            <w:tcW w:w="9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76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1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Total revenue change</w:t>
            </w:r>
          </w:p>
        </w:tc>
        <w:tc>
          <w:tcPr>
            <w:tcW w:w="9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80" w:firstLine="413"/>
        <w:spacing w:after="0" w:line="293" w:lineRule="auto"/>
        <w:rPr>
          <w:sz w:val="20"/>
          <w:szCs w:val="20"/>
          <w:color w:val="auto"/>
        </w:rPr>
      </w:pPr>
      <w:r>
        <w:rPr>
          <w:rFonts w:ascii="Arial" w:cs="Arial" w:eastAsia="Arial" w:hAnsi="Arial"/>
          <w:sz w:val="15"/>
          <w:szCs w:val="15"/>
          <w:color w:val="auto"/>
        </w:rPr>
        <w:t>Each reporting period, we face currency exposure that arises from translating the results of our worldwide operations to the United States dollar at exchange rates that fluctuate from the beginning of such period. We evaluate our results of operations on both a reported and a foreign currency-neutral basis, which excludes the impact of fluctuations in foreign currency exchange rates. We believe that disclosing this non-GAAP financial information provides investors with an enhanced understanding of the underlying operations of the business. This non-GAAP financial information approximates information used by our management to internally evaluate our operating results. The non-GAAP financial information provided in the table above should be considered in addition to, not as a substitute for, the financial information provided and presented in accordance with accounting principles generally accepted in the United States, or GAAP.</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w:t>
      </w:r>
    </w:p>
    <w:p>
      <w:pPr>
        <w:spacing w:after="0" w:line="209" w:lineRule="exact"/>
        <w:rPr>
          <w:sz w:val="20"/>
          <w:szCs w:val="20"/>
          <w:color w:val="auto"/>
        </w:rPr>
      </w:pPr>
    </w:p>
    <w:p>
      <w:pPr>
        <w:ind w:right="160" w:firstLine="413"/>
        <w:spacing w:after="0" w:line="283" w:lineRule="auto"/>
        <w:rPr>
          <w:sz w:val="20"/>
          <w:szCs w:val="20"/>
          <w:color w:val="auto"/>
        </w:rPr>
      </w:pPr>
      <w:r>
        <w:rPr>
          <w:rFonts w:ascii="Arial" w:cs="Arial" w:eastAsia="Arial" w:hAnsi="Arial"/>
          <w:sz w:val="16"/>
          <w:szCs w:val="16"/>
          <w:color w:val="auto"/>
        </w:rPr>
        <w:t>Cost of revenues were $56.1 million for the year ended December 31, 2016, a decrease of $3.8 million, or 6.4%, compared with $59.9 million for the year ended December 31, 2015. Gross profit margin as a percentage of revenues increased to 46.3% for the year ended December 31, 2016 compared with 44.8% for 2015. The increase in gross profit margin was due primarily due to the savings associated with the relocation and consolidation of certain facilities in 2015.</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 expenses</w:t>
      </w:r>
    </w:p>
    <w:p>
      <w:pPr>
        <w:spacing w:after="0" w:line="209" w:lineRule="exact"/>
        <w:rPr>
          <w:sz w:val="20"/>
          <w:szCs w:val="20"/>
          <w:color w:val="auto"/>
        </w:rPr>
      </w:pPr>
    </w:p>
    <w:p>
      <w:pPr>
        <w:ind w:right="180" w:firstLine="413"/>
        <w:spacing w:after="0" w:line="303" w:lineRule="auto"/>
        <w:rPr>
          <w:sz w:val="20"/>
          <w:szCs w:val="20"/>
          <w:color w:val="auto"/>
        </w:rPr>
      </w:pPr>
      <w:r>
        <w:rPr>
          <w:rFonts w:ascii="Arial" w:cs="Arial" w:eastAsia="Arial" w:hAnsi="Arial"/>
          <w:sz w:val="16"/>
          <w:szCs w:val="16"/>
          <w:color w:val="auto"/>
        </w:rPr>
        <w:t>Sales and marketing expenses decreased $0.1 million, or 0.4%, to $20.5 million for the year ended December 31, 2016 compared with $20.6 million for the year ended December 31, 2015. The decrease was primarily due to favorable currency translation and the impact of our restructuring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09" w:lineRule="exact"/>
        <w:rPr>
          <w:sz w:val="20"/>
          <w:szCs w:val="20"/>
          <w:color w:val="auto"/>
        </w:rPr>
      </w:pPr>
    </w:p>
    <w:p>
      <w:pPr>
        <w:ind w:right="20" w:firstLine="413"/>
        <w:spacing w:after="0" w:line="260" w:lineRule="auto"/>
        <w:rPr>
          <w:sz w:val="20"/>
          <w:szCs w:val="20"/>
          <w:color w:val="auto"/>
        </w:rPr>
      </w:pPr>
      <w:r>
        <w:rPr>
          <w:rFonts w:ascii="Arial" w:cs="Arial" w:eastAsia="Arial" w:hAnsi="Arial"/>
          <w:sz w:val="17"/>
          <w:szCs w:val="17"/>
          <w:color w:val="auto"/>
        </w:rPr>
        <w:t>General and administrative expenses were $21.0 million for the year ended December 31, 2016, an increase of $1.2 million, or 5.6%, compared with $19.8 million for the year ended December 31, 2015. The increase was primarily due to audit and forensic investigation costs, higher stock compensation expense, partially offset by favorable currency translation, and the impact of our restructuring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09" w:lineRule="exact"/>
        <w:rPr>
          <w:sz w:val="20"/>
          <w:szCs w:val="20"/>
          <w:color w:val="auto"/>
        </w:rPr>
      </w:pPr>
    </w:p>
    <w:p>
      <w:pPr>
        <w:ind w:right="20" w:firstLine="413"/>
        <w:spacing w:after="0" w:line="283" w:lineRule="auto"/>
        <w:rPr>
          <w:sz w:val="20"/>
          <w:szCs w:val="20"/>
          <w:color w:val="auto"/>
        </w:rPr>
      </w:pPr>
      <w:r>
        <w:rPr>
          <w:rFonts w:ascii="Arial" w:cs="Arial" w:eastAsia="Arial" w:hAnsi="Arial"/>
          <w:sz w:val="16"/>
          <w:szCs w:val="16"/>
          <w:color w:val="auto"/>
        </w:rPr>
        <w:t>Research and development expenses were $5.4 million for the year ended December 31, 2016, a decrease of $1.0 million, or 16.0%, compared with $6.4 million for the year ended December 31, 2015. The decrease was primarily due to the impact of our restructuring activities, favorable currency translation, and an increase in the amount of research grants earned. Research grants earned are accounted for as a reduction in research and development expense.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w:t>
      </w:r>
    </w:p>
    <w:p>
      <w:pPr>
        <w:spacing w:after="0" w:line="209" w:lineRule="exact"/>
        <w:rPr>
          <w:sz w:val="20"/>
          <w:szCs w:val="20"/>
          <w:color w:val="auto"/>
        </w:rPr>
      </w:pPr>
    </w:p>
    <w:p>
      <w:pPr>
        <w:ind w:right="160" w:firstLine="413"/>
        <w:spacing w:after="0" w:line="271" w:lineRule="auto"/>
        <w:rPr>
          <w:sz w:val="20"/>
          <w:szCs w:val="20"/>
          <w:color w:val="auto"/>
        </w:rPr>
      </w:pPr>
      <w:r>
        <w:rPr>
          <w:rFonts w:ascii="Arial" w:cs="Arial" w:eastAsia="Arial" w:hAnsi="Arial"/>
          <w:sz w:val="17"/>
          <w:szCs w:val="17"/>
          <w:color w:val="auto"/>
        </w:rPr>
        <w:t>Restructuring charges were immaterial for the year ended December 31, 2016 compared with $0.8 million for the year ended December 31, 2015. There were no restructuring activities during the year ended December 31, 2016.</w:t>
      </w:r>
    </w:p>
    <w:p>
      <w:pPr>
        <w:spacing w:after="0" w:line="166" w:lineRule="exact"/>
        <w:rPr>
          <w:sz w:val="20"/>
          <w:szCs w:val="20"/>
          <w:color w:val="auto"/>
        </w:rPr>
      </w:pPr>
    </w:p>
    <w:p>
      <w:pPr>
        <w:ind w:right="80" w:firstLine="413"/>
        <w:spacing w:after="0" w:line="277" w:lineRule="auto"/>
        <w:rPr>
          <w:sz w:val="20"/>
          <w:szCs w:val="20"/>
          <w:color w:val="auto"/>
        </w:rPr>
      </w:pPr>
      <w:r>
        <w:rPr>
          <w:rFonts w:ascii="Arial" w:cs="Arial" w:eastAsia="Arial" w:hAnsi="Arial"/>
          <w:sz w:val="16"/>
          <w:szCs w:val="16"/>
          <w:color w:val="auto"/>
        </w:rPr>
        <w:t>Restructuring charges recorded during the year ended December 31, 2015 included additional charges related to the restructuring plan we implemented during the year ended December 31, 2014, as well as charges related to restructuring plans commenced during the year ended December 31, 2015. The 2015 restructuring plans included actions to move the Coulbourn Instruments’ operations to Holliston, MA and the HEKA Canada operations to HEKA Germany, as well as eliminating certain positions made redundant as a result of our site consolidations and a realignment of our commercial sales team.</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10"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 of intangible assets</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Amortization of intangible asset expenses was $2.7 million for the year ended December 31, 2016 compared with $2.8 million for the year ended December 31,</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2015.</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charges</w:t>
      </w:r>
    </w:p>
    <w:p>
      <w:pPr>
        <w:spacing w:after="0" w:line="209" w:lineRule="exact"/>
        <w:rPr>
          <w:sz w:val="20"/>
          <w:szCs w:val="20"/>
          <w:color w:val="auto"/>
        </w:rPr>
      </w:pPr>
    </w:p>
    <w:p>
      <w:pPr>
        <w:jc w:val="both"/>
        <w:ind w:right="40" w:firstLine="413"/>
        <w:spacing w:after="0" w:line="260" w:lineRule="auto"/>
        <w:rPr>
          <w:sz w:val="20"/>
          <w:szCs w:val="20"/>
          <w:color w:val="auto"/>
        </w:rPr>
      </w:pPr>
      <w:r>
        <w:rPr>
          <w:rFonts w:ascii="Arial" w:cs="Arial" w:eastAsia="Arial" w:hAnsi="Arial"/>
          <w:sz w:val="17"/>
          <w:szCs w:val="17"/>
          <w:color w:val="auto"/>
        </w:rPr>
        <w:t>During the third quarter of 2016, we initiated plans to sell the operations of AHN. As a result of initiating the plan to sell the operations of AHN, we evaluated the long-lived assets for impairment, pursuant to ASC 360-10. Based on the resulting impairment analysis, we recognized an impairment charge of $0.7 million for the year ended December 31, 2016.</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on sale of AHN</w:t>
      </w:r>
    </w:p>
    <w:p>
      <w:pPr>
        <w:spacing w:after="0" w:line="209" w:lineRule="exact"/>
        <w:rPr>
          <w:sz w:val="20"/>
          <w:szCs w:val="20"/>
          <w:color w:val="auto"/>
        </w:rPr>
      </w:pPr>
    </w:p>
    <w:p>
      <w:pPr>
        <w:ind w:right="300" w:firstLine="413"/>
        <w:spacing w:after="0" w:line="271" w:lineRule="auto"/>
        <w:rPr>
          <w:sz w:val="20"/>
          <w:szCs w:val="20"/>
          <w:color w:val="auto"/>
        </w:rPr>
      </w:pPr>
      <w:r>
        <w:rPr>
          <w:rFonts w:ascii="Arial" w:cs="Arial" w:eastAsia="Arial" w:hAnsi="Arial"/>
          <w:sz w:val="17"/>
          <w:szCs w:val="17"/>
          <w:color w:val="auto"/>
        </w:rPr>
        <w:t>The loss on sale of AHN was $1.2 million for the year ended December 31, 2016. During the fourth quarter of 2016, we concluded the sale of AHN. Upon the closing of the transaction, we recorded a loss on sale of $1.2 million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 net</w:t>
      </w:r>
    </w:p>
    <w:p>
      <w:pPr>
        <w:spacing w:after="0" w:line="209" w:lineRule="exact"/>
        <w:rPr>
          <w:sz w:val="20"/>
          <w:szCs w:val="20"/>
          <w:color w:val="auto"/>
        </w:rPr>
      </w:pPr>
    </w:p>
    <w:p>
      <w:pPr>
        <w:ind w:firstLine="413"/>
        <w:spacing w:after="0" w:line="253" w:lineRule="auto"/>
        <w:rPr>
          <w:sz w:val="20"/>
          <w:szCs w:val="20"/>
          <w:color w:val="auto"/>
        </w:rPr>
      </w:pPr>
      <w:r>
        <w:rPr>
          <w:rFonts w:ascii="Arial" w:cs="Arial" w:eastAsia="Arial" w:hAnsi="Arial"/>
          <w:sz w:val="17"/>
          <w:szCs w:val="17"/>
          <w:color w:val="auto"/>
        </w:rPr>
        <w:t>Other expense, net, was $0.1 million and $1.9 million for the years ended December 31, 2016 and 2015, respectively. Included in other expense, net for the year ended December 31, 2016 was interest expense of $0.6 million. For the year ended December 31, 2015 other expense, net included $0.9 million of interest expense and $1.2 million of acquisition related costs, including due diligence and deal investigative activities. The decrease in other expense, net was primarily due to the decrease in acquisition related costs and currency exchange rate fluctuations. Currency exchange rate fluctuations included as a component of net (loss) income resulted in approximately $0.7 million in currency gains during the year ended December 31, 2016, compared to $0.2 million in currency gains during the year ended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09" w:lineRule="exact"/>
        <w:rPr>
          <w:sz w:val="20"/>
          <w:szCs w:val="20"/>
          <w:color w:val="auto"/>
        </w:rPr>
      </w:pPr>
    </w:p>
    <w:p>
      <w:pPr>
        <w:ind w:right="20" w:firstLine="413"/>
        <w:spacing w:after="0" w:line="254" w:lineRule="auto"/>
        <w:rPr>
          <w:sz w:val="20"/>
          <w:szCs w:val="20"/>
          <w:color w:val="auto"/>
        </w:rPr>
      </w:pPr>
      <w:r>
        <w:rPr>
          <w:rFonts w:ascii="Arial" w:cs="Arial" w:eastAsia="Arial" w:hAnsi="Arial"/>
          <w:sz w:val="17"/>
          <w:szCs w:val="17"/>
          <w:color w:val="auto"/>
        </w:rPr>
        <w:t>Income tax expense was approximately $1.2 million and $15.4 million for the years ended December 31, 2016 and 2015, respectively. The decrease in income tax expense year over year was primarily attributable to the recognition of a valuation allowance on U.S. deferred tax assets in 2015. During the year ended December 31, 2015, we determined that it was more likely than not that our U.S. deferred tax assets would not be realized and therefore recorded a net increase to the valuation allowance of $16.4 million to offset U.S. deferred tax assets net of deferred tax liabilities except for certain indefinite-lived intangible assets. This decision was based on all available evidence.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209" w:lineRule="exact"/>
        <w:rPr>
          <w:sz w:val="20"/>
          <w:szCs w:val="20"/>
          <w:color w:val="auto"/>
        </w:rPr>
      </w:pPr>
    </w:p>
    <w:p>
      <w:pPr>
        <w:ind w:right="80" w:firstLine="413"/>
        <w:spacing w:after="0" w:line="253" w:lineRule="auto"/>
        <w:rPr>
          <w:sz w:val="20"/>
          <w:szCs w:val="20"/>
          <w:color w:val="auto"/>
        </w:rPr>
      </w:pPr>
      <w:r>
        <w:rPr>
          <w:rFonts w:ascii="Arial" w:cs="Arial" w:eastAsia="Arial" w:hAnsi="Arial"/>
          <w:sz w:val="17"/>
          <w:szCs w:val="17"/>
          <w:color w:val="auto"/>
        </w:rPr>
        <w:t>Historically, we have financed our business through cash provided by operating activities, the issuance of common stock, and bank borrowings. Our liquidity requirements arise primarily from investing activities, including funding of acquisitions, and other capital expenditures. On October 26, 2016, we sold the operations of AHN and received approximately $1.4 million, net of cash on hand. Subsequent to December 31, 2017, we sold the operations of Denville Scientific, Inc. and received approximately $17.0 million. Simultaneously, we retired our existing debt balances of approximately $11.9 million. On January 31, 2018, we entered into a financing agreement which comprised of a $64.0 million term loan and up to a $25.0 million line of credit. Finally, on January 31, 2018, we acquired Data Sciences International, Inc. for $70.0 million.</w:t>
      </w:r>
    </w:p>
    <w:p>
      <w:pPr>
        <w:spacing w:after="0" w:line="181" w:lineRule="exact"/>
        <w:rPr>
          <w:sz w:val="20"/>
          <w:szCs w:val="20"/>
          <w:color w:val="auto"/>
        </w:rPr>
      </w:pPr>
    </w:p>
    <w:p>
      <w:pPr>
        <w:ind w:right="200" w:firstLine="413"/>
        <w:spacing w:after="0" w:line="277" w:lineRule="auto"/>
        <w:rPr>
          <w:sz w:val="20"/>
          <w:szCs w:val="20"/>
          <w:color w:val="auto"/>
        </w:rPr>
      </w:pPr>
      <w:r>
        <w:rPr>
          <w:rFonts w:ascii="Arial" w:cs="Arial" w:eastAsia="Arial" w:hAnsi="Arial"/>
          <w:sz w:val="16"/>
          <w:szCs w:val="16"/>
          <w:color w:val="auto"/>
        </w:rPr>
        <w:t>As of December 31, 2017, we held cash and cash equivalents of $5.7 million, compared with $5.6 million at December 31, 2016. As of December 31, 2017 and December 31, 2016, we had $11.7 million and $13.7 million, respectively, of borrowings outstanding under our credit facility. Total debt, net of cash and cash equivalents was $6.0 million at December 31, 2017, compared to $8.1 million at December 31, 2016. In addition, we had an underfunded United Kingdom pension liability of approximately $1.2 million and $3.0 million at December 31, 2017 and December 31, 2016, respectively.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228" w:right="25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firstLine="413"/>
        <w:spacing w:after="0" w:line="291" w:lineRule="auto"/>
        <w:rPr>
          <w:sz w:val="20"/>
          <w:szCs w:val="20"/>
          <w:color w:val="auto"/>
        </w:rPr>
      </w:pPr>
      <w:r>
        <w:rPr>
          <w:rFonts w:ascii="Arial" w:cs="Arial" w:eastAsia="Arial" w:hAnsi="Arial"/>
          <w:sz w:val="15"/>
          <w:szCs w:val="15"/>
          <w:color w:val="auto"/>
        </w:rPr>
        <w:t>As of December 31, 2017 and December 31, 2016, cash and cash equivalents held by our foreign subsidiaries was $4.8 million and $4.5 million, respectively. Funds held by our foreign subsidiaries are not available for domestic operations unless the funds are repatriated. At December 31, 2017, we changed our indefinite reinvestment assertion to provide that all foreign earnings above the level required for local operating expenses would be repatriated to the U.S. in tax years after 2017. At December 31, 2017, as we were considering a potential U.S. acquisition, we changed our assertion and it was anticipated that U.S. needs would require repatriation of all foreign subsidiaries’ earnings rather than just France and Canada. As a result of the Tax Act, all prior unremitted earnings are deemed paid and included in the current provision under the one-time repatriation tax calculation. Prior to 2017, this modified assertion only applied to our subsidiaries in France and Canada. Therefore, no tax liability other than withholding tax has been accrued at December 31, 2017 for these anticipated repatriations.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Cash Flow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5"/>
          </w:tcPr>
          <w:p>
            <w:pPr>
              <w:jc w:val="center"/>
              <w:ind w:left="396"/>
              <w:spacing w:after="0"/>
              <w:rPr>
                <w:sz w:val="20"/>
                <w:szCs w:val="20"/>
                <w:color w:val="auto"/>
              </w:rPr>
            </w:pPr>
            <w:r>
              <w:rPr>
                <w:rFonts w:ascii="Arial" w:cs="Arial" w:eastAsia="Arial" w:hAnsi="Arial"/>
                <w:sz w:val="17"/>
                <w:szCs w:val="17"/>
                <w:b w:val="1"/>
                <w:bCs w:val="1"/>
                <w:color w:val="auto"/>
                <w:w w:val="90"/>
              </w:rPr>
              <w:t>Year Ended December 31,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96"/>
              <w:spacing w:after="0"/>
              <w:rPr>
                <w:sz w:val="20"/>
                <w:szCs w:val="20"/>
                <w:color w:val="auto"/>
              </w:rPr>
            </w:pPr>
            <w:r>
              <w:rPr>
                <w:rFonts w:ascii="Arial" w:cs="Arial" w:eastAsia="Arial" w:hAnsi="Arial"/>
                <w:sz w:val="17"/>
                <w:szCs w:val="17"/>
                <w:b w:val="1"/>
                <w:bCs w:val="1"/>
                <w:color w:val="auto"/>
                <w:w w:val="89"/>
              </w:rPr>
              <w:t>2016</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7"/>
                <w:szCs w:val="17"/>
                <w:color w:val="auto"/>
                <w:w w:val="89"/>
              </w:rPr>
              <w:t>(in thousands)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operations:</w:t>
            </w:r>
          </w:p>
        </w:tc>
        <w:tc>
          <w:tcPr>
            <w:tcW w:w="1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140"/>
              <w:spacing w:after="0"/>
              <w:rPr>
                <w:sz w:val="20"/>
                <w:szCs w:val="20"/>
                <w:color w:val="auto"/>
              </w:rPr>
            </w:pPr>
            <w:r>
              <w:rPr>
                <w:rFonts w:ascii="Arial" w:cs="Arial" w:eastAsia="Arial" w:hAnsi="Arial"/>
                <w:sz w:val="17"/>
                <w:szCs w:val="17"/>
                <w:color w:val="auto"/>
              </w:rPr>
              <w:t>Net loss</w:t>
            </w:r>
          </w:p>
        </w:tc>
        <w:tc>
          <w:tcPr>
            <w:tcW w:w="2560" w:type="dxa"/>
            <w:vAlign w:val="bottom"/>
            <w:gridSpan w:val="2"/>
          </w:tcPr>
          <w:p>
            <w:pPr>
              <w:jc w:val="right"/>
              <w:ind w:right="816"/>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(865)</w:t>
            </w:r>
          </w:p>
        </w:tc>
        <w:tc>
          <w:tcPr>
            <w:tcW w:w="10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(4,307)</w:t>
            </w:r>
          </w:p>
        </w:tc>
        <w:tc>
          <w:tcPr>
            <w:tcW w:w="120" w:type="dxa"/>
            <w:vAlign w:val="bottom"/>
          </w:tcPr>
          <w:p>
            <w:pPr>
              <w:spacing w:after="0"/>
              <w:rPr>
                <w:sz w:val="17"/>
                <w:szCs w:val="17"/>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(19,039)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assets and liabilities</w:t>
            </w:r>
          </w:p>
        </w:tc>
        <w:tc>
          <w:tcPr>
            <w:tcW w:w="1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adjustments to operating cash flows</w:t>
            </w:r>
          </w:p>
        </w:tc>
        <w:tc>
          <w:tcPr>
            <w:tcW w:w="15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5,733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9,731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22,463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cash provided by operating activities</w:t>
            </w:r>
          </w:p>
        </w:tc>
        <w:tc>
          <w:tcPr>
            <w:tcW w:w="1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1,057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5,383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Investing activities:</w:t>
            </w:r>
          </w:p>
        </w:tc>
        <w:tc>
          <w:tcPr>
            <w:tcW w:w="1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140"/>
              <w:spacing w:after="0"/>
              <w:rPr>
                <w:sz w:val="20"/>
                <w:szCs w:val="20"/>
                <w:color w:val="auto"/>
              </w:rPr>
            </w:pPr>
            <w:r>
              <w:rPr>
                <w:rFonts w:ascii="Arial" w:cs="Arial" w:eastAsia="Arial" w:hAnsi="Arial"/>
                <w:sz w:val="17"/>
                <w:szCs w:val="17"/>
                <w:color w:val="auto"/>
              </w:rPr>
              <w:t>Additions to property, plant and equipment</w:t>
            </w:r>
          </w:p>
        </w:tc>
        <w:tc>
          <w:tcPr>
            <w:tcW w:w="1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(1,445)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(2,960)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Acquisitions, net of cash acquired</w:t>
            </w:r>
          </w:p>
        </w:tc>
        <w:tc>
          <w:tcPr>
            <w:tcW w:w="1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140"/>
              <w:spacing w:after="0"/>
              <w:rPr>
                <w:sz w:val="20"/>
                <w:szCs w:val="20"/>
                <w:color w:val="auto"/>
              </w:rPr>
            </w:pPr>
            <w:r>
              <w:rPr>
                <w:rFonts w:ascii="Arial" w:cs="Arial" w:eastAsia="Arial" w:hAnsi="Arial"/>
                <w:sz w:val="17"/>
                <w:szCs w:val="17"/>
                <w:color w:val="auto"/>
              </w:rPr>
              <w:t>Dispositions, net of cash on hand</w:t>
            </w:r>
          </w:p>
        </w:tc>
        <w:tc>
          <w:tcPr>
            <w:tcW w:w="1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1,417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investing activities</w:t>
            </w:r>
          </w:p>
        </w:tc>
        <w:tc>
          <w:tcPr>
            <w:tcW w:w="15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20" w:type="dxa"/>
            <w:vAlign w:val="bottom"/>
          </w:tcPr>
          <w:p>
            <w:pPr>
              <w:ind w:left="320"/>
              <w:spacing w:after="0"/>
              <w:rPr>
                <w:sz w:val="20"/>
                <w:szCs w:val="20"/>
                <w:color w:val="auto"/>
              </w:rPr>
            </w:pPr>
            <w:r>
              <w:rPr>
                <w:rFonts w:ascii="Arial" w:cs="Arial" w:eastAsia="Arial" w:hAnsi="Arial"/>
                <w:sz w:val="17"/>
                <w:szCs w:val="17"/>
                <w:color w:val="auto"/>
              </w:rPr>
              <w:t>Net cash used by investing activities</w:t>
            </w:r>
          </w:p>
        </w:tc>
        <w:tc>
          <w:tcPr>
            <w:tcW w:w="1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(7,517)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Financing activities:</w:t>
            </w:r>
          </w:p>
        </w:tc>
        <w:tc>
          <w:tcPr>
            <w:tcW w:w="1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repayments of debt</w:t>
            </w:r>
          </w:p>
        </w:tc>
        <w:tc>
          <w:tcPr>
            <w:tcW w:w="1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financing activities</w:t>
            </w:r>
          </w:p>
        </w:tc>
        <w:tc>
          <w:tcPr>
            <w:tcW w:w="15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160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182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cash used by financing activities</w:t>
            </w:r>
          </w:p>
        </w:tc>
        <w:tc>
          <w:tcPr>
            <w:tcW w:w="1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(540)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w:t>
            </w:r>
          </w:p>
        </w:tc>
        <w:tc>
          <w:tcPr>
            <w:tcW w:w="15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1,789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cash and cash equivalents</w:t>
            </w:r>
          </w:p>
        </w:tc>
        <w:tc>
          <w:tcPr>
            <w:tcW w:w="2560" w:type="dxa"/>
            <w:vAlign w:val="bottom"/>
            <w:gridSpan w:val="2"/>
            <w:shd w:val="clear" w:color="auto" w:fill="CCEEFF"/>
          </w:tcPr>
          <w:p>
            <w:pPr>
              <w:jc w:val="right"/>
              <w:ind w:right="816"/>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60" w:firstLine="413"/>
        <w:spacing w:after="0" w:line="256" w:lineRule="auto"/>
        <w:rPr>
          <w:sz w:val="20"/>
          <w:szCs w:val="20"/>
          <w:color w:val="auto"/>
        </w:rPr>
      </w:pPr>
      <w:r>
        <w:rPr>
          <w:rFonts w:ascii="Arial" w:cs="Arial" w:eastAsia="Arial" w:hAnsi="Arial"/>
          <w:sz w:val="17"/>
          <w:szCs w:val="17"/>
          <w:color w:val="auto"/>
        </w:rPr>
        <w:t>Our operating activities provided cash of $1.1 million, $5.4 million and $0.7 million for the years ended December 31, 2017, 2016 and 2015, respectively. The decrease in cash flows from operations in 2017 compared to 2016 was primarily due to larger outflows due to working capital changes in 2017 as well as larger noncash charges in 2016. The increase in cash flows from operations in 2016 compared to 2015 was primarily due to a lower net loss with higher noncash charges in 2016, and a decrease in inventory and receivables as compared to 2015.</w:t>
      </w:r>
    </w:p>
    <w:p>
      <w:pPr>
        <w:spacing w:after="0" w:line="178" w:lineRule="exact"/>
        <w:rPr>
          <w:sz w:val="20"/>
          <w:szCs w:val="20"/>
          <w:color w:val="auto"/>
        </w:rPr>
      </w:pPr>
    </w:p>
    <w:p>
      <w:pPr>
        <w:ind w:right="20" w:firstLine="413"/>
        <w:spacing w:after="0" w:line="293" w:lineRule="auto"/>
        <w:rPr>
          <w:sz w:val="20"/>
          <w:szCs w:val="20"/>
          <w:color w:val="auto"/>
        </w:rPr>
      </w:pPr>
      <w:r>
        <w:rPr>
          <w:rFonts w:ascii="Arial" w:cs="Arial" w:eastAsia="Arial" w:hAnsi="Arial"/>
          <w:sz w:val="15"/>
          <w:szCs w:val="15"/>
          <w:color w:val="auto"/>
        </w:rPr>
        <w:t>Our investing activities used cash of $0.9 million during the year ended December 31, 2017, $0.1 million for the year ended December 31, 2016, and $7.5 million for the year ended December 31, 2015. Investing activities during 2017, 2016 and 2015 included purchases of property, plant and equipment, proceeds from the sale of property, plant and equipment and expenditures for our catalogs. In addition, investing activities in 2016 included proceeds from the disposition of AHN, net of cash on hand, of $1.4 million. In January 2015, we acquired HEKA for approximately $4.5 million, net of cash acquired. During 2017, 2016 and 2015, capital expenditures were $0.9 million, $1.4 million and $3.0 million, respectively. The increases in capital expenditures in 2016 over 2015 was due to the investment in implementing a new Enterprise Resource Planning (ERP) platform. Capital expenditure decreased in 2017, as a significant amount of the upfront ERP costs had already been incurred.</w:t>
      </w:r>
    </w:p>
    <w:p>
      <w:pPr>
        <w:spacing w:after="0" w:line="154" w:lineRule="exact"/>
        <w:rPr>
          <w:sz w:val="20"/>
          <w:szCs w:val="20"/>
          <w:color w:val="auto"/>
        </w:rPr>
      </w:pPr>
    </w:p>
    <w:p>
      <w:pPr>
        <w:ind w:right="180" w:firstLine="413"/>
        <w:spacing w:after="0" w:line="268" w:lineRule="auto"/>
        <w:rPr>
          <w:sz w:val="20"/>
          <w:szCs w:val="20"/>
          <w:color w:val="auto"/>
        </w:rPr>
      </w:pPr>
      <w:r>
        <w:rPr>
          <w:rFonts w:ascii="Arial" w:cs="Arial" w:eastAsia="Arial" w:hAnsi="Arial"/>
          <w:sz w:val="16"/>
          <w:szCs w:val="16"/>
          <w:color w:val="auto"/>
        </w:rPr>
        <w:t>Our financing activities have historically consisted of borrowings and repayments under our revolving credit facility and term loans, payments of debt issuance costs, and the issuance of common stock. During the years ended December 31, 2017, 2016 and 2015, financing activities used cash of $1.8 million, $4.9 million and $0.5 million , respectively. During the year ended December 31, 2017, we borrowed $2.8 million under our credit facility, repaid $4.7 million of debt under our credit facility and term loans and ended the year with $11.7 million of borrowings. Net proceeds from the issuance of common stock for the year ended December 31, 2017 were $0.2 million, which related to the exercise of stock options and the employee stock purchase plan. During the year ended December 31, 2016, we borrowed $4.0 million under our credit facility, repaid $9.0 million of debt under our credit facility and term loans and ended the year with $13.7 million of borrowings. Net proceeds from the issuance of common stock for 2016 were $0.2 million, which related to the exercise of stock options and the employee stock purchase plan. During the year ended December 31, 2015, we borrowed $5.8 million under our credit facility, repaid $8.4 million of debt under our credit facility and term loans and ended the year with $18.9 million of borrowings. Net proceeds from the issuance of common stock for 2015 were $2.0 million, which related to the exercise of stock options and the employee stock purchase plan.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Borrowing Arrangements</w:t>
      </w:r>
    </w:p>
    <w:p>
      <w:pPr>
        <w:spacing w:after="0" w:line="209" w:lineRule="exact"/>
        <w:rPr>
          <w:sz w:val="20"/>
          <w:szCs w:val="20"/>
          <w:color w:val="auto"/>
        </w:rPr>
      </w:pPr>
    </w:p>
    <w:p>
      <w:pPr>
        <w:ind w:right="60" w:firstLine="413"/>
        <w:spacing w:after="0" w:line="254" w:lineRule="auto"/>
        <w:rPr>
          <w:sz w:val="20"/>
          <w:szCs w:val="20"/>
          <w:color w:val="auto"/>
        </w:rPr>
      </w:pPr>
      <w:r>
        <w:rPr>
          <w:rFonts w:ascii="Arial" w:cs="Arial" w:eastAsia="Arial" w:hAnsi="Arial"/>
          <w:sz w:val="17"/>
          <w:szCs w:val="17"/>
          <w:color w:val="auto"/>
        </w:rPr>
        <w:t>On August 7, 2009, we entered into an Amended and Restated Revolving Credit Loan Agreement related to a $20.0 million revolving credit facility with Bank of America, as agent, and Bank of America and Brown Brothers Harriman &amp; Co as lenders (as amended, the 2009 Credit Agreement). On March 29, 2013, we entered into a Second Amended and Restated Revolving Credit Agreement (as amended, the 2013 Credit Agreement) with Bank of America, as agent, and Bank of America and Brown Brothers Harriman &amp; Co, as lenders that amended and restated the 2009 Credit Agreement. Between September 2011 and May 2017, we entered into a series of amendments that among other things did the following:</w:t>
      </w:r>
    </w:p>
    <w:p>
      <w:pPr>
        <w:spacing w:after="0" w:line="180" w:lineRule="exact"/>
        <w:rPr>
          <w:sz w:val="20"/>
          <w:szCs w:val="20"/>
          <w:color w:val="auto"/>
        </w:rPr>
      </w:pPr>
    </w:p>
    <w:p>
      <w:pPr>
        <w:ind w:left="1020" w:hanging="298"/>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September 30, 2011, reduced interest rates to the London Interbank Offered Rate plus 3.0%;</w:t>
      </w:r>
    </w:p>
    <w:p>
      <w:pPr>
        <w:spacing w:after="0" w:line="209" w:lineRule="exact"/>
        <w:rPr>
          <w:rFonts w:ascii="Arial" w:cs="Arial" w:eastAsia="Arial" w:hAnsi="Arial"/>
          <w:sz w:val="17"/>
          <w:szCs w:val="17"/>
          <w:color w:val="auto"/>
        </w:rPr>
      </w:pPr>
    </w:p>
    <w:p>
      <w:pPr>
        <w:ind w:left="1020" w:right="40" w:hanging="298"/>
        <w:spacing w:after="0" w:line="260"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March 29, 2013, converted existing loan advances into a term loan in the principal amount of $15.0 million (the 2013 Term Loan), provided a revolving credit facility in the maximum principal amount of $25.0 million (the 2013 Revolving Line) and a delayed draw term loan (the 2013 DDTL) of up to $15.0 million;</w:t>
      </w:r>
    </w:p>
    <w:p>
      <w:pPr>
        <w:spacing w:after="0" w:line="174" w:lineRule="exact"/>
        <w:rPr>
          <w:rFonts w:ascii="Arial" w:cs="Arial" w:eastAsia="Arial" w:hAnsi="Arial"/>
          <w:sz w:val="17"/>
          <w:szCs w:val="17"/>
          <w:color w:val="auto"/>
        </w:rPr>
      </w:pPr>
    </w:p>
    <w:p>
      <w:pPr>
        <w:ind w:left="1020" w:hanging="298"/>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October 31, 2013, reduced the 2013 DDTL from up to $15.0 million to up to $10.0 million;</w:t>
      </w:r>
    </w:p>
    <w:p>
      <w:pPr>
        <w:spacing w:after="0" w:line="209" w:lineRule="exact"/>
        <w:rPr>
          <w:rFonts w:ascii="Arial" w:cs="Arial" w:eastAsia="Arial" w:hAnsi="Arial"/>
          <w:sz w:val="17"/>
          <w:szCs w:val="17"/>
          <w:color w:val="auto"/>
        </w:rPr>
      </w:pPr>
    </w:p>
    <w:p>
      <w:pPr>
        <w:ind w:left="1020" w:right="140" w:hanging="298"/>
        <w:spacing w:after="0" w:line="271"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April 24, 2015, extended the maturity date of the 2013 Revolving Line to March 29, 2018 and reduced the interest rates on the 2013 Revolving Line, 2013 Term Loan and 2013 DDTL;</w:t>
      </w:r>
    </w:p>
    <w:p>
      <w:pPr>
        <w:spacing w:after="0" w:line="165" w:lineRule="exact"/>
        <w:rPr>
          <w:rFonts w:ascii="Arial" w:cs="Arial" w:eastAsia="Arial" w:hAnsi="Arial"/>
          <w:sz w:val="17"/>
          <w:szCs w:val="17"/>
          <w:color w:val="auto"/>
        </w:rPr>
      </w:pPr>
    </w:p>
    <w:p>
      <w:pPr>
        <w:ind w:left="1020" w:hanging="298"/>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June 30, 2015, amended its quarterly minimum fixed charge coverage financial covenant;</w:t>
      </w:r>
    </w:p>
    <w:p>
      <w:pPr>
        <w:spacing w:after="0" w:line="209" w:lineRule="exact"/>
        <w:rPr>
          <w:rFonts w:ascii="Arial" w:cs="Arial" w:eastAsia="Arial" w:hAnsi="Arial"/>
          <w:sz w:val="17"/>
          <w:szCs w:val="17"/>
          <w:color w:val="auto"/>
        </w:rPr>
      </w:pPr>
    </w:p>
    <w:p>
      <w:pPr>
        <w:ind w:left="1020" w:right="220" w:hanging="298"/>
        <w:spacing w:after="0" w:line="271"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March 9, 2016, amended the principal payment amortization of the 2013 Term Loan and 2013 DDTL to five years, as well as amended its quarterly minimum fixed charge coverage financial covenant; and</w:t>
      </w:r>
    </w:p>
    <w:p>
      <w:pPr>
        <w:spacing w:after="0" w:line="165" w:lineRule="exact"/>
        <w:rPr>
          <w:rFonts w:ascii="Arial" w:cs="Arial" w:eastAsia="Arial" w:hAnsi="Arial"/>
          <w:sz w:val="17"/>
          <w:szCs w:val="17"/>
          <w:color w:val="auto"/>
        </w:rPr>
      </w:pPr>
    </w:p>
    <w:p>
      <w:pPr>
        <w:ind w:left="1020" w:right="40" w:hanging="298"/>
        <w:spacing w:after="0" w:line="303"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May 2, 2017, entered into a Third Amended and Restated Revolving Credit Agreement (as amended, the Credit Agreement) with Bank of America, as agent, and Bank of America and Brown Brothers Harriman &amp; Co, as lenders that amended and restated the 2013 Credit Agreement.</w:t>
      </w:r>
    </w:p>
    <w:p>
      <w:pPr>
        <w:spacing w:after="0" w:line="143" w:lineRule="exact"/>
        <w:rPr>
          <w:sz w:val="20"/>
          <w:szCs w:val="20"/>
          <w:color w:val="auto"/>
        </w:rPr>
      </w:pPr>
    </w:p>
    <w:p>
      <w:pPr>
        <w:ind w:right="20" w:firstLine="413"/>
        <w:spacing w:after="0" w:line="293" w:lineRule="auto"/>
        <w:rPr>
          <w:sz w:val="20"/>
          <w:szCs w:val="20"/>
          <w:color w:val="auto"/>
        </w:rPr>
      </w:pPr>
      <w:r>
        <w:rPr>
          <w:rFonts w:ascii="Arial" w:cs="Arial" w:eastAsia="Arial" w:hAnsi="Arial"/>
          <w:sz w:val="15"/>
          <w:szCs w:val="15"/>
          <w:color w:val="auto"/>
        </w:rPr>
        <w:t>The Credit Agreement was entered into to, among other things, consolidate, combine and restate the outstanding indebtedness, on the date of the Credit Agreement, into a term loan (the Term Loan) in the principal amount of $14.0 million, and also provide for a $25.0 million revolving line of credit (the Revolving Line). The Term Loan and the Revolving Line each have a maturity date of May 1, 2022. Borrowings under the Term Loan accrue interest at a rate based on either the effective LIBOR for certain interest periods selected by us, or a daily floating rate based on the BBA LIBOR as published by Reuters (or other commercially available source providing quotations of BBA LIBOR), plus in either case, a margin of 2.75%. Additionally, the Revolving Line accrues interest at a rate based on either the effective LIBOR for certain interest periods selected by us, or a daily floating rate based on the BBA LIBOR, plus in either case, a margin of 2.25%.</w:t>
      </w:r>
    </w:p>
    <w:p>
      <w:pPr>
        <w:spacing w:after="0" w:line="154" w:lineRule="exact"/>
        <w:rPr>
          <w:sz w:val="20"/>
          <w:szCs w:val="20"/>
          <w:color w:val="auto"/>
        </w:rPr>
      </w:pPr>
    </w:p>
    <w:p>
      <w:pPr>
        <w:ind w:firstLine="413"/>
        <w:spacing w:after="0" w:line="271" w:lineRule="auto"/>
        <w:rPr>
          <w:sz w:val="20"/>
          <w:szCs w:val="20"/>
          <w:color w:val="auto"/>
        </w:rPr>
      </w:pPr>
      <w:r>
        <w:rPr>
          <w:rFonts w:ascii="Arial" w:cs="Arial" w:eastAsia="Arial" w:hAnsi="Arial"/>
          <w:sz w:val="16"/>
          <w:szCs w:val="16"/>
          <w:color w:val="auto"/>
        </w:rPr>
        <w:t>The Term Loan and loans under the Revolving Line evidenced by the Credit Agreement, or the Loans, are guaranteed by all of our direct and indirect domestic subsidiaries, and secured by substantially all of the assets of the Company and the guarantors. The Loans are subject to restrictive covenants under the Credit Agreement, and financial covenants that require us and our subsidiaries to maintain certain financial ratios on a consolidated basis, including a maximum leverage, minimum fixed charge coverage and minimum working capital. Prepayment of the Loans is allowed by the Credit Agreement at any time during the terms of the Loans. The Loans also contain limitations on our ability to incur additional indebtedness and requires lender approval for acquisitions funded with cash, promissory notes and/or other consideration in excess of $6.0 million and for acquisitions funded solely with equity in excess of $10.0 million.</w:t>
      </w:r>
    </w:p>
    <w:p>
      <w:pPr>
        <w:spacing w:after="0" w:line="171" w:lineRule="exact"/>
        <w:rPr>
          <w:sz w:val="20"/>
          <w:szCs w:val="20"/>
          <w:color w:val="auto"/>
        </w:rPr>
      </w:pPr>
    </w:p>
    <w:p>
      <w:pPr>
        <w:ind w:right="40" w:firstLine="413"/>
        <w:spacing w:after="0" w:line="260" w:lineRule="auto"/>
        <w:rPr>
          <w:sz w:val="20"/>
          <w:szCs w:val="20"/>
          <w:color w:val="auto"/>
        </w:rPr>
      </w:pPr>
      <w:r>
        <w:rPr>
          <w:rFonts w:ascii="Arial" w:cs="Arial" w:eastAsia="Arial" w:hAnsi="Arial"/>
          <w:sz w:val="17"/>
          <w:szCs w:val="17"/>
          <w:color w:val="auto"/>
        </w:rPr>
        <w:t>As of December 31, 2017 and December 31, 2016, we had borrowings of $11.7 million and $13.7 million, net of deferred financing costs, respectively, outstanding under our Credit Agreement. The carrying value of the debt approximates fair value because the interest rate under the obligation approximates market rates of interest available to us for similar instruments.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2017, the weighted effective interest rates, net of the impact of our interest rate swaps, on our Term Loan, was 4.61%.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140" w:firstLine="456"/>
        <w:spacing w:after="0" w:line="303" w:lineRule="auto"/>
        <w:rPr>
          <w:sz w:val="20"/>
          <w:szCs w:val="20"/>
          <w:color w:val="auto"/>
        </w:rPr>
      </w:pPr>
      <w:r>
        <w:rPr>
          <w:rFonts w:ascii="Arial" w:cs="Arial" w:eastAsia="Arial" w:hAnsi="Arial"/>
          <w:sz w:val="16"/>
          <w:szCs w:val="16"/>
          <w:color w:val="auto"/>
        </w:rPr>
        <w:t>On January 22, 2018, in connection with the sale of Denville, we terminated the Credit Agreement. All outstanding amounts under the agreement were repaid in full using a portion of the proceeds of the Denville sale. At the time of repayment, there was approximately $11.9 million outstanding.</w:t>
      </w:r>
    </w:p>
    <w:p>
      <w:pPr>
        <w:spacing w:after="0" w:line="143" w:lineRule="exact"/>
        <w:rPr>
          <w:sz w:val="20"/>
          <w:szCs w:val="20"/>
          <w:color w:val="auto"/>
        </w:rPr>
      </w:pPr>
    </w:p>
    <w:p>
      <w:pPr>
        <w:ind w:right="200" w:firstLine="456"/>
        <w:spacing w:after="0" w:line="260" w:lineRule="auto"/>
        <w:rPr>
          <w:sz w:val="20"/>
          <w:szCs w:val="20"/>
          <w:color w:val="auto"/>
        </w:rPr>
      </w:pPr>
      <w:r>
        <w:rPr>
          <w:rFonts w:ascii="Arial" w:cs="Arial" w:eastAsia="Arial" w:hAnsi="Arial"/>
          <w:sz w:val="17"/>
          <w:szCs w:val="17"/>
          <w:color w:val="auto"/>
        </w:rPr>
        <w:t>On January 31, 2018, we acquired all of the issued and outstanding shares of Data Sciences International, Inc. (DSI), a Delaware corporation for approximately $70.0 million. We funded the acquisition from our existing cash balances, the proceeds of the Denville transaction and the proceeds of the Financing Agreement discussed below.</w:t>
      </w:r>
    </w:p>
    <w:p>
      <w:pPr>
        <w:spacing w:after="0" w:line="174" w:lineRule="exact"/>
        <w:rPr>
          <w:sz w:val="20"/>
          <w:szCs w:val="20"/>
          <w:color w:val="auto"/>
        </w:rPr>
      </w:pPr>
    </w:p>
    <w:p>
      <w:pPr>
        <w:ind w:right="240" w:firstLine="456"/>
        <w:spacing w:after="0" w:line="260" w:lineRule="auto"/>
        <w:rPr>
          <w:sz w:val="20"/>
          <w:szCs w:val="20"/>
          <w:color w:val="auto"/>
        </w:rPr>
      </w:pPr>
      <w:r>
        <w:rPr>
          <w:rFonts w:ascii="Arial" w:cs="Arial" w:eastAsia="Arial" w:hAnsi="Arial"/>
          <w:sz w:val="17"/>
          <w:szCs w:val="17"/>
          <w:color w:val="auto"/>
        </w:rPr>
        <w:t>Additionally, on January 31, 2018, we entered into a financing agreement by and among us and certain of our subsidiaries, as borrowers (collectively, the Borrower), certain of our subsidiaries, as guarantors, various lenders from time to time party thereto (the Lenders), and Cerberus Business Finance, LLC, as collateral agent and administrative agent for the Lenders (the Financing Agreement).</w:t>
      </w:r>
    </w:p>
    <w:p>
      <w:pPr>
        <w:spacing w:after="0" w:line="174" w:lineRule="exact"/>
        <w:rPr>
          <w:sz w:val="20"/>
          <w:szCs w:val="20"/>
          <w:color w:val="auto"/>
        </w:rPr>
      </w:pPr>
    </w:p>
    <w:p>
      <w:pPr>
        <w:ind w:firstLine="456"/>
        <w:spacing w:after="0" w:line="253" w:lineRule="auto"/>
        <w:rPr>
          <w:sz w:val="20"/>
          <w:szCs w:val="20"/>
          <w:color w:val="auto"/>
        </w:rPr>
      </w:pPr>
      <w:r>
        <w:rPr>
          <w:rFonts w:ascii="Arial" w:cs="Arial" w:eastAsia="Arial" w:hAnsi="Arial"/>
          <w:sz w:val="17"/>
          <w:szCs w:val="17"/>
          <w:color w:val="auto"/>
        </w:rPr>
        <w:t>The Financing Agreement provides for senior secured credit facilities (the Senior Secured Credit Facilities) comprised of a $64.0 million term loan and up to a $25.0 million revolving line of credit. The proceeds of the term loan and $4.8 million of advances under the revolving line of credit were used to fund a portion of the DSI acquisition, and to pay fees and expenses related thereto and the closing of the Senior Secured Credit Facilities. In addition, the revolving facility is available for use by us and our subsidiaries for general corporate and working capital needs, and other purposes to the extent permitted by the Financing Agreement. The Senior Secured Credit Facilities have a maturity of five years. At the closing date of the Financing Agreement, we had approximately $14.5 million of available borrowing capacity under the revolving line of credit.</w:t>
      </w:r>
    </w:p>
    <w:p>
      <w:pPr>
        <w:spacing w:after="0" w:line="181" w:lineRule="exact"/>
        <w:rPr>
          <w:sz w:val="20"/>
          <w:szCs w:val="20"/>
          <w:color w:val="auto"/>
        </w:rPr>
      </w:pPr>
    </w:p>
    <w:p>
      <w:pPr>
        <w:ind w:right="220" w:firstLine="456"/>
        <w:spacing w:after="0" w:line="260" w:lineRule="auto"/>
        <w:rPr>
          <w:sz w:val="20"/>
          <w:szCs w:val="20"/>
          <w:color w:val="auto"/>
        </w:rPr>
      </w:pPr>
      <w:r>
        <w:rPr>
          <w:rFonts w:ascii="Arial" w:cs="Arial" w:eastAsia="Arial" w:hAnsi="Arial"/>
          <w:sz w:val="17"/>
          <w:szCs w:val="17"/>
          <w:color w:val="auto"/>
        </w:rPr>
        <w:t>Commencing on March 31, 2018, the outstanding term loans will amortize in equal quarterly installments equal to $0.4 million per quarter on such date and during each of the next three quarters thereafter, $0.6 million per quarter during the next four quarters thereafter and $0.8 million per quarter thereafter, with a balloon payment at maturity.</w:t>
      </w:r>
    </w:p>
    <w:p>
      <w:pPr>
        <w:spacing w:after="0" w:line="174"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The obligations of the Borrower under the Senior Secured Credit Facilities are unconditionally guaranteed by us and certain of our existing and subsequently acquired or organized subsidiaries. The Senior Secured Credit Facilities and related guarantees are secured on a first-priority basis (subject to certain liens permitted under the Financing Agreement) by a lien on substantially all the tangible and intangible assets of the Borrower and the subsidiary guarantors, including all of the capital stock held by such obligors (subject to a 65% limitation on pledges of capital stock of foreign subsidiaries), subject to certain exceptions.</w:t>
      </w:r>
    </w:p>
    <w:p>
      <w:pPr>
        <w:spacing w:after="0" w:line="147" w:lineRule="exact"/>
        <w:rPr>
          <w:sz w:val="20"/>
          <w:szCs w:val="20"/>
          <w:color w:val="auto"/>
        </w:rPr>
      </w:pPr>
    </w:p>
    <w:p>
      <w:pPr>
        <w:ind w:right="280" w:firstLine="456"/>
        <w:spacing w:after="0" w:line="260" w:lineRule="auto"/>
        <w:rPr>
          <w:sz w:val="20"/>
          <w:szCs w:val="20"/>
          <w:color w:val="auto"/>
        </w:rPr>
      </w:pPr>
      <w:r>
        <w:rPr>
          <w:rFonts w:ascii="Arial" w:cs="Arial" w:eastAsia="Arial" w:hAnsi="Arial"/>
          <w:sz w:val="17"/>
          <w:szCs w:val="17"/>
          <w:color w:val="auto"/>
        </w:rPr>
        <w:t>Interest on all loans under the Senior Secured Credit Facilities is paid monthly. Borrowings under the Financing Agreement accrue interest at a per annum rate equal to, at our option, a base rate plus 4.75% or a LIBOR rate plus 6.25%. The loans are also subject to a 1.25% interest rate floor for LIBOR loans and a 4.25% interest rate floor for base rate loans.</w:t>
      </w:r>
    </w:p>
    <w:p>
      <w:pPr>
        <w:spacing w:after="0" w:line="174" w:lineRule="exact"/>
        <w:rPr>
          <w:sz w:val="20"/>
          <w:szCs w:val="20"/>
          <w:color w:val="auto"/>
        </w:rPr>
      </w:pPr>
    </w:p>
    <w:p>
      <w:pPr>
        <w:ind w:right="60" w:firstLine="456"/>
        <w:spacing w:after="0" w:line="301" w:lineRule="auto"/>
        <w:rPr>
          <w:sz w:val="20"/>
          <w:szCs w:val="20"/>
          <w:color w:val="auto"/>
        </w:rPr>
      </w:pPr>
      <w:r>
        <w:rPr>
          <w:rFonts w:ascii="Arial" w:cs="Arial" w:eastAsia="Arial" w:hAnsi="Arial"/>
          <w:sz w:val="15"/>
          <w:szCs w:val="15"/>
          <w:color w:val="auto"/>
        </w:rPr>
        <w:t>As a result of terminating the Credit Agreement, we unwound our previously existing swap agreement and received an immaterial amount of proceeds. On February 16, 2018, we entered into a new interest rate swap contract with PNC bank with a notional amount of $36.0 million and a termination date of January 31, 2023 in order to hedge the risk of changes in the effective benchmark interest rate (LIBOR) associated with the Financing Agreement. The swap contract converted specific variable-rate debt into fixed-rate debt and fixed the LIBOR rate associated with a portion of the term loan under the Financing Agreement at 2.72%.</w:t>
      </w:r>
    </w:p>
    <w:p>
      <w:pPr>
        <w:spacing w:after="0" w:line="14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7"/>
          <w:szCs w:val="17"/>
          <w:color w:val="auto"/>
        </w:rPr>
        <w:t>The Financing Agreement contains customary representations and warranties and affirmative covenants applicable us and our subsidiaries and also contains certain restrictive covenants, including, among others, limitations on the incurrence of additional debt, liens on property, acquisitions and investments, loans and guarantees, mergers, consolidations, liquidations and dissolutions, asset sales, dividends and other payments in respect of the Company’s capital stock, prepayments of certain debt, transactions with affiliates and modifications of organizational documents, material contracts, affiliated practice agreements and certain debt agreements. The Financing Agreement also contains customary events of default.</w:t>
      </w:r>
    </w:p>
    <w:p>
      <w:pPr>
        <w:spacing w:after="0" w:line="180" w:lineRule="exact"/>
        <w:rPr>
          <w:sz w:val="20"/>
          <w:szCs w:val="20"/>
          <w:color w:val="auto"/>
        </w:rPr>
      </w:pPr>
    </w:p>
    <w:p>
      <w:pPr>
        <w:ind w:right="200" w:firstLine="413"/>
        <w:spacing w:after="0" w:line="271" w:lineRule="auto"/>
        <w:rPr>
          <w:sz w:val="20"/>
          <w:szCs w:val="20"/>
          <w:color w:val="auto"/>
        </w:rPr>
      </w:pPr>
      <w:r>
        <w:rPr>
          <w:rFonts w:ascii="Arial" w:cs="Arial" w:eastAsia="Arial" w:hAnsi="Arial"/>
          <w:sz w:val="16"/>
          <w:szCs w:val="16"/>
          <w:color w:val="auto"/>
        </w:rPr>
        <w:t>Our forecast of the period of time through which our financial resources will be adequate to support our operations is a forward-looking statement that involves risks and uncertainties, and actual results could vary as a result of a number of factors. Based on our current operations and current operating plans, we expect that our available cash, cash generated from current operations and debt capacity will be sufficient to finance current operations, any potential future acquisitions and capital expenditures for the next 12 months and beyond. This may involve incurring additional debt or raising equity capital for our business. Additional capital raising activities will dilute the ownership interests of existing stockholders to the extent we raise capital by issuing equity securities and we cannot guarantee that we will be successful in raising additional capital on favorable terms or at all.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following schedule represents our contractual obligations for our continuing operations, excluding interest, as of December 31, 2017.</w:t>
      </w:r>
    </w:p>
    <w:p>
      <w:pPr>
        <w:sectPr>
          <w:pgSz w:w="11900" w:h="16838" w:orient="portrait"/>
          <w:cols w:equalWidth="0" w:num="1">
            <w:col w:w="11420"/>
          </w:cols>
          <w:pgMar w:left="240" w:top="22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200"/>
        <w:spacing w:after="0" w:line="256" w:lineRule="auto"/>
        <w:rPr>
          <w:sz w:val="20"/>
          <w:szCs w:val="20"/>
          <w:color w:val="auto"/>
        </w:rPr>
      </w:pPr>
      <w:r>
        <w:rPr>
          <w:rFonts w:ascii="Arial" w:cs="Arial" w:eastAsia="Arial" w:hAnsi="Arial"/>
          <w:sz w:val="17"/>
          <w:szCs w:val="17"/>
          <w:color w:val="auto"/>
        </w:rPr>
        <w:t>Bank credit facility and notes payable Operating leases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20" w:type="dxa"/>
            <w:vAlign w:val="bottom"/>
          </w:tcPr>
          <w:p>
            <w:pPr>
              <w:spacing w:after="0"/>
              <w:rPr>
                <w:sz w:val="18"/>
                <w:szCs w:val="18"/>
                <w:color w:val="auto"/>
              </w:rPr>
            </w:pPr>
          </w:p>
        </w:tc>
        <w:tc>
          <w:tcPr>
            <w:tcW w:w="680" w:type="dxa"/>
            <w:vAlign w:val="bottom"/>
            <w:vMerge w:val="restart"/>
          </w:tcPr>
          <w:p>
            <w:pPr>
              <w:jc w:val="right"/>
              <w:ind w:right="196"/>
              <w:spacing w:after="0"/>
              <w:rPr>
                <w:sz w:val="20"/>
                <w:szCs w:val="20"/>
                <w:color w:val="auto"/>
              </w:rPr>
            </w:pPr>
            <w:r>
              <w:rPr>
                <w:rFonts w:ascii="Arial" w:cs="Arial" w:eastAsia="Arial" w:hAnsi="Arial"/>
                <w:sz w:val="17"/>
                <w:szCs w:val="17"/>
                <w:b w:val="1"/>
                <w:bCs w:val="1"/>
                <w:color w:val="auto"/>
                <w:w w:val="93"/>
              </w:rPr>
              <w:t>Total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restart"/>
          </w:tcPr>
          <w:p>
            <w:pPr>
              <w:jc w:val="right"/>
              <w:ind w:right="196"/>
              <w:spacing w:after="0"/>
              <w:rPr>
                <w:sz w:val="20"/>
                <w:szCs w:val="20"/>
                <w:color w:val="auto"/>
              </w:rPr>
            </w:pPr>
            <w:r>
              <w:rPr>
                <w:rFonts w:ascii="Arial" w:cs="Arial" w:eastAsia="Arial" w:hAnsi="Arial"/>
                <w:sz w:val="17"/>
                <w:szCs w:val="17"/>
                <w:b w:val="1"/>
                <w:bCs w:val="1"/>
                <w:color w:val="auto"/>
                <w:w w:val="95"/>
              </w:rPr>
              <w:t>2018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restart"/>
          </w:tcPr>
          <w:p>
            <w:pPr>
              <w:jc w:val="right"/>
              <w:ind w:right="196"/>
              <w:spacing w:after="0"/>
              <w:rPr>
                <w:sz w:val="20"/>
                <w:szCs w:val="20"/>
                <w:color w:val="auto"/>
              </w:rPr>
            </w:pPr>
            <w:r>
              <w:rPr>
                <w:rFonts w:ascii="Arial" w:cs="Arial" w:eastAsia="Arial" w:hAnsi="Arial"/>
                <w:sz w:val="17"/>
                <w:szCs w:val="17"/>
                <w:b w:val="1"/>
                <w:bCs w:val="1"/>
                <w:color w:val="auto"/>
                <w:w w:val="95"/>
              </w:rPr>
              <w:t>2019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restart"/>
          </w:tcPr>
          <w:p>
            <w:pPr>
              <w:jc w:val="right"/>
              <w:ind w:right="216"/>
              <w:spacing w:after="0"/>
              <w:rPr>
                <w:sz w:val="20"/>
                <w:szCs w:val="20"/>
                <w:color w:val="auto"/>
              </w:rPr>
            </w:pPr>
            <w:r>
              <w:rPr>
                <w:rFonts w:ascii="Arial" w:cs="Arial" w:eastAsia="Arial" w:hAnsi="Arial"/>
                <w:sz w:val="17"/>
                <w:szCs w:val="17"/>
                <w:b w:val="1"/>
                <w:bCs w:val="1"/>
                <w:color w:val="auto"/>
                <w:w w:val="95"/>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restart"/>
          </w:tcPr>
          <w:p>
            <w:pPr>
              <w:jc w:val="right"/>
              <w:ind w:right="196"/>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restart"/>
          </w:tcPr>
          <w:p>
            <w:pPr>
              <w:jc w:val="right"/>
              <w:ind w:right="196"/>
              <w:spacing w:after="0"/>
              <w:rPr>
                <w:sz w:val="20"/>
                <w:szCs w:val="20"/>
                <w:color w:val="auto"/>
              </w:rPr>
            </w:pPr>
            <w:r>
              <w:rPr>
                <w:rFonts w:ascii="Arial" w:cs="Arial" w:eastAsia="Arial" w:hAnsi="Arial"/>
                <w:sz w:val="17"/>
                <w:szCs w:val="17"/>
                <w:b w:val="1"/>
                <w:bCs w:val="1"/>
                <w:color w:val="auto"/>
                <w:w w:val="95"/>
              </w:rPr>
              <w:t>2022</w:t>
            </w:r>
          </w:p>
        </w:tc>
        <w:tc>
          <w:tcPr>
            <w:tcW w:w="22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Arial" w:cs="Arial" w:eastAsia="Arial" w:hAnsi="Arial"/>
                <w:sz w:val="17"/>
                <w:szCs w:val="17"/>
                <w:b w:val="1"/>
                <w:bCs w:val="1"/>
                <w:color w:val="auto"/>
              </w:rPr>
              <w:t>2023 and</w:t>
            </w:r>
          </w:p>
        </w:tc>
        <w:tc>
          <w:tcPr>
            <w:tcW w:w="0" w:type="dxa"/>
            <w:vAlign w:val="bottom"/>
          </w:tcPr>
          <w:p>
            <w:pPr>
              <w:spacing w:after="0"/>
              <w:rPr>
                <w:sz w:val="1"/>
                <w:szCs w:val="1"/>
                <w:color w:val="auto"/>
              </w:rPr>
            </w:pPr>
          </w:p>
        </w:tc>
      </w:tr>
      <w:tr>
        <w:trPr>
          <w:trHeight w:val="196"/>
        </w:trPr>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w w:val="96"/>
              </w:rPr>
              <w:t>Beyond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gridSpan w:val="4"/>
          </w:tcPr>
          <w:p>
            <w:pPr>
              <w:ind w:left="100"/>
              <w:spacing w:after="0" w:line="183" w:lineRule="exact"/>
              <w:rPr>
                <w:sz w:val="20"/>
                <w:szCs w:val="20"/>
                <w:color w:val="auto"/>
              </w:rPr>
            </w:pPr>
            <w:r>
              <w:rPr>
                <w:rFonts w:ascii="Arial" w:cs="Arial" w:eastAsia="Arial" w:hAnsi="Arial"/>
                <w:sz w:val="17"/>
                <w:szCs w:val="17"/>
                <w:color w:val="auto"/>
                <w:w w:val="96"/>
              </w:rPr>
              <w:t>(in thousands)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11,899</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w w:val="99"/>
              </w:rPr>
              <w:t>11,899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8,974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1,744</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1,657</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1,501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1,110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1,089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1,873</w:t>
            </w:r>
          </w:p>
        </w:tc>
        <w:tc>
          <w:tcPr>
            <w:tcW w:w="0" w:type="dxa"/>
            <w:vAlign w:val="bottom"/>
          </w:tcPr>
          <w:p>
            <w:pPr>
              <w:spacing w:after="0"/>
              <w:rPr>
                <w:sz w:val="1"/>
                <w:szCs w:val="1"/>
                <w:color w:val="auto"/>
              </w:rPr>
            </w:pPr>
          </w:p>
        </w:tc>
      </w:tr>
      <w:tr>
        <w:trPr>
          <w:trHeight w:val="208"/>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20,873</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w w:val="99"/>
              </w:rPr>
              <w:t>13,643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6"/>
              <w:spacing w:after="0"/>
              <w:rPr>
                <w:sz w:val="20"/>
                <w:szCs w:val="20"/>
                <w:color w:val="auto"/>
              </w:rPr>
            </w:pPr>
            <w:r>
              <w:rPr>
                <w:rFonts w:ascii="Arial" w:cs="Arial" w:eastAsia="Arial" w:hAnsi="Arial"/>
                <w:sz w:val="17"/>
                <w:szCs w:val="17"/>
                <w:color w:val="auto"/>
              </w:rPr>
              <w:t>1,657</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1,501</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1,110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1,089</w:t>
            </w: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1,873</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-433070</wp:posOffset>
            </wp:positionV>
            <wp:extent cx="7255510" cy="1282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5510" cy="12827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-168275</wp:posOffset>
            </wp:positionV>
            <wp:extent cx="7255510" cy="152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5510" cy="152400"/>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3760" w:space="720"/>
            <w:col w:w="6940"/>
          </w:cols>
          <w:pgMar w:left="240" w:top="228" w:right="239" w:bottom="1440" w:gutter="0" w:footer="0" w:header="0"/>
          <w:type w:val="continuous"/>
        </w:sectPr>
      </w:pPr>
    </w:p>
    <w:p>
      <w:pPr>
        <w:ind w:right="300" w:firstLine="456"/>
        <w:spacing w:after="0" w:line="339" w:lineRule="auto"/>
        <w:rPr>
          <w:sz w:val="20"/>
          <w:szCs w:val="20"/>
          <w:color w:val="auto"/>
        </w:rPr>
      </w:pPr>
      <w:r>
        <w:rPr>
          <w:rFonts w:ascii="Arial" w:cs="Arial" w:eastAsia="Arial" w:hAnsi="Arial"/>
          <w:sz w:val="15"/>
          <w:szCs w:val="15"/>
          <w:color w:val="auto"/>
        </w:rPr>
        <w:t>As previously noted, we sold Denville in January 2018, and accordingly the table above excludes its future payments under operating leases. Additionally, we acquired DSI in January 2018, and as such the table above, which is as of December 31, 2017, excludes its future operating payments under its operating lease.</w:t>
      </w:r>
    </w:p>
    <w:p>
      <w:pPr>
        <w:spacing w:after="0" w:line="120" w:lineRule="exact"/>
        <w:rPr>
          <w:sz w:val="20"/>
          <w:szCs w:val="20"/>
          <w:color w:val="auto"/>
        </w:rPr>
      </w:pPr>
    </w:p>
    <w:p>
      <w:pPr>
        <w:ind w:right="60" w:firstLine="456"/>
        <w:spacing w:after="0" w:line="260" w:lineRule="auto"/>
        <w:rPr>
          <w:sz w:val="20"/>
          <w:szCs w:val="20"/>
          <w:color w:val="auto"/>
        </w:rPr>
      </w:pPr>
      <w:r>
        <w:rPr>
          <w:rFonts w:ascii="Arial" w:cs="Arial" w:eastAsia="Arial" w:hAnsi="Arial"/>
          <w:sz w:val="17"/>
          <w:szCs w:val="17"/>
          <w:color w:val="auto"/>
        </w:rPr>
        <w:t>We have a liability at December 31, 2017 and 2016 of $0.3 million and $0.4 million, respectively for uncertain tax positions taken in an income tax return. We do not know the ultimate resolution of these uncertain tax positions and as such, do not know the ultimate timing of payments, if any, related to this liability. Accordingly, this amount is not included in the above table.</w:t>
      </w:r>
    </w:p>
    <w:p>
      <w:pPr>
        <w:spacing w:after="0" w:line="174" w:lineRule="exact"/>
        <w:rPr>
          <w:sz w:val="20"/>
          <w:szCs w:val="20"/>
          <w:color w:val="auto"/>
        </w:rPr>
      </w:pPr>
    </w:p>
    <w:p>
      <w:pPr>
        <w:jc w:val="both"/>
        <w:ind w:firstLine="413"/>
        <w:spacing w:after="0" w:line="260" w:lineRule="auto"/>
        <w:rPr>
          <w:sz w:val="20"/>
          <w:szCs w:val="20"/>
          <w:color w:val="auto"/>
        </w:rPr>
      </w:pPr>
      <w:r>
        <w:rPr>
          <w:rFonts w:ascii="Arial" w:cs="Arial" w:eastAsia="Arial" w:hAnsi="Arial"/>
          <w:sz w:val="17"/>
          <w:szCs w:val="17"/>
          <w:color w:val="auto"/>
        </w:rPr>
        <w:t>We have an underfunded United Kingdom pension liability of $1.2 million and $3.0 million as of December 31, 2017 and 2016, respectively, which is recognized as part of the "Other long term liabilities" line item in our consolidated balance sheets. Since we do not know the ultimate timing of payments related to this liability, this amount has not been included in the above table.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that our critical accounting policies are as follows:</w:t>
      </w:r>
    </w:p>
    <w:p>
      <w:pPr>
        <w:spacing w:after="0" w:line="209" w:lineRule="exact"/>
        <w:rPr>
          <w:sz w:val="20"/>
          <w:szCs w:val="20"/>
          <w:color w:val="auto"/>
        </w:rPr>
      </w:pPr>
    </w:p>
    <w:p>
      <w:pPr>
        <w:ind w:left="920" w:hanging="463"/>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revenue recognition;</w:t>
      </w:r>
    </w:p>
    <w:p>
      <w:pPr>
        <w:spacing w:after="0" w:line="209" w:lineRule="exact"/>
        <w:rPr>
          <w:rFonts w:ascii="Arial" w:cs="Arial" w:eastAsia="Arial" w:hAnsi="Arial"/>
          <w:sz w:val="17"/>
          <w:szCs w:val="17"/>
          <w:color w:val="auto"/>
        </w:rPr>
      </w:pPr>
    </w:p>
    <w:p>
      <w:pPr>
        <w:ind w:left="920" w:hanging="463"/>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accounting for income taxes;</w:t>
      </w:r>
    </w:p>
    <w:p>
      <w:pPr>
        <w:spacing w:after="0" w:line="209" w:lineRule="exact"/>
        <w:rPr>
          <w:rFonts w:ascii="Arial" w:cs="Arial" w:eastAsia="Arial" w:hAnsi="Arial"/>
          <w:sz w:val="17"/>
          <w:szCs w:val="17"/>
          <w:color w:val="auto"/>
        </w:rPr>
      </w:pPr>
    </w:p>
    <w:p>
      <w:pPr>
        <w:ind w:left="920" w:hanging="463"/>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inventory;</w:t>
      </w:r>
    </w:p>
    <w:p>
      <w:pPr>
        <w:spacing w:after="0" w:line="209" w:lineRule="exact"/>
        <w:rPr>
          <w:rFonts w:ascii="Arial" w:cs="Arial" w:eastAsia="Arial" w:hAnsi="Arial"/>
          <w:sz w:val="17"/>
          <w:szCs w:val="17"/>
          <w:color w:val="auto"/>
        </w:rPr>
      </w:pPr>
    </w:p>
    <w:p>
      <w:pPr>
        <w:ind w:left="920" w:hanging="463"/>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valuation of identifiable intangible assets in business combinations;</w:t>
      </w:r>
    </w:p>
    <w:p>
      <w:pPr>
        <w:spacing w:after="0" w:line="209" w:lineRule="exact"/>
        <w:rPr>
          <w:rFonts w:ascii="Arial" w:cs="Arial" w:eastAsia="Arial" w:hAnsi="Arial"/>
          <w:sz w:val="17"/>
          <w:szCs w:val="17"/>
          <w:color w:val="auto"/>
        </w:rPr>
      </w:pPr>
    </w:p>
    <w:p>
      <w:pPr>
        <w:ind w:left="920" w:hanging="463"/>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valuation of long-lived and intangible assets and goodwill; and</w:t>
      </w:r>
    </w:p>
    <w:p>
      <w:pPr>
        <w:spacing w:after="0" w:line="209" w:lineRule="exact"/>
        <w:rPr>
          <w:rFonts w:ascii="Arial" w:cs="Arial" w:eastAsia="Arial" w:hAnsi="Arial"/>
          <w:sz w:val="17"/>
          <w:szCs w:val="17"/>
          <w:color w:val="auto"/>
        </w:rPr>
      </w:pPr>
    </w:p>
    <w:p>
      <w:pPr>
        <w:ind w:left="920" w:hanging="463"/>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stock-based compensation.</w:t>
      </w:r>
    </w:p>
    <w:p>
      <w:pPr>
        <w:spacing w:after="0" w:line="209" w:lineRule="exact"/>
        <w:rPr>
          <w:sz w:val="20"/>
          <w:szCs w:val="20"/>
          <w:color w:val="auto"/>
        </w:rPr>
      </w:pPr>
    </w:p>
    <w:p>
      <w:pPr>
        <w:ind w:right="80" w:firstLine="456"/>
        <w:spacing w:after="0" w:line="296" w:lineRule="auto"/>
        <w:rPr>
          <w:sz w:val="20"/>
          <w:szCs w:val="20"/>
          <w:color w:val="auto"/>
        </w:rPr>
      </w:pPr>
      <w:r>
        <w:rPr>
          <w:rFonts w:ascii="Arial" w:cs="Arial" w:eastAsia="Arial" w:hAnsi="Arial"/>
          <w:sz w:val="15"/>
          <w:szCs w:val="15"/>
          <w:i w:val="1"/>
          <w:iCs w:val="1"/>
          <w:color w:val="auto"/>
        </w:rPr>
        <w:t xml:space="preserve">Revenue recognition. </w:t>
      </w:r>
      <w:r>
        <w:rPr>
          <w:rFonts w:ascii="Arial" w:cs="Arial" w:eastAsia="Arial" w:hAnsi="Arial"/>
          <w:sz w:val="15"/>
          <w:szCs w:val="15"/>
          <w:color w:val="auto"/>
        </w:rPr>
        <w:t>We follow the provisions of FASB ASC 605, “Revenue Recognition”. We recognize revenue of products when persuasive evidence of a</w:t>
      </w:r>
      <w:r>
        <w:rPr>
          <w:rFonts w:ascii="Arial" w:cs="Arial" w:eastAsia="Arial" w:hAnsi="Arial"/>
          <w:sz w:val="15"/>
          <w:szCs w:val="15"/>
          <w:i w:val="1"/>
          <w:iCs w:val="1"/>
          <w:color w:val="auto"/>
        </w:rPr>
        <w:t xml:space="preserve"> </w:t>
      </w:r>
      <w:r>
        <w:rPr>
          <w:rFonts w:ascii="Arial" w:cs="Arial" w:eastAsia="Arial" w:hAnsi="Arial"/>
          <w:sz w:val="15"/>
          <w:szCs w:val="15"/>
          <w:color w:val="auto"/>
        </w:rPr>
        <w:t>sales arrangement exists, the price to the buyer is fixed or determinable, delivery has occurred, and collectability of the sales price is reasonably assured. Sales of some of our products include provisions to provide additional services such as installation and training. Revenues on these products are recognized when the additional services have been performed. Service agreements on our equipment are typically sold separately from the sale of the equipment. Revenues on these service agreements are recognized ratably over the life of the agreement, typically one year, in accordance with the provisions of FASB ASC 605-20, “Revenue Recognition—Services”.</w:t>
      </w:r>
    </w:p>
    <w:p>
      <w:pPr>
        <w:spacing w:after="0" w:line="1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5"/>
          <w:szCs w:val="15"/>
          <w:color w:val="auto"/>
        </w:rPr>
        <w:t>We account for shipping and handling fees and costs in accordance with the provisions of FASB ASC 605-45-45, “Revenue Recognition—Principal Agent Considerations”, which requires all amounts charged to customers for shipping and handling to be classified as revenues. Our costs incurred related to shipping and handling are classified as cost of product revenues. Warranties and product returns are estimated and accrued for at the time sales are recorded. We have no obligations to customers after the date products are shipped or installed, if applicable, other than pursuant to warranty obligations and service or maintenance contracts. We provide for the estimated amount of future returns upon shipment of products or installation, if applicable, based on historical experience. Historically, product returns and warranty costs have not been significant, and they have been within our expectations and the provisions established, however, there is no assurance that we will continue to experience the same return rates and warranty repair costs that we have in the past. Any significant increase in product return rates or a significant increase in the cost to repair our products could have a material adverse impact on our operating results for the period or periods in which such returns or increased costs materialize.</w:t>
      </w:r>
    </w:p>
    <w:p>
      <w:pPr>
        <w:spacing w:after="0" w:line="16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6"/>
          <w:szCs w:val="16"/>
          <w:color w:val="auto"/>
        </w:rPr>
        <w:t>We make estimates evaluating our allowance for doubtful accounts. On an ongoing basis, we monitor collections and payments from our customers and maintain a provision for estimated credit losses based upon our historical experience and any specific customer collection issues that we have identified. Historically, such credit losses have not been significant, and they have been within our expectations and the provisions established, however, there is no assurance that we will continue to experience the same credit loss rates that we have in the past. A significant change in the liquidity or financial position of our customers could have a material adverse impact on the collectability of our accounts receivable and our future operating results.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type w:val="continuous"/>
        </w:sectPr>
      </w:pPr>
    </w:p>
    <w:bookmarkStart w:id="34" w:name="page35"/>
    <w:bookmarkEnd w:id="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20" w:firstLine="456"/>
        <w:spacing w:after="0" w:line="270" w:lineRule="auto"/>
        <w:rPr>
          <w:sz w:val="20"/>
          <w:szCs w:val="20"/>
          <w:color w:val="auto"/>
        </w:rPr>
      </w:pP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We determine our annual income tax provision in each of the jurisdictions in which we operate. This involves determining our</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and deferred income tax expense that reflects accounting for differences between the financial statement carrying amounts of existing assets and liabilities and their respective tax bases. The future tax consequences attributable to these differences result in deferred tax assets and liabilities, which are included in our consolidated balance sheets. We assess the recoverability of the deferred tax assets by considering whether it is more likely than not that some portion or all of the deferred tax assets will not be realized. To the extent we believe that recovery does not meet this “more likely than not” standard as required in FASB ASC 740, “Income Taxes”, we must establish a valuation allowance. If a valuation allowance is established, increased or decreased in a period, we allocate the related income tax expense or benefit to income from continuing operations in the consolidated statement of operations.</w:t>
      </w:r>
    </w:p>
    <w:p>
      <w:pPr>
        <w:spacing w:after="0" w:line="171" w:lineRule="exact"/>
        <w:rPr>
          <w:sz w:val="20"/>
          <w:szCs w:val="20"/>
          <w:color w:val="auto"/>
        </w:rPr>
      </w:pPr>
    </w:p>
    <w:p>
      <w:pPr>
        <w:ind w:right="40" w:firstLine="456"/>
        <w:spacing w:after="0" w:line="293" w:lineRule="auto"/>
        <w:rPr>
          <w:sz w:val="20"/>
          <w:szCs w:val="20"/>
          <w:color w:val="auto"/>
        </w:rPr>
      </w:pPr>
      <w:r>
        <w:rPr>
          <w:rFonts w:ascii="Arial" w:cs="Arial" w:eastAsia="Arial" w:hAnsi="Arial"/>
          <w:sz w:val="15"/>
          <w:szCs w:val="15"/>
          <w:color w:val="auto"/>
        </w:rPr>
        <w:t>Management’s judgment and estimates are required in determining our income tax provision, deferred tax assets and liabilities and any valuation allowance recorded against deferred tax assets. We review the recoverability of deferred tax assets during each reporting period by reviewing estimates of future taxable income, future reversals of existing taxable temporary differences, and tax planning strategies that would, if necessary, be implemented to realize the benefit of a deferred tax asset before expiration. Due to our three year cumulative loss position, we concluded that a full valuation allowance was required to offset most U.S. deferred tax assets, net of deferred tax liabilities except deferred tax liabilities related to indefinite lived intangible assets. At December 31, 2017, we have a valuation allowance of $11.4 million, of which $10.6 million relates to our U.S. deferred tax assets. The remainder relates to deferred tax assets in certain foreign jurisdictions.</w:t>
      </w:r>
    </w:p>
    <w:p>
      <w:pPr>
        <w:spacing w:after="0" w:line="154" w:lineRule="exact"/>
        <w:rPr>
          <w:sz w:val="20"/>
          <w:szCs w:val="20"/>
          <w:color w:val="auto"/>
        </w:rPr>
      </w:pPr>
    </w:p>
    <w:p>
      <w:pPr>
        <w:ind w:right="760" w:firstLine="456"/>
        <w:spacing w:after="0" w:line="339" w:lineRule="auto"/>
        <w:rPr>
          <w:sz w:val="20"/>
          <w:szCs w:val="20"/>
          <w:color w:val="auto"/>
        </w:rPr>
      </w:pPr>
      <w:r>
        <w:rPr>
          <w:rFonts w:ascii="Arial" w:cs="Arial" w:eastAsia="Arial" w:hAnsi="Arial"/>
          <w:sz w:val="15"/>
          <w:szCs w:val="15"/>
          <w:color w:val="auto"/>
        </w:rPr>
        <w:t>We assess tax positions taken on tax returns, including recognition of potential interest and penalties, in accordance with the recognition thresholds and measurement attributes outlined in FASB ASC 740. Interest and penalties recognized, if any, would be classified as a component of income tax expense.</w:t>
      </w:r>
    </w:p>
    <w:p>
      <w:pPr>
        <w:spacing w:after="0" w:line="120" w:lineRule="exact"/>
        <w:rPr>
          <w:sz w:val="20"/>
          <w:szCs w:val="20"/>
          <w:color w:val="auto"/>
        </w:rPr>
      </w:pPr>
    </w:p>
    <w:p>
      <w:pPr>
        <w:ind w:firstLine="456"/>
        <w:spacing w:after="0" w:line="270"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We value our inventory at the lower of the actual cost to purchase (first-in, first-out method) and/or manufacture the inventory or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market value of the inventory. We regularly review inventory quantities on hand and record a provision to write down excess and obsolete inventory to its estimated net realizable value if less than cost, based primarily on historical inventory usage and estimated forecast of product demand. Since forecasted product demand quite often is a function of previous and current demand, a significant decrease in demand could result in an increase in the charges for excess inventory quantities on hand. In addition, our industry is subject to technological change and new product development, and technological advances could result in an increase in the amount of obsolete inventory quantities on hand. Therefore, any significant unanticipated changes in demand or technological developments could have a significant adverse impact on the value of our inventory and our reported operating results.</w:t>
      </w:r>
    </w:p>
    <w:p>
      <w:pPr>
        <w:spacing w:after="0" w:line="171" w:lineRule="exact"/>
        <w:rPr>
          <w:sz w:val="20"/>
          <w:szCs w:val="20"/>
          <w:color w:val="auto"/>
        </w:rPr>
      </w:pPr>
    </w:p>
    <w:p>
      <w:pPr>
        <w:ind w:right="20" w:firstLine="456"/>
        <w:spacing w:after="0" w:line="270" w:lineRule="auto"/>
        <w:rPr>
          <w:sz w:val="20"/>
          <w:szCs w:val="20"/>
          <w:color w:val="auto"/>
        </w:rPr>
      </w:pPr>
      <w:r>
        <w:rPr>
          <w:rFonts w:ascii="Arial" w:cs="Arial" w:eastAsia="Arial" w:hAnsi="Arial"/>
          <w:sz w:val="16"/>
          <w:szCs w:val="16"/>
          <w:i w:val="1"/>
          <w:iCs w:val="1"/>
          <w:color w:val="auto"/>
        </w:rPr>
        <w:t xml:space="preserve">Valuation of identifiable intangible assets acquired in business combinations. </w:t>
      </w:r>
      <w:r>
        <w:rPr>
          <w:rFonts w:ascii="Arial" w:cs="Arial" w:eastAsia="Arial" w:hAnsi="Arial"/>
          <w:sz w:val="16"/>
          <w:szCs w:val="16"/>
          <w:color w:val="auto"/>
        </w:rPr>
        <w:t>The determination of the fair value of intangible assets, which represents a</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portion of the purchase price in our acquisitions, requires the use of significant judgment with regard to (i) the fair value; and (ii) whether such intangibles are amortizable or not amortizable and, if the former, the period and the method by which the intangibles asset will be amortized. We estimate the fair value of acquisition-related intangible assets principally based on projections of cash flows that will arise from identifiable assets of acquired businesses. The projected cash flows are discounted to determine the present value of the assets at the dates of acquisitions. At December 31, 2017, amortizable intangible assets include existing technology, trade names, distribution agreements, customer relationships and patents. These amortizable intangible assets are amortized on a straight-line basis over 7 to 15 years, 10 to 15 years, 4 to 5 years, 5 to 15 years and 5 to 15 years, respectively.</w:t>
      </w:r>
    </w:p>
    <w:p>
      <w:pPr>
        <w:spacing w:after="0" w:line="171" w:lineRule="exact"/>
        <w:rPr>
          <w:sz w:val="20"/>
          <w:szCs w:val="20"/>
          <w:color w:val="auto"/>
        </w:rPr>
      </w:pPr>
    </w:p>
    <w:p>
      <w:pPr>
        <w:ind w:right="20" w:firstLine="456"/>
        <w:spacing w:after="0" w:line="271" w:lineRule="auto"/>
        <w:rPr>
          <w:sz w:val="20"/>
          <w:szCs w:val="20"/>
          <w:color w:val="auto"/>
        </w:rPr>
      </w:pPr>
      <w:r>
        <w:rPr>
          <w:rFonts w:ascii="Arial" w:cs="Arial" w:eastAsia="Arial" w:hAnsi="Arial"/>
          <w:sz w:val="16"/>
          <w:szCs w:val="16"/>
          <w:i w:val="1"/>
          <w:iCs w:val="1"/>
          <w:color w:val="auto"/>
        </w:rPr>
        <w:t xml:space="preserve">Valuation of long-lived and intangible assets. </w:t>
      </w:r>
      <w:r>
        <w:rPr>
          <w:rFonts w:ascii="Arial" w:cs="Arial" w:eastAsia="Arial" w:hAnsi="Arial"/>
          <w:sz w:val="16"/>
          <w:szCs w:val="16"/>
          <w:color w:val="auto"/>
        </w:rPr>
        <w:t>In accordance with the provisions of FASB ASC 360,</w:t>
      </w:r>
      <w:r>
        <w:rPr>
          <w:rFonts w:ascii="Arial" w:cs="Arial" w:eastAsia="Arial" w:hAnsi="Arial"/>
          <w:sz w:val="16"/>
          <w:szCs w:val="16"/>
          <w:i w:val="1"/>
          <w:iCs w:val="1"/>
          <w:color w:val="auto"/>
        </w:rPr>
        <w:t xml:space="preserve"> “Property, Plant and Equipment”</w:t>
      </w:r>
      <w:r>
        <w:rPr>
          <w:rFonts w:ascii="Arial" w:cs="Arial" w:eastAsia="Arial" w:hAnsi="Arial"/>
          <w:sz w:val="16"/>
          <w:szCs w:val="16"/>
          <w:color w:val="auto"/>
        </w:rPr>
        <w:t>, we assess the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identifiable intangibles with finite lives and long-lived assets for impairment whenever events or changes in circumstances indicate that the carrying value may not be recoverable. Factors we consider important which could trigger an impairment review include the following: significant underperformance relative to expected historical or projected future operating results; significant changes in the manner of our use of the acquired assets or the strategy for our overall business; significant negative industry or economic trends; significant changes in who our competitors are and what they do; significant changes in our relationship with our distributors; significant decline in our stock price for a sustained period; and our market capitalization relative to net book value.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6"/>
          <w:szCs w:val="16"/>
          <w:color w:val="auto"/>
        </w:rPr>
        <w:t>If we were to determine that the value of long-lived assets and identifiable intangible assets with finite lives was not recoverable based on the existence of one or more of the aforementioned factors, then the recoverability of those assets to be held and used would be measured by a comparison of the carrying amount of those assets to undiscounted future net cash flows before tax effects expected to be generated by those assets. If such assets are considered to be impaired, the impairment to be recognized would be measured by the amount by which the carrying value of the assets exceeds the fair value of the assets.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a result of our initiation of plans to sell the operations of AHN during the third quarter of 2016, we conducted an evaluation of AHN’s assets for impairment.</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Based on this evaluation, we recognized an impairment charge of $0.7 million on its long-lived assets.</w:t>
      </w:r>
    </w:p>
    <w:p>
      <w:pPr>
        <w:spacing w:after="0" w:line="198" w:lineRule="exact"/>
        <w:rPr>
          <w:sz w:val="20"/>
          <w:szCs w:val="20"/>
          <w:color w:val="auto"/>
        </w:rPr>
      </w:pPr>
    </w:p>
    <w:p>
      <w:pPr>
        <w:ind w:right="20" w:firstLine="456"/>
        <w:spacing w:after="0" w:line="287" w:lineRule="auto"/>
        <w:rPr>
          <w:sz w:val="20"/>
          <w:szCs w:val="20"/>
          <w:color w:val="auto"/>
        </w:rPr>
      </w:pPr>
      <w:r>
        <w:rPr>
          <w:rFonts w:ascii="Arial" w:cs="Arial" w:eastAsia="Arial" w:hAnsi="Arial"/>
          <w:sz w:val="15"/>
          <w:szCs w:val="15"/>
          <w:i w:val="1"/>
          <w:iCs w:val="1"/>
          <w:color w:val="auto"/>
        </w:rPr>
        <w:t xml:space="preserve">Goodwill and Other Intangible Assets. </w:t>
      </w:r>
      <w:r>
        <w:rPr>
          <w:rFonts w:ascii="Arial" w:cs="Arial" w:eastAsia="Arial" w:hAnsi="Arial"/>
          <w:sz w:val="15"/>
          <w:szCs w:val="15"/>
          <w:color w:val="auto"/>
        </w:rPr>
        <w:t>FASB ASC 350,</w:t>
      </w:r>
      <w:r>
        <w:rPr>
          <w:rFonts w:ascii="Arial" w:cs="Arial" w:eastAsia="Arial" w:hAnsi="Arial"/>
          <w:sz w:val="15"/>
          <w:szCs w:val="15"/>
          <w:i w:val="1"/>
          <w:iCs w:val="1"/>
          <w:color w:val="auto"/>
        </w:rPr>
        <w:t xml:space="preserve"> “Intangibles-Goodwill and Others” </w:t>
      </w:r>
      <w:r>
        <w:rPr>
          <w:rFonts w:ascii="Arial" w:cs="Arial" w:eastAsia="Arial" w:hAnsi="Arial"/>
          <w:sz w:val="15"/>
          <w:szCs w:val="15"/>
          <w:color w:val="auto"/>
        </w:rPr>
        <w:t>addresses financial accounting and reporting for acquired goodwill</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intangible assets. Among other things, FASB ASC 350 requires that goodwill and intangible assets with indefinite useful lives no longer be amortized, but rather tested annually for impairment or more frequently if events or circumstances indicate that there may be impairment. Goodwill is also subject to an annual impairment test, or more frequently, if indicators of potential impairment arise. ASU 2011-08 intends to simplify goodwill impairment testing by permitting an assessment of qualitative factors to determine when events and circumstances lead to the conclusion that it is necessary to perform the two-step goodwill impairment test required under ASC 350. The two-step goodwill impairment test consists of a comparison of the fair value of our reporting units with their carrying amount. If the carrying amount exceeds its fair value, we are required to perform the second step of the impairment test, as this is an indication that goodwill may be impaired. The impairment loss is measured by comparing the implied fair value of the reporting unit’s goodwill with its carrying amount. If the carrying amount exceeds the implied fair value, an impairment loss shall be recognized in an amount equal to the excess. After an impairment loss is recognized, the adjusted carrying amount of the intangible asset shall be its new accounting basis. Subsequent reversal of a previously recognized impairment loss is prohibited. For unamortizable intangible assets, if the carrying amount were to exceed the fair value of the asset we would write down the unamortizable intangible asset to fair value.</w:t>
      </w:r>
    </w:p>
    <w:p>
      <w:pPr>
        <w:spacing w:after="0" w:line="160" w:lineRule="exact"/>
        <w:rPr>
          <w:sz w:val="20"/>
          <w:szCs w:val="20"/>
          <w:color w:val="auto"/>
        </w:rPr>
      </w:pPr>
    </w:p>
    <w:p>
      <w:pPr>
        <w:ind w:right="100" w:firstLine="456"/>
        <w:spacing w:after="0" w:line="260" w:lineRule="auto"/>
        <w:rPr>
          <w:sz w:val="20"/>
          <w:szCs w:val="20"/>
          <w:color w:val="auto"/>
        </w:rPr>
      </w:pPr>
      <w:r>
        <w:rPr>
          <w:rFonts w:ascii="Arial" w:cs="Arial" w:eastAsia="Arial" w:hAnsi="Arial"/>
          <w:sz w:val="17"/>
          <w:szCs w:val="17"/>
          <w:color w:val="auto"/>
        </w:rPr>
        <w:t>For the purpose of our goodwill analysis, we have one reporting unit. We conducted our annual impairment analysis in the fourth quarter of fiscal year 2017. The determination of the fair value of the reporting unit requires us to make a significant estimate on control premiums appropriate of industries in which we compete. We compared our carrying value to our overall market capitalization.</w:t>
      </w:r>
    </w:p>
    <w:p>
      <w:pPr>
        <w:spacing w:after="0" w:line="174" w:lineRule="exact"/>
        <w:rPr>
          <w:sz w:val="20"/>
          <w:szCs w:val="20"/>
          <w:color w:val="auto"/>
        </w:rPr>
      </w:pPr>
    </w:p>
    <w:p>
      <w:pPr>
        <w:ind w:right="140" w:firstLine="456"/>
        <w:spacing w:after="0" w:line="339" w:lineRule="auto"/>
        <w:rPr>
          <w:sz w:val="20"/>
          <w:szCs w:val="20"/>
          <w:color w:val="auto"/>
        </w:rPr>
      </w:pPr>
      <w:r>
        <w:rPr>
          <w:rFonts w:ascii="Arial" w:cs="Arial" w:eastAsia="Arial" w:hAnsi="Arial"/>
          <w:sz w:val="15"/>
          <w:szCs w:val="15"/>
          <w:color w:val="auto"/>
        </w:rPr>
        <w:t>The results of our test for goodwill impairment showed that the estimated fair value of our business substantially exceeded its carrying value. We concluded that none of our goodwill was impaired. We also concluded that the fair value of the unamortized intangible assets significantly exceeds the carrying amounts.</w:t>
      </w:r>
    </w:p>
    <w:p>
      <w:pPr>
        <w:spacing w:after="0" w:line="120"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i w:val="1"/>
          <w:iCs w:val="1"/>
          <w:color w:val="auto"/>
        </w:rPr>
        <w:t xml:space="preserve">Stock-based compensation. </w:t>
      </w:r>
      <w:r>
        <w:rPr>
          <w:rFonts w:ascii="Arial" w:cs="Arial" w:eastAsia="Arial" w:hAnsi="Arial"/>
          <w:sz w:val="15"/>
          <w:szCs w:val="15"/>
          <w:color w:val="auto"/>
        </w:rPr>
        <w:t>We account for stock-based payment awards in accordance with the provisions of FASB ASC 718,</w:t>
      </w:r>
      <w:r>
        <w:rPr>
          <w:rFonts w:ascii="Arial" w:cs="Arial" w:eastAsia="Arial" w:hAnsi="Arial"/>
          <w:sz w:val="15"/>
          <w:szCs w:val="15"/>
          <w:i w:val="1"/>
          <w:iCs w:val="1"/>
          <w:color w:val="auto"/>
        </w:rPr>
        <w:t xml:space="preserve"> “Compensation—Stock Compensation”</w:t>
      </w:r>
      <w:r>
        <w:rPr>
          <w:rFonts w:ascii="Arial" w:cs="Arial" w:eastAsia="Arial" w:hAnsi="Arial"/>
          <w:sz w:val="15"/>
          <w:szCs w:val="15"/>
          <w:color w:val="auto"/>
        </w:rPr>
        <w:t>, which requires us to recognize compensation expense for all stock-based payment awards made to employees and directors including stock options,</w:t>
      </w:r>
      <w:r>
        <w:rPr>
          <w:rFonts w:ascii="Arial" w:cs="Arial" w:eastAsia="Arial" w:hAnsi="Arial"/>
          <w:sz w:val="15"/>
          <w:szCs w:val="15"/>
          <w:i w:val="1"/>
          <w:iCs w:val="1"/>
          <w:color w:val="auto"/>
        </w:rPr>
        <w:t xml:space="preserve"> </w:t>
      </w:r>
      <w:r>
        <w:rPr>
          <w:rFonts w:ascii="Arial" w:cs="Arial" w:eastAsia="Arial" w:hAnsi="Arial"/>
          <w:sz w:val="15"/>
          <w:szCs w:val="15"/>
          <w:color w:val="auto"/>
        </w:rPr>
        <w:t>restricted stock units, restricted stock units with a market condition and employee stock purchases related to our Employee Stock Purchase Plan (as amended, ESPP). We issue new shares upon stock option exercises, upon the vesting of restricted stock units and restricted stock units with a market condition, and under our ESPP.</w:t>
      </w:r>
    </w:p>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7"/>
          <w:szCs w:val="17"/>
          <w:color w:val="auto"/>
        </w:rPr>
        <w:t>FASB ASC 718 requires companies to estimate the fair value of stock-based payment awards on the date of grant using an option-pricing model. The value of the award that vests is recognized as expense over the requisite service periods in our consolidated statement of operations. We adopted ASU 2016-09 as of January 1, 2017. As a result of this adoption, we have elected as an accounting policy to account for forfeitures for service based awards as they occur, with no adjustment for estimated forfeitures.</w:t>
      </w:r>
    </w:p>
    <w:p>
      <w:pPr>
        <w:spacing w:after="0" w:line="178" w:lineRule="exact"/>
        <w:rPr>
          <w:sz w:val="20"/>
          <w:szCs w:val="20"/>
          <w:color w:val="auto"/>
        </w:rPr>
      </w:pPr>
    </w:p>
    <w:p>
      <w:pPr>
        <w:ind w:right="80" w:firstLine="456"/>
        <w:spacing w:after="0" w:line="254" w:lineRule="auto"/>
        <w:rPr>
          <w:sz w:val="20"/>
          <w:szCs w:val="20"/>
          <w:color w:val="auto"/>
        </w:rPr>
      </w:pPr>
      <w:r>
        <w:rPr>
          <w:rFonts w:ascii="Arial" w:cs="Arial" w:eastAsia="Arial" w:hAnsi="Arial"/>
          <w:sz w:val="17"/>
          <w:szCs w:val="17"/>
          <w:color w:val="auto"/>
        </w:rPr>
        <w:t>We value stock-based payment awards, except restricted stock awards, at the grant date using the Black-Scholes option-pricing model. We value the restricted stock units with a market condition at the grant date using a Monte-Carlo valuation simulation. Our determination of fair value of stock-based payment awards on the date of grant using an option-pricing model or Monte-Carlo valuation simulation is affected by our stock price as well as assumptions regarding a number of highly complex and subjective variables. These variables include, but are not limited to our expected stock price volatility over the term of the awards and actual and projected stock option exercise behaviors.</w:t>
      </w:r>
    </w:p>
    <w:p>
      <w:pPr>
        <w:spacing w:after="0" w:line="180" w:lineRule="exact"/>
        <w:rPr>
          <w:sz w:val="20"/>
          <w:szCs w:val="20"/>
          <w:color w:val="auto"/>
        </w:rPr>
      </w:pPr>
    </w:p>
    <w:p>
      <w:pPr>
        <w:ind w:right="120" w:firstLine="456"/>
        <w:spacing w:after="0" w:line="260" w:lineRule="auto"/>
        <w:rPr>
          <w:sz w:val="20"/>
          <w:szCs w:val="20"/>
          <w:color w:val="auto"/>
        </w:rPr>
      </w:pPr>
      <w:r>
        <w:rPr>
          <w:rFonts w:ascii="Arial" w:cs="Arial" w:eastAsia="Arial" w:hAnsi="Arial"/>
          <w:sz w:val="17"/>
          <w:szCs w:val="17"/>
          <w:color w:val="auto"/>
        </w:rPr>
        <w:t>The fair value of restricted stock units are based on the market price of our common stock on the date of grant and are recorded as compensation expense ratably over the applicable service period, which ranges from one to four years. Unvested restricted stock units are forfeited in the event of termination of employment or engagement with our Company.</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record stock compensation expense on a straight-line basis over the requisite service period for all awards granted.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Foreign Currencies</w:t>
      </w:r>
    </w:p>
    <w:p>
      <w:pPr>
        <w:spacing w:after="0" w:line="213" w:lineRule="exact"/>
        <w:rPr>
          <w:sz w:val="20"/>
          <w:szCs w:val="20"/>
          <w:color w:val="auto"/>
        </w:rPr>
      </w:pPr>
    </w:p>
    <w:p>
      <w:pPr>
        <w:ind w:right="40" w:firstLine="413"/>
        <w:spacing w:after="0" w:line="303" w:lineRule="auto"/>
        <w:rPr>
          <w:sz w:val="20"/>
          <w:szCs w:val="20"/>
          <w:color w:val="auto"/>
        </w:rPr>
      </w:pPr>
      <w:r>
        <w:rPr>
          <w:rFonts w:ascii="Arial" w:cs="Arial" w:eastAsia="Arial" w:hAnsi="Arial"/>
          <w:sz w:val="16"/>
          <w:szCs w:val="16"/>
          <w:color w:val="auto"/>
        </w:rPr>
        <w:t>Our international operations in some instances operate in a natural hedge as we sell our products in many countries and a substantial portion of our revenues, costs and expenses are denominated in foreign currencies, especially the British pound sterling, the Euro, the Canadian dollar and the Swedish krona.</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5"/>
          <w:szCs w:val="15"/>
          <w:color w:val="auto"/>
        </w:rPr>
        <w:t>For the year ended December 31, 2017, the U.S dollar’s strengthening in relation to those currencies resulted in an unfavorable translation effect on our consolidated revenues and a neutral effect on our consolidated net loss. Changes in foreign currency exchange rates resulted in an unfavorable effect on revenues of approximately $0.3 million and a favorable effect on expenses of approximately $0.3 million. During 2016, the U.S dollar’s strengthening in relation to those currencies resulted in an unfavorable translation effect on our consolidated revenues and our consolidated net loss. Changes in foreign currency exchange rates resulted in an unfavorable effect on revenues of approximately $2.1 million and a favorable effect on expenses of approximately $1.9 million. Similarly, during 2015, the U.S dollar’s strengthening in relation to those currencies resulted in an unfavorable translation effect on our consolidated revenues and our net income. Changes in foreign currency exchange rates resulted in an unfavorable effect on revenues of $4.0 million and a favorable effect on expenses of $3.6 million.</w:t>
      </w:r>
    </w:p>
    <w:p>
      <w:pPr>
        <w:spacing w:after="0" w:line="156" w:lineRule="exact"/>
        <w:rPr>
          <w:sz w:val="20"/>
          <w:szCs w:val="20"/>
          <w:color w:val="auto"/>
        </w:rPr>
      </w:pPr>
    </w:p>
    <w:p>
      <w:pPr>
        <w:ind w:right="60" w:firstLine="456"/>
        <w:spacing w:after="0" w:line="339" w:lineRule="auto"/>
        <w:rPr>
          <w:sz w:val="20"/>
          <w:szCs w:val="20"/>
          <w:color w:val="auto"/>
        </w:rPr>
      </w:pPr>
      <w:r>
        <w:rPr>
          <w:rFonts w:ascii="Arial" w:cs="Arial" w:eastAsia="Arial" w:hAnsi="Arial"/>
          <w:sz w:val="15"/>
          <w:szCs w:val="15"/>
          <w:color w:val="auto"/>
        </w:rPr>
        <w:t>The gain associated with the translation of foreign equity into U.S. dollars included as a component of comprehensive income (loss) for the year ended December 31, 2017, was approximately $4.4 million, compared to losses of $4.6 million and $4.9 million for the years ended December 31, 2016 and 2015, respectively.</w:t>
      </w:r>
    </w:p>
    <w:p>
      <w:pPr>
        <w:spacing w:after="0" w:line="120" w:lineRule="exact"/>
        <w:rPr>
          <w:sz w:val="20"/>
          <w:szCs w:val="20"/>
          <w:color w:val="auto"/>
        </w:rPr>
      </w:pPr>
    </w:p>
    <w:p>
      <w:pPr>
        <w:ind w:right="340" w:firstLine="456"/>
        <w:spacing w:after="0" w:line="260" w:lineRule="auto"/>
        <w:rPr>
          <w:sz w:val="20"/>
          <w:szCs w:val="20"/>
          <w:color w:val="auto"/>
        </w:rPr>
      </w:pPr>
      <w:r>
        <w:rPr>
          <w:rFonts w:ascii="Arial" w:cs="Arial" w:eastAsia="Arial" w:hAnsi="Arial"/>
          <w:sz w:val="17"/>
          <w:szCs w:val="17"/>
          <w:color w:val="auto"/>
        </w:rPr>
        <w:t>In addition, currency exchange rate fluctuations included as a component of net loss resulted in currency losses of approximately $0.5 million during the year ended December 31, 2017, compared to currency gains of approximately $0.7 million and $0.2 million during the years ended December 31,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13" w:lineRule="exact"/>
        <w:rPr>
          <w:sz w:val="20"/>
          <w:szCs w:val="20"/>
          <w:color w:val="auto"/>
        </w:rPr>
      </w:pPr>
    </w:p>
    <w:p>
      <w:pPr>
        <w:ind w:right="20" w:firstLine="380"/>
        <w:spacing w:after="0" w:line="25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is intended to improve financial reporting about leasing transactions. The update requires a lessee to record on the balance sheet the assets and liabilities for the rights and obligations created by lease terms of more than 12 months. The update is effective for fiscal years beginning after December 15, 2018. We have commenced the process of evaluating the requirements of the standard as well as collecting information on all our leases. We have not yet concluded on the impact of the adoption on our consolidated financial position, results of operations and cash flows, however, assets and liabilities will increase upon adoption for right-of-use assets and lease liabilities. Our future commitments under lease obligations are summarized under the “Contractual Obligations” heading above.</w:t>
      </w:r>
    </w:p>
    <w:p>
      <w:pPr>
        <w:spacing w:after="0" w:line="181" w:lineRule="exact"/>
        <w:rPr>
          <w:sz w:val="20"/>
          <w:szCs w:val="20"/>
          <w:color w:val="auto"/>
        </w:rPr>
      </w:pPr>
    </w:p>
    <w:p>
      <w:pPr>
        <w:ind w:firstLine="380"/>
        <w:spacing w:after="0" w:line="296"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 – Credit Losses (Topic 326), Measurement of credit losses on Financial Instruments.</w:t>
      </w:r>
      <w:r>
        <w:rPr>
          <w:rFonts w:ascii="Arial" w:cs="Arial" w:eastAsia="Arial" w:hAnsi="Arial"/>
          <w:sz w:val="15"/>
          <w:szCs w:val="15"/>
          <w:color w:val="auto"/>
        </w:rPr>
        <w:t xml:space="preserve"> The update amends the FASB’s guidance on the impairment of financial instruments. The ASU adds to U.S. GAAP an impairment model (known as the current expected credit loss (CECL) model) that is based on expected losses rather than incurred losses. Under the new guidance, an entity recognizes as an allowance its estimate of expected credit losses, which the FASB believes will result in more timely recognition of such losses. The ASU is effective for fiscal years beginning after December 15, 2019, including interim periods within those fiscal years. We are evaluating the impact of ASU 2016-13 on our consolidated financial statements.</w:t>
      </w:r>
    </w:p>
    <w:p>
      <w:pPr>
        <w:spacing w:after="0" w:line="151" w:lineRule="exact"/>
        <w:rPr>
          <w:sz w:val="20"/>
          <w:szCs w:val="20"/>
          <w:color w:val="auto"/>
        </w:rPr>
      </w:pPr>
    </w:p>
    <w:p>
      <w:pPr>
        <w:ind w:right="60" w:firstLine="413"/>
        <w:spacing w:after="0" w:line="252"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 (Topic 815)</w:t>
      </w:r>
      <w:r>
        <w:rPr>
          <w:rFonts w:ascii="Arial" w:cs="Arial" w:eastAsia="Arial" w:hAnsi="Arial"/>
          <w:sz w:val="17"/>
          <w:szCs w:val="17"/>
          <w:color w:val="auto"/>
        </w:rPr>
        <w:t xml:space="preserve"> which amends the hedge accounting recognition and presentation requirements in ASC 815. The Board’s objectives in issuing the ASU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The ASU is effective for annual reporting periods, including interim periods within those annual reporting periods, beginning after December 15, 2018. Early adoption is permitted, including adoption in any interim period. We are evaluating the requirements of this guidance and have not yet determined the impact of the adoption on our consolidated financial position, results of operations and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Adopted in 2017</w:t>
      </w:r>
    </w:p>
    <w:p>
      <w:pPr>
        <w:spacing w:after="0" w:line="209" w:lineRule="exact"/>
        <w:rPr>
          <w:sz w:val="20"/>
          <w:szCs w:val="20"/>
          <w:color w:val="auto"/>
        </w:rPr>
      </w:pPr>
    </w:p>
    <w:p>
      <w:pPr>
        <w:jc w:val="both"/>
        <w:ind w:right="60" w:firstLine="413"/>
        <w:spacing w:after="0" w:line="260" w:lineRule="auto"/>
        <w:rPr>
          <w:sz w:val="20"/>
          <w:szCs w:val="20"/>
          <w:color w:val="auto"/>
        </w:rPr>
      </w:pPr>
      <w:r>
        <w:rPr>
          <w:rFonts w:ascii="Arial" w:cs="Arial" w:eastAsia="Arial" w:hAnsi="Arial"/>
          <w:sz w:val="17"/>
          <w:szCs w:val="17"/>
          <w:color w:val="auto"/>
        </w:rPr>
        <w:t xml:space="preserve">In March 2016, the FASB issued ASU 2016-09, Compensation – Stock Compensation (Topic 718):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which simplifies the accounting for share-based payment transactions, including the income tax consequences, classification of awards as either equity or liabilities and classification on the statement of cash flows.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firstLine="413"/>
        <w:spacing w:after="0" w:line="269" w:lineRule="auto"/>
        <w:rPr>
          <w:sz w:val="20"/>
          <w:szCs w:val="20"/>
          <w:color w:val="auto"/>
        </w:rPr>
      </w:pPr>
      <w:r>
        <w:rPr>
          <w:rFonts w:ascii="Arial" w:cs="Arial" w:eastAsia="Arial" w:hAnsi="Arial"/>
          <w:sz w:val="16"/>
          <w:szCs w:val="16"/>
          <w:color w:val="auto"/>
        </w:rPr>
        <w:t>The standard requires an entity to recognize all excess tax benefits and tax deficiencies as income tax benefit or expense in the income statement as discrete items in the reporting period in which they occur, and such tax benefits and tax deficiencies are not included in the estimate of an entity’s annual effective tax rate, applied on a prospective basis. Further, the standard eliminates the requirement to defer the recognition of excess tax benefits until the benefit is realized through a reduction to taxes payable. All excess tax benefits previously unrecognized, along with any valuation allowance, should be recognized on a modified retrospective basis as a cumulative adjustment to retained earnings as of the date of adoption. Under ASU 2016-09, an entity that applies the treasury stock method in calculating diluted earnings per share is required to exclude excess tax benefits and deficiencies from the calculation of assumed proceeds since such amounts are recognized in the income statement. Excess tax benefits should also be classified as operating activities in the same manner as other cash flows related to income taxes on the statement of cash flows, as such excess tax benefits no longer represent financing activities since they are recognized in the income statement, and should be applied prospectively or retrospectively to all periods presented.</w:t>
      </w:r>
    </w:p>
    <w:p>
      <w:pPr>
        <w:spacing w:after="0" w:line="169" w:lineRule="exact"/>
        <w:rPr>
          <w:sz w:val="20"/>
          <w:szCs w:val="20"/>
          <w:color w:val="auto"/>
        </w:rPr>
      </w:pPr>
    </w:p>
    <w:p>
      <w:pPr>
        <w:ind w:right="120" w:firstLine="413"/>
        <w:spacing w:after="0" w:line="254" w:lineRule="auto"/>
        <w:rPr>
          <w:sz w:val="20"/>
          <w:szCs w:val="20"/>
          <w:color w:val="auto"/>
        </w:rPr>
      </w:pPr>
      <w:r>
        <w:rPr>
          <w:rFonts w:ascii="Arial" w:cs="Arial" w:eastAsia="Arial" w:hAnsi="Arial"/>
          <w:sz w:val="17"/>
          <w:szCs w:val="17"/>
          <w:color w:val="auto"/>
        </w:rPr>
        <w:t>We adopted ASU 2016-09 as of January 1, 2017. We recorded a cumulative increase in retained earnings of $0.5 million at the beginning of the first quarter of 2017 with a corresponding increase in deferred tax assets related to the prior years’ unrecognized excess tax benefits. An equal amount of valuation allowance was also recorded against these deferred tax assets with a corresponding decrease to retained earnings resulting in no net impact to retained earnings and deferred tax assets. In addition, tax deficiencies related to vested restricted stock units and canceled stock options during the year ended December 31, 2017 have been recognized in the current period’s income statement.</w:t>
      </w:r>
    </w:p>
    <w:p>
      <w:pPr>
        <w:spacing w:after="0" w:line="180" w:lineRule="exact"/>
        <w:rPr>
          <w:sz w:val="20"/>
          <w:szCs w:val="20"/>
          <w:color w:val="auto"/>
        </w:rPr>
      </w:pPr>
    </w:p>
    <w:p>
      <w:pPr>
        <w:ind w:right="20" w:firstLine="413"/>
        <w:spacing w:after="0" w:line="271" w:lineRule="auto"/>
        <w:rPr>
          <w:sz w:val="20"/>
          <w:szCs w:val="20"/>
          <w:color w:val="auto"/>
        </w:rPr>
      </w:pPr>
      <w:r>
        <w:rPr>
          <w:rFonts w:ascii="Arial" w:cs="Arial" w:eastAsia="Arial" w:hAnsi="Arial"/>
          <w:sz w:val="16"/>
          <w:szCs w:val="16"/>
          <w:color w:val="auto"/>
        </w:rPr>
        <w:t>ASU 2016-09 also allows an entity to elect as an accounting policy either to continue to estimate the total number of awards for which the requisite service period will not be rendered or to account for forfeitures for service based awards as they occur. An entity that elects to account for forfeitures as they occur should apply the accounting change on a modified retrospective basis as a cumulative effect adjustment to retained earnings as of the date of adoption. We elected as an accounting policy to account for forfeitures for service based awards as they occur, and as a result, we recorded a cumulative effect adjustment of $0.1 million to reduce retained earnings with a corresponding increase in additional paid in capital related to the prior years’ stock-based compensation expense as required under the modified retrospective approach. The tax effect of this adjustment, which included the impact of a valuation allowance was immaterial.</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Adopted in 2018</w:t>
      </w:r>
    </w:p>
    <w:p>
      <w:pPr>
        <w:spacing w:after="0" w:line="209" w:lineRule="exact"/>
        <w:rPr>
          <w:sz w:val="20"/>
          <w:szCs w:val="20"/>
          <w:color w:val="auto"/>
        </w:rPr>
      </w:pPr>
    </w:p>
    <w:p>
      <w:pPr>
        <w:ind w:right="20" w:firstLine="413"/>
        <w:spacing w:after="0" w:line="254"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 new accounting standard that provides for a comprehensive model to use in the accounting for revenue arising from contracts with customers that will replace most existing revenue recognition guidance within generally accepted accounting principles in the United States. Under this standard, revenue will be recognized to depict the transfer of promised goods or services to customers in an amount that reflects the consideration to which we expect to be entitled in exchange for those goods or services.</w:t>
      </w:r>
    </w:p>
    <w:p>
      <w:pPr>
        <w:spacing w:after="0" w:line="180" w:lineRule="exact"/>
        <w:rPr>
          <w:sz w:val="20"/>
          <w:szCs w:val="20"/>
          <w:color w:val="auto"/>
        </w:rPr>
      </w:pPr>
    </w:p>
    <w:p>
      <w:pPr>
        <w:ind w:right="180" w:firstLine="413"/>
        <w:spacing w:after="0" w:line="253" w:lineRule="auto"/>
        <w:rPr>
          <w:sz w:val="20"/>
          <w:szCs w:val="20"/>
          <w:color w:val="auto"/>
        </w:rPr>
      </w:pPr>
      <w:r>
        <w:rPr>
          <w:rFonts w:ascii="Arial" w:cs="Arial" w:eastAsia="Arial" w:hAnsi="Arial"/>
          <w:sz w:val="17"/>
          <w:szCs w:val="17"/>
          <w:color w:val="auto"/>
        </w:rPr>
        <w:t>We have completed the process of evaluating the impact of the new standard on its consolidated financial position, results of operations and cash flows. We adopted this standard as of January 1, 2018 using the modified retrospective approach. As part of the implementation of the standard, we identified our significant revenue streams, which currently consist primarily of product revenue transactions, and to a lesser extent, extended warranty transactions on certain product sales, and revenues from government contracts. The timing of recognizing revenues for these revenue streams is not expected to materially change. Additionally, no material changes to business processes, systems and controls are expected. We are drafting enhanced revenue disclosures which will be presented prospectively starting in the first quarter of 2018.</w:t>
      </w:r>
    </w:p>
    <w:p>
      <w:pPr>
        <w:spacing w:after="0" w:line="181" w:lineRule="exact"/>
        <w:rPr>
          <w:sz w:val="20"/>
          <w:szCs w:val="20"/>
          <w:color w:val="auto"/>
        </w:rPr>
      </w:pPr>
    </w:p>
    <w:p>
      <w:pPr>
        <w:ind w:right="20" w:firstLine="380"/>
        <w:spacing w:after="0" w:line="271" w:lineRule="auto"/>
        <w:rPr>
          <w:sz w:val="20"/>
          <w:szCs w:val="20"/>
          <w:color w:val="auto"/>
        </w:rPr>
      </w:pPr>
      <w:r>
        <w:rPr>
          <w:rFonts w:ascii="Arial" w:cs="Arial" w:eastAsia="Arial" w:hAnsi="Arial"/>
          <w:sz w:val="16"/>
          <w:szCs w:val="16"/>
          <w:color w:val="auto"/>
        </w:rPr>
        <w:t>In May 2017, the FASB issued ASU 2017-09, Stock compensation (Topic 718): Scope of modification accounting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ASU is effective for annual reporting periods, including interim periods within those annual reporting periods, beginning after December 15, 2017. We adopted this guidance on January 1, 2018, and the new standard did not have a material impact on our consolidated financial position, results of operations and cash flows.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4"/>
          <w:szCs w:val="14"/>
          <w:b w:val="1"/>
          <w:bCs w:val="1"/>
          <w:i w:val="1"/>
          <w:iCs w:val="1"/>
          <w:color w:val="auto"/>
        </w:rPr>
        <w:t>Quantitative and Qualitative Disclosures about Market Risk.</w:t>
      </w:r>
    </w:p>
    <w:p>
      <w:pPr>
        <w:spacing w:after="0" w:line="213" w:lineRule="exact"/>
        <w:rPr>
          <w:sz w:val="20"/>
          <w:szCs w:val="20"/>
          <w:color w:val="auto"/>
        </w:rPr>
      </w:pPr>
    </w:p>
    <w:p>
      <w:pPr>
        <w:jc w:val="both"/>
        <w:ind w:right="60" w:firstLine="413"/>
        <w:spacing w:after="0" w:line="260" w:lineRule="auto"/>
        <w:rPr>
          <w:sz w:val="20"/>
          <w:szCs w:val="20"/>
          <w:color w:val="auto"/>
        </w:rPr>
      </w:pPr>
      <w:r>
        <w:rPr>
          <w:rFonts w:ascii="Arial" w:cs="Arial" w:eastAsia="Arial" w:hAnsi="Arial"/>
          <w:sz w:val="17"/>
          <w:szCs w:val="17"/>
          <w:color w:val="auto"/>
        </w:rPr>
        <w:t>The majority of our manufacturing and testing of products occurs in our facilities in the United States, Germany, Sweden and Spain. We sell our products globally through our distributors, direct sales force, websites and catalogs. As a result, our financial results are affected by factors such as changes in foreign currency exchange rates and weak economic conditions in foreign markets.</w:t>
      </w:r>
    </w:p>
    <w:p>
      <w:pPr>
        <w:spacing w:after="0" w:line="174" w:lineRule="exact"/>
        <w:rPr>
          <w:sz w:val="20"/>
          <w:szCs w:val="20"/>
          <w:color w:val="auto"/>
        </w:rPr>
      </w:pPr>
    </w:p>
    <w:p>
      <w:pPr>
        <w:ind w:right="360" w:firstLine="413"/>
        <w:spacing w:after="0" w:line="271" w:lineRule="auto"/>
        <w:rPr>
          <w:sz w:val="20"/>
          <w:szCs w:val="20"/>
          <w:color w:val="auto"/>
        </w:rPr>
      </w:pPr>
      <w:r>
        <w:rPr>
          <w:rFonts w:ascii="Arial" w:cs="Arial" w:eastAsia="Arial" w:hAnsi="Arial"/>
          <w:sz w:val="17"/>
          <w:szCs w:val="17"/>
          <w:color w:val="auto"/>
        </w:rPr>
        <w:t>We collect amounts representing a substantial portion of our revenues and pay amounts representing a substantial portion of our operating expenses in foreign currencies. As a result, changes in currency exchange rates from time to time may affect our operating results.</w:t>
      </w:r>
    </w:p>
    <w:p>
      <w:pPr>
        <w:spacing w:after="0" w:line="166" w:lineRule="exact"/>
        <w:rPr>
          <w:sz w:val="20"/>
          <w:szCs w:val="20"/>
          <w:color w:val="auto"/>
        </w:rPr>
      </w:pPr>
    </w:p>
    <w:p>
      <w:pPr>
        <w:ind w:right="760" w:firstLine="413"/>
        <w:spacing w:after="0" w:line="271" w:lineRule="auto"/>
        <w:rPr>
          <w:sz w:val="20"/>
          <w:szCs w:val="20"/>
          <w:color w:val="auto"/>
        </w:rPr>
      </w:pPr>
      <w:r>
        <w:rPr>
          <w:rFonts w:ascii="Arial" w:cs="Arial" w:eastAsia="Arial" w:hAnsi="Arial"/>
          <w:sz w:val="17"/>
          <w:szCs w:val="17"/>
          <w:color w:val="auto"/>
        </w:rPr>
        <w:t>We are exposed to market risk from changes in interest rates primarily through our financing activities. As of December 31, 2017, we had $11.7 million outstanding under our Credit Agreement.</w:t>
      </w:r>
    </w:p>
    <w:p>
      <w:pPr>
        <w:spacing w:after="0" w:line="166" w:lineRule="exact"/>
        <w:rPr>
          <w:sz w:val="20"/>
          <w:szCs w:val="20"/>
          <w:color w:val="auto"/>
        </w:rPr>
      </w:pPr>
    </w:p>
    <w:p>
      <w:pPr>
        <w:ind w:right="20" w:firstLine="413"/>
        <w:spacing w:after="0" w:line="252" w:lineRule="auto"/>
        <w:rPr>
          <w:sz w:val="20"/>
          <w:szCs w:val="20"/>
          <w:color w:val="auto"/>
        </w:rPr>
      </w:pPr>
      <w:r>
        <w:rPr>
          <w:rFonts w:ascii="Arial" w:cs="Arial" w:eastAsia="Arial" w:hAnsi="Arial"/>
          <w:sz w:val="17"/>
          <w:szCs w:val="17"/>
          <w:color w:val="auto"/>
        </w:rPr>
        <w:t>As noted above under the heading “Borrowing Arrangements”, on May 2, 2017, we entered into the Credit Agreement to amend our credit facility with Bank of America, as agent, and Bank of America and Brown Brothers Harriman &amp; Co. as lenders. Immediately after entering into this Credit Agreement, we entered into a new interest rate swap contract with Bank of America with a notional amount of $14.0 million and a termination date of March 30, 2022 in order to hedge the risk of changes in the effective benchmark interest rate (LIBOR) associated with our Term Loan. The swap contract converted specific variable-rate debt into fixed-rate debt and fixed the LIBOR rate associated with the Term Loan at 1.86%. The interest rate swap was designated as a cash flow hedge instrument in accordance with ASC 815 “Derivatives and Hedging”. As a result of entering into the new interest rate swap contract, we unwound the previous interest rate swap contracts, and received an immaterial amount in proceeds.</w:t>
      </w:r>
    </w:p>
    <w:p>
      <w:pPr>
        <w:spacing w:after="0" w:line="183" w:lineRule="exact"/>
        <w:rPr>
          <w:sz w:val="20"/>
          <w:szCs w:val="20"/>
          <w:color w:val="auto"/>
        </w:rPr>
      </w:pPr>
    </w:p>
    <w:p>
      <w:pPr>
        <w:ind w:right="100" w:firstLine="413"/>
        <w:spacing w:after="0" w:line="296" w:lineRule="auto"/>
        <w:rPr>
          <w:sz w:val="20"/>
          <w:szCs w:val="20"/>
          <w:color w:val="auto"/>
        </w:rPr>
      </w:pPr>
      <w:r>
        <w:rPr>
          <w:rFonts w:ascii="Arial" w:cs="Arial" w:eastAsia="Arial" w:hAnsi="Arial"/>
          <w:sz w:val="15"/>
          <w:szCs w:val="15"/>
          <w:color w:val="auto"/>
        </w:rPr>
        <w:t>As further noted under the “Borrowing Arrangements” heading, on January 22, 2018, we terminated the Credit Agreement, and on January 31, 2018, entered into the Financing Agreement. As a result of terminating the Credit Agreement, we unwound our previously existing swap agreement and received an immaterial amount of proceeds. On February 16, 2018, we entered into a new interest rate swap contract with PNC bank with a notional amount of $36.0 million and a termination date of January 31, 2023 in order to hedge the risk of changes in the effective benchmark interest rate (LIBOR) associated with the Financing Agreement. The swap contract converted specific variable-rate debt into fixed-rate debt and fixed the LIBOR rate associated with a portion of the term loan under the Financing Agreement at 2.72%.</w:t>
      </w:r>
    </w:p>
    <w:p>
      <w:pPr>
        <w:spacing w:after="0" w:line="151" w:lineRule="exact"/>
        <w:rPr>
          <w:sz w:val="20"/>
          <w:szCs w:val="20"/>
          <w:color w:val="auto"/>
        </w:rPr>
      </w:pPr>
    </w:p>
    <w:p>
      <w:pPr>
        <w:ind w:right="240" w:firstLine="413"/>
        <w:spacing w:after="0" w:line="271" w:lineRule="auto"/>
        <w:rPr>
          <w:sz w:val="20"/>
          <w:szCs w:val="20"/>
          <w:color w:val="auto"/>
        </w:rPr>
      </w:pPr>
      <w:r>
        <w:rPr>
          <w:rFonts w:ascii="Arial" w:cs="Arial" w:eastAsia="Arial" w:hAnsi="Arial"/>
          <w:sz w:val="17"/>
          <w:szCs w:val="17"/>
          <w:color w:val="auto"/>
        </w:rPr>
        <w:t>As of December 31, 2017, the weighted effective interest rate, net of the impact of our interest rate swap, on our Term Loan was 4.61%. Following our entering into the Financing Agreement, our weighted effective interest rate on outstanding borrowings was approximately 8.42%.</w:t>
      </w:r>
    </w:p>
    <w:p>
      <w:pPr>
        <w:spacing w:after="0" w:line="166" w:lineRule="exact"/>
        <w:rPr>
          <w:sz w:val="20"/>
          <w:szCs w:val="20"/>
          <w:color w:val="auto"/>
        </w:rPr>
      </w:pPr>
    </w:p>
    <w:p>
      <w:pPr>
        <w:ind w:right="240" w:firstLine="413"/>
        <w:spacing w:after="0" w:line="271" w:lineRule="auto"/>
        <w:rPr>
          <w:sz w:val="20"/>
          <w:szCs w:val="20"/>
          <w:color w:val="auto"/>
        </w:rPr>
      </w:pPr>
      <w:r>
        <w:rPr>
          <w:rFonts w:ascii="Arial" w:cs="Arial" w:eastAsia="Arial" w:hAnsi="Arial"/>
          <w:sz w:val="17"/>
          <w:szCs w:val="17"/>
          <w:color w:val="auto"/>
        </w:rPr>
        <w:t>Assuming no other changes which would affect the margin of the interest rate, the estimated effect of interest rate fluctuations on outstanding borrowings under our Financing Agreement over the next twelve months from January 31, 2018 is quantified and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80" w:type="dxa"/>
            <w:vAlign w:val="bottom"/>
          </w:tcPr>
          <w:p>
            <w:pPr>
              <w:spacing w:after="0"/>
              <w:rPr>
                <w:sz w:val="17"/>
                <w:szCs w:val="17"/>
                <w:color w:val="auto"/>
              </w:rPr>
            </w:pPr>
          </w:p>
        </w:tc>
        <w:tc>
          <w:tcPr>
            <w:tcW w:w="8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136"/>
              <w:spacing w:after="0"/>
              <w:rPr>
                <w:sz w:val="20"/>
                <w:szCs w:val="20"/>
                <w:color w:val="auto"/>
              </w:rPr>
            </w:pPr>
            <w:r>
              <w:rPr>
                <w:rFonts w:ascii="Arial" w:cs="Arial" w:eastAsia="Arial" w:hAnsi="Arial"/>
                <w:sz w:val="17"/>
                <w:szCs w:val="17"/>
                <w:b w:val="1"/>
                <w:bCs w:val="1"/>
                <w:color w:val="auto"/>
                <w:w w:val="89"/>
              </w:rPr>
              <w:t>Interest expense</w:t>
            </w:r>
          </w:p>
        </w:tc>
      </w:tr>
      <w:tr>
        <w:trPr>
          <w:trHeight w:val="219"/>
        </w:trPr>
        <w:tc>
          <w:tcPr>
            <w:tcW w:w="8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increase</w:t>
            </w:r>
          </w:p>
        </w:tc>
      </w:tr>
      <w:tr>
        <w:trPr>
          <w:trHeight w:val="195"/>
        </w:trPr>
        <w:tc>
          <w:tcPr>
            <w:tcW w:w="8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236"/>
              <w:spacing w:after="0"/>
              <w:rPr>
                <w:sz w:val="20"/>
                <w:szCs w:val="20"/>
                <w:color w:val="auto"/>
              </w:rPr>
            </w:pPr>
            <w:r>
              <w:rPr>
                <w:rFonts w:ascii="Arial" w:cs="Arial" w:eastAsia="Arial" w:hAnsi="Arial"/>
                <w:sz w:val="17"/>
                <w:szCs w:val="17"/>
                <w:color w:val="auto"/>
              </w:rPr>
              <w:t>(in thousands)</w:t>
            </w:r>
          </w:p>
        </w:tc>
      </w:tr>
      <w:tr>
        <w:trPr>
          <w:trHeight w:val="202"/>
        </w:trPr>
        <w:tc>
          <w:tcPr>
            <w:tcW w:w="9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rates increase by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328</w:t>
            </w:r>
          </w:p>
        </w:tc>
      </w:tr>
      <w:tr>
        <w:trPr>
          <w:trHeight w:val="214"/>
        </w:trPr>
        <w:tc>
          <w:tcPr>
            <w:tcW w:w="9840" w:type="dxa"/>
            <w:vAlign w:val="bottom"/>
            <w:gridSpan w:val="2"/>
          </w:tcPr>
          <w:p>
            <w:pPr>
              <w:spacing w:after="0"/>
              <w:rPr>
                <w:sz w:val="20"/>
                <w:szCs w:val="20"/>
                <w:color w:val="auto"/>
              </w:rPr>
            </w:pPr>
            <w:r>
              <w:rPr>
                <w:rFonts w:ascii="Arial" w:cs="Arial" w:eastAsia="Arial" w:hAnsi="Arial"/>
                <w:sz w:val="17"/>
                <w:szCs w:val="17"/>
                <w:color w:val="auto"/>
              </w:rPr>
              <w:t>Interest rates increase by 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6"/>
              <w:spacing w:after="0"/>
              <w:rPr>
                <w:sz w:val="20"/>
                <w:szCs w:val="20"/>
                <w:color w:val="auto"/>
              </w:rPr>
            </w:pPr>
            <w:r>
              <w:rPr>
                <w:rFonts w:ascii="Arial" w:cs="Arial" w:eastAsia="Arial" w:hAnsi="Arial"/>
                <w:sz w:val="17"/>
                <w:szCs w:val="17"/>
                <w:color w:val="auto"/>
              </w:rPr>
              <w:t>656</w:t>
            </w:r>
          </w:p>
        </w:tc>
      </w:tr>
      <w:tr>
        <w:trPr>
          <w:trHeight w:val="392"/>
        </w:trPr>
        <w:tc>
          <w:tcPr>
            <w:tcW w:w="880" w:type="dxa"/>
            <w:vAlign w:val="bottom"/>
          </w:tcPr>
          <w:p>
            <w:pPr>
              <w:spacing w:after="0"/>
              <w:rPr>
                <w:sz w:val="20"/>
                <w:szCs w:val="20"/>
                <w:color w:val="auto"/>
              </w:rPr>
            </w:pPr>
            <w:r>
              <w:rPr>
                <w:rFonts w:ascii="Arial" w:cs="Arial" w:eastAsia="Arial" w:hAnsi="Arial"/>
                <w:sz w:val="17"/>
                <w:szCs w:val="17"/>
                <w:b w:val="1"/>
                <w:bCs w:val="1"/>
                <w:color w:val="auto"/>
              </w:rPr>
              <w:t>Item 8.</w:t>
            </w:r>
          </w:p>
        </w:tc>
        <w:tc>
          <w:tcPr>
            <w:tcW w:w="8960" w:type="dxa"/>
            <w:vAlign w:val="bottom"/>
          </w:tcPr>
          <w:p>
            <w:pPr>
              <w:ind w:left="340"/>
              <w:spacing w:after="0"/>
              <w:rPr>
                <w:sz w:val="20"/>
                <w:szCs w:val="20"/>
                <w:color w:val="auto"/>
              </w:rPr>
            </w:pPr>
            <w:r>
              <w:rPr>
                <w:rFonts w:ascii="Arial" w:cs="Arial" w:eastAsia="Arial" w:hAnsi="Arial"/>
                <w:sz w:val="17"/>
                <w:szCs w:val="17"/>
                <w:b w:val="1"/>
                <w:bCs w:val="1"/>
                <w:i w:val="1"/>
                <w:iCs w:val="1"/>
                <w:color w:val="auto"/>
              </w:rPr>
              <w:t>Financial Statements and Supplementary Data.</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191" w:lineRule="exact"/>
        <w:rPr>
          <w:sz w:val="20"/>
          <w:szCs w:val="20"/>
          <w:color w:val="auto"/>
        </w:rPr>
      </w:pPr>
    </w:p>
    <w:p>
      <w:pPr>
        <w:ind w:right="480" w:firstLine="413"/>
        <w:spacing w:after="0" w:line="271" w:lineRule="auto"/>
        <w:rPr>
          <w:sz w:val="20"/>
          <w:szCs w:val="20"/>
          <w:color w:val="auto"/>
        </w:rPr>
      </w:pPr>
      <w:r>
        <w:rPr>
          <w:rFonts w:ascii="Arial" w:cs="Arial" w:eastAsia="Arial" w:hAnsi="Arial"/>
          <w:sz w:val="17"/>
          <w:szCs w:val="17"/>
          <w:color w:val="auto"/>
        </w:rPr>
        <w:t>The information required by this item is contained in the consolidated financial statements filed as part of this Annual Report on Form 10-K are listed under Item 15 of Part IV below.</w:t>
      </w:r>
    </w:p>
    <w:p>
      <w:pPr>
        <w:spacing w:after="0" w:line="162"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4"/>
          <w:szCs w:val="14"/>
          <w:b w:val="1"/>
          <w:bCs w:val="1"/>
          <w:i w:val="1"/>
          <w:iCs w:val="1"/>
          <w:color w:val="auto"/>
        </w:rPr>
        <w:t>Changes in and Disagreements with Accountants on Accounting and Financial Disclosure.</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4"/>
          <w:szCs w:val="14"/>
          <w:b w:val="1"/>
          <w:bCs w:val="1"/>
          <w:i w:val="1"/>
          <w:iCs w:val="1"/>
          <w:color w:val="auto"/>
        </w:rPr>
        <w:t>Controls and Procedures.</w:t>
      </w:r>
    </w:p>
    <w:p>
      <w:pPr>
        <w:spacing w:after="0" w:line="213" w:lineRule="exact"/>
        <w:rPr>
          <w:sz w:val="20"/>
          <w:szCs w:val="20"/>
          <w:color w:val="auto"/>
        </w:rPr>
      </w:pPr>
    </w:p>
    <w:p>
      <w:pPr>
        <w:ind w:firstLine="413"/>
        <w:spacing w:after="0" w:line="260" w:lineRule="auto"/>
        <w:rPr>
          <w:sz w:val="20"/>
          <w:szCs w:val="20"/>
          <w:color w:val="auto"/>
        </w:rPr>
      </w:pPr>
      <w:r>
        <w:rPr>
          <w:rFonts w:ascii="Arial" w:cs="Arial" w:eastAsia="Arial" w:hAnsi="Arial"/>
          <w:sz w:val="17"/>
          <w:szCs w:val="17"/>
          <w:color w:val="auto"/>
        </w:rPr>
        <w:t>This Report includes the certifications of our Chief Executive Officer and Chief Financial Officer required by Rule 13a-14 of the Securities Exchange Act of 1934, as amended (the “Exchange Act”). See Exhibits 31.1 and 31.2. This Item 9A includes information concerning the controls and control evaluations referred to in those certifications.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ind w:left="1040" w:hanging="1038"/>
        <w:spacing w:after="0"/>
        <w:tabs>
          <w:tab w:leader="none" w:pos="104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Evaluation of Disclosure Controls and Procedures</w:t>
      </w:r>
    </w:p>
    <w:p>
      <w:pPr>
        <w:spacing w:after="0" w:line="213" w:lineRule="exact"/>
        <w:rPr>
          <w:sz w:val="20"/>
          <w:szCs w:val="20"/>
          <w:color w:val="auto"/>
        </w:rPr>
      </w:pPr>
    </w:p>
    <w:p>
      <w:pPr>
        <w:ind w:right="180" w:firstLine="413"/>
        <w:spacing w:after="0" w:line="291" w:lineRule="auto"/>
        <w:rPr>
          <w:sz w:val="20"/>
          <w:szCs w:val="20"/>
          <w:color w:val="auto"/>
        </w:rPr>
      </w:pPr>
      <w:r>
        <w:rPr>
          <w:rFonts w:ascii="Arial" w:cs="Arial" w:eastAsia="Arial" w:hAnsi="Arial"/>
          <w:sz w:val="15"/>
          <w:szCs w:val="15"/>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U.S. Securities and Exchange Commission. Disclosure controls and procedures include, without limitation, controls and procedures designed to ensure that information required to be disclosed by us in our reports that we file or submit under the Exchange Act is accumulated and communicated to our management, including our Chief Executive Officer and Chief Financial Officer, as appropriate to allow timely decisions regarding our required disclosure. In designing and evaluating our disclosure controls and procedures, our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56" w:lineRule="exact"/>
        <w:rPr>
          <w:sz w:val="20"/>
          <w:szCs w:val="20"/>
          <w:color w:val="auto"/>
        </w:rPr>
      </w:pPr>
    </w:p>
    <w:p>
      <w:pPr>
        <w:ind w:firstLine="413"/>
        <w:spacing w:after="0" w:line="270" w:lineRule="auto"/>
        <w:rPr>
          <w:sz w:val="20"/>
          <w:szCs w:val="20"/>
          <w:color w:val="auto"/>
        </w:rPr>
      </w:pPr>
      <w:r>
        <w:rPr>
          <w:rFonts w:ascii="Arial" w:cs="Arial" w:eastAsia="Arial" w:hAnsi="Arial"/>
          <w:sz w:val="16"/>
          <w:szCs w:val="16"/>
          <w:color w:val="auto"/>
        </w:rPr>
        <w:t>We carried out an evaluation, under the supervision and with the participation our Chief Executive Officer and Chief Financial Officer, of the effectiveness of the design and operation of our disclosure controls and procedures (as defined in Rules 13a-15(e) and 15d-15(e) under the Exchange Act) as of the end of the period covered in this Report. Based upon the evaluation described above, our Chief Executive Officer and Chief Financial Officer have concluded that they believe that our disclosure controls and procedures were effective, as of December 31, 2017, in providing reasonable assurance that information required to be disclosed by us in the reports that we file or submit under the Exchange Act is accumulated and communicated to our management, including our Chief Executive Officer and Chief Financial Officer, to allow timely decisions regarding required disclosures, and is recorded, processed, summarized and reported within the time periods specified in the Securities and Exchange Commission’s rules and forms.</w:t>
      </w:r>
    </w:p>
    <w:p>
      <w:pPr>
        <w:spacing w:after="0" w:line="167" w:lineRule="exact"/>
        <w:rPr>
          <w:sz w:val="20"/>
          <w:szCs w:val="20"/>
          <w:color w:val="auto"/>
        </w:rPr>
      </w:pPr>
    </w:p>
    <w:p>
      <w:pPr>
        <w:ind w:left="1100" w:hanging="1098"/>
        <w:spacing w:after="0"/>
        <w:tabs>
          <w:tab w:leader="none" w:pos="11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Management’s Report on Internal Control Over Financial Reporting</w:t>
      </w:r>
    </w:p>
    <w:p>
      <w:pPr>
        <w:spacing w:after="0" w:line="213" w:lineRule="exact"/>
        <w:rPr>
          <w:sz w:val="20"/>
          <w:szCs w:val="20"/>
          <w:color w:val="auto"/>
        </w:rPr>
      </w:pPr>
    </w:p>
    <w:p>
      <w:pPr>
        <w:ind w:right="40" w:firstLine="413"/>
        <w:spacing w:after="0" w:line="26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a process designed by and under the supervision of our Chief Executive Officer and Chief Financial Officer and effected by our management and other personnel,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(1) pertain to the maintenance of records that, in reasonable detail, accurately and fairly reflect transactions and dispositions of assets, (2) provide reasonable assurance that transactions are recorded as necessary to permit preparation of consolidated financial statements for external purposes in accordance with generally accepted accounting principles, (3) provide reasonable assurance that receipts and expenditures are being made only in accordance with authorizations of management and directors, and (4) provide reasonable assurance regarding prevention or timely detection of unauthorized acquisition, use or disposition of assets that could have a material effect on the consolidated financial statements.</w:t>
      </w:r>
    </w:p>
    <w:p>
      <w:pPr>
        <w:spacing w:after="0" w:line="169" w:lineRule="exact"/>
        <w:rPr>
          <w:sz w:val="20"/>
          <w:szCs w:val="20"/>
          <w:color w:val="auto"/>
        </w:rPr>
      </w:pPr>
    </w:p>
    <w:p>
      <w:pPr>
        <w:ind w:right="20" w:firstLine="413"/>
        <w:spacing w:after="0" w:line="283" w:lineRule="auto"/>
        <w:rPr>
          <w:sz w:val="20"/>
          <w:szCs w:val="20"/>
          <w:color w:val="auto"/>
        </w:rPr>
      </w:pPr>
      <w:r>
        <w:rPr>
          <w:rFonts w:ascii="Arial" w:cs="Arial" w:eastAsia="Arial" w:hAnsi="Arial"/>
          <w:sz w:val="16"/>
          <w:szCs w:val="16"/>
          <w:color w:val="auto"/>
        </w:rPr>
        <w:t>Because of inherent limitations, internal control over financial reporting may not prevent or detect misstatements. It is a process that involves human diligence and compliance and is therefore subject to human error and misjudgment. In general, evaluations of effectiveness for future periods are subject to risk as controls may become inadequate due to changes in conditions or the degree of compliance with key processes or procedures could deteriorate.</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Our management evaluated the effectiveness of our internal control over financial reporting as of December 31, 2017 using the criteria set forth in Internal Control</w:t>
      </w:r>
    </w:p>
    <w:p>
      <w:pPr>
        <w:spacing w:after="0" w:line="42" w:lineRule="exact"/>
        <w:rPr>
          <w:sz w:val="20"/>
          <w:szCs w:val="20"/>
          <w:color w:val="auto"/>
        </w:rPr>
      </w:pPr>
    </w:p>
    <w:p>
      <w:pPr>
        <w:ind w:right="900"/>
        <w:spacing w:after="0" w:line="257" w:lineRule="auto"/>
        <w:rPr>
          <w:sz w:val="20"/>
          <w:szCs w:val="20"/>
          <w:color w:val="auto"/>
        </w:rPr>
      </w:pPr>
      <w:r>
        <w:rPr>
          <w:rFonts w:ascii="Arial" w:cs="Arial" w:eastAsia="Arial" w:hAnsi="Arial"/>
          <w:sz w:val="17"/>
          <w:szCs w:val="17"/>
          <w:color w:val="auto"/>
        </w:rPr>
        <w:t>– Integrated Framework (2013) issued by the Committee of Sponsoring Organizations of the Treadway Commission (COSO). As a result of that evaluation, management has concluded that our internal control over financial reporting was effective as of December 31, 2017.</w:t>
      </w:r>
    </w:p>
    <w:p>
      <w:pPr>
        <w:spacing w:after="0" w:line="177" w:lineRule="exact"/>
        <w:rPr>
          <w:sz w:val="20"/>
          <w:szCs w:val="20"/>
          <w:color w:val="auto"/>
        </w:rPr>
      </w:pPr>
    </w:p>
    <w:p>
      <w:pPr>
        <w:ind w:right="640" w:firstLine="413"/>
        <w:spacing w:after="0" w:line="271" w:lineRule="auto"/>
        <w:rPr>
          <w:sz w:val="20"/>
          <w:szCs w:val="20"/>
          <w:color w:val="auto"/>
        </w:rPr>
      </w:pPr>
      <w:r>
        <w:rPr>
          <w:rFonts w:ascii="Arial" w:cs="Arial" w:eastAsia="Arial" w:hAnsi="Arial"/>
          <w:sz w:val="17"/>
          <w:szCs w:val="17"/>
          <w:color w:val="auto"/>
        </w:rPr>
        <w:t>The effectiveness of our internal control over financial reporting as of December 31, 2017 has also been audited by Grant Thornton LLP, our independent registered public accounting firm, as stated in their report, which is included below in Item 9A(e).</w:t>
      </w:r>
    </w:p>
    <w:p>
      <w:pPr>
        <w:spacing w:after="0" w:line="162" w:lineRule="exact"/>
        <w:rPr>
          <w:sz w:val="20"/>
          <w:szCs w:val="20"/>
          <w:color w:val="auto"/>
        </w:rPr>
      </w:pPr>
    </w:p>
    <w:p>
      <w:pPr>
        <w:ind w:left="1080" w:hanging="1078"/>
        <w:spacing w:after="0"/>
        <w:tabs>
          <w:tab w:leader="none" w:pos="108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Changes in Internal Controls Over Financial Reporting</w:t>
      </w:r>
    </w:p>
    <w:p>
      <w:pPr>
        <w:spacing w:after="0" w:line="213" w:lineRule="exact"/>
        <w:rPr>
          <w:sz w:val="20"/>
          <w:szCs w:val="20"/>
          <w:color w:val="auto"/>
        </w:rPr>
      </w:pPr>
    </w:p>
    <w:p>
      <w:pPr>
        <w:ind w:right="340" w:firstLine="413"/>
        <w:spacing w:after="0" w:line="256" w:lineRule="auto"/>
        <w:rPr>
          <w:sz w:val="20"/>
          <w:szCs w:val="20"/>
          <w:color w:val="auto"/>
        </w:rPr>
      </w:pPr>
      <w:r>
        <w:rPr>
          <w:rFonts w:ascii="Arial" w:cs="Arial" w:eastAsia="Arial" w:hAnsi="Arial"/>
          <w:sz w:val="17"/>
          <w:szCs w:val="17"/>
          <w:color w:val="auto"/>
        </w:rPr>
        <w:t>The Company identified control deficiencies related to current and deferred income taxes and inventory costing and reserves for the year-ended December 31, 2016, which were assessed as material weaknesses. We developed a remediation plan at the time, and designed and implemented certain new internal controls in an effort to remediate the material weaknesses. During the fourth quarter of fiscal 2017, we successfully completed the testing necessary to conclude that the material weaknesses had been remediated.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firstLine="413"/>
        <w:spacing w:after="0" w:line="271" w:lineRule="auto"/>
        <w:rPr>
          <w:sz w:val="20"/>
          <w:szCs w:val="20"/>
          <w:color w:val="auto"/>
        </w:rPr>
      </w:pPr>
      <w:r>
        <w:rPr>
          <w:rFonts w:ascii="Arial" w:cs="Arial" w:eastAsia="Arial" w:hAnsi="Arial"/>
          <w:sz w:val="17"/>
          <w:szCs w:val="17"/>
          <w:color w:val="auto"/>
        </w:rPr>
        <w:t>Except as noted above, there has been no change in the Company's internal control over financial reporting as of December 31, 2017, that has materially affected, or is reasonably likely to materially affect, the Company's internal control over financial reporting.</w:t>
      </w:r>
    </w:p>
    <w:p>
      <w:pPr>
        <w:spacing w:after="0" w:line="162" w:lineRule="exact"/>
        <w:rPr>
          <w:sz w:val="20"/>
          <w:szCs w:val="20"/>
          <w:color w:val="auto"/>
        </w:rPr>
      </w:pPr>
    </w:p>
    <w:p>
      <w:pPr>
        <w:ind w:left="1060" w:hanging="1058"/>
        <w:spacing w:after="0"/>
        <w:tabs>
          <w:tab w:leader="none" w:pos="106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Inherent Limitations on Effectiveness of Controls</w:t>
      </w:r>
    </w:p>
    <w:p>
      <w:pPr>
        <w:spacing w:after="0" w:line="213" w:lineRule="exact"/>
        <w:rPr>
          <w:sz w:val="20"/>
          <w:szCs w:val="20"/>
          <w:color w:val="auto"/>
        </w:rPr>
      </w:pPr>
    </w:p>
    <w:p>
      <w:pPr>
        <w:ind w:right="60" w:firstLine="413"/>
        <w:spacing w:after="0" w:line="301" w:lineRule="auto"/>
        <w:rPr>
          <w:sz w:val="20"/>
          <w:szCs w:val="20"/>
          <w:color w:val="auto"/>
        </w:rPr>
      </w:pPr>
      <w:r>
        <w:rPr>
          <w:rFonts w:ascii="Arial" w:cs="Arial" w:eastAsia="Arial" w:hAnsi="Arial"/>
          <w:sz w:val="15"/>
          <w:szCs w:val="15"/>
          <w:color w:val="auto"/>
        </w:rPr>
        <w:t>The design of any system of control is based upon certain assumptions about the likelihood of future events, and there can be no assurance that any design will succeed in achieving its stated objectives under all future events, no matter how remote, that controls may become inadequate because of changes in conditions, or that the degree of compliance with the policies or procedures may not deteriorate. Because of their inherent limitations, systems of control may not prevent or detect all misstatements. Accordingly, even effective systems of control can provide only reasonable assurance of achieving their control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20"/>
          </w:cols>
          <w:pgMar w:left="240" w:top="228" w:right="3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ind w:left="660" w:hanging="659"/>
        <w:spacing w:after="0"/>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Report of Independent Registered Public Accounting Firm</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Shareholders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Harvard Bioscience, Inc.:</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We have audited the internal control over financial reporting of Harvard Bioscience, Inc. (a Delaware corporation) and subsidiaries (the “Company”) as of December 31, 2017,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83"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financial statements of the Company as of and for the year ended December 31, 2017, and our report dated March 16, 2018 expressed an unqualified opinion on those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16, 2018</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PART III</w:t>
      </w:r>
    </w:p>
    <w:p>
      <w:pPr>
        <w:spacing w:after="0" w:line="209"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4"/>
          <w:szCs w:val="14"/>
          <w:b w:val="1"/>
          <w:bCs w:val="1"/>
          <w:i w:val="1"/>
          <w:iCs w:val="1"/>
          <w:color w:val="auto"/>
        </w:rPr>
        <w:t>Directors, Executive Officers and Corporate Governance.</w:t>
      </w:r>
    </w:p>
    <w:p>
      <w:pPr>
        <w:spacing w:after="0" w:line="213" w:lineRule="exact"/>
        <w:rPr>
          <w:sz w:val="20"/>
          <w:szCs w:val="20"/>
          <w:color w:val="auto"/>
        </w:rPr>
      </w:pPr>
    </w:p>
    <w:p>
      <w:pPr>
        <w:ind w:firstLine="413"/>
        <w:spacing w:after="0" w:line="260" w:lineRule="auto"/>
        <w:rPr>
          <w:sz w:val="20"/>
          <w:szCs w:val="20"/>
          <w:color w:val="auto"/>
        </w:rPr>
      </w:pPr>
      <w:r>
        <w:rPr>
          <w:rFonts w:ascii="Arial" w:cs="Arial" w:eastAsia="Arial" w:hAnsi="Arial"/>
          <w:sz w:val="17"/>
          <w:szCs w:val="17"/>
          <w:color w:val="auto"/>
        </w:rPr>
        <w:t>Incorporated by reference to our definitive Proxy Statement to be filed pursuant to Regulation 14A under the Exchange Act, in connection with our 2018 Annual Meeting of Stockholders. Information concerning executive officers of our Company is included in Part I of this Annual Report on Form 10-K as Item 1. Business-Executive Officers of the Registrant and incorporated herein by reference.</w:t>
      </w:r>
    </w:p>
    <w:p>
      <w:pPr>
        <w:spacing w:after="0" w:line="170"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i w:val="1"/>
          <w:iCs w:val="1"/>
          <w:color w:val="auto"/>
        </w:rPr>
        <w:t>Executive Compensation.</w:t>
      </w:r>
    </w:p>
    <w:p>
      <w:pPr>
        <w:spacing w:after="0" w:line="213" w:lineRule="exact"/>
        <w:rPr>
          <w:sz w:val="20"/>
          <w:szCs w:val="20"/>
          <w:color w:val="auto"/>
        </w:rPr>
      </w:pPr>
    </w:p>
    <w:p>
      <w:pPr>
        <w:ind w:right="40" w:firstLine="413"/>
        <w:spacing w:after="0" w:line="271" w:lineRule="auto"/>
        <w:rPr>
          <w:sz w:val="20"/>
          <w:szCs w:val="20"/>
          <w:color w:val="auto"/>
        </w:rPr>
      </w:pPr>
      <w:r>
        <w:rPr>
          <w:rFonts w:ascii="Arial" w:cs="Arial" w:eastAsia="Arial" w:hAnsi="Arial"/>
          <w:sz w:val="17"/>
          <w:szCs w:val="17"/>
          <w:color w:val="auto"/>
        </w:rPr>
        <w:t>Incorporated by reference to our definitive Proxy Statement to be filed pursuant to Regulation 14A under the Exchange Act in connection with our 2018 Annual Meeting of Stockholders.</w:t>
      </w:r>
    </w:p>
    <w:p>
      <w:pPr>
        <w:spacing w:after="0" w:line="162"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4"/>
          <w:szCs w:val="14"/>
          <w:b w:val="1"/>
          <w:bCs w:val="1"/>
          <w:i w:val="1"/>
          <w:iCs w:val="1"/>
          <w:color w:val="auto"/>
        </w:rPr>
        <w:t>Security Ownership of Certain Beneficial Owners and Management and Related Stockholder Matters.</w:t>
      </w:r>
    </w:p>
    <w:p>
      <w:pPr>
        <w:spacing w:after="0" w:line="213" w:lineRule="exact"/>
        <w:rPr>
          <w:sz w:val="20"/>
          <w:szCs w:val="20"/>
          <w:color w:val="auto"/>
        </w:rPr>
      </w:pPr>
    </w:p>
    <w:p>
      <w:pPr>
        <w:ind w:right="40" w:firstLine="413"/>
        <w:spacing w:after="0" w:line="271" w:lineRule="auto"/>
        <w:rPr>
          <w:sz w:val="20"/>
          <w:szCs w:val="20"/>
          <w:color w:val="auto"/>
        </w:rPr>
      </w:pPr>
      <w:r>
        <w:rPr>
          <w:rFonts w:ascii="Arial" w:cs="Arial" w:eastAsia="Arial" w:hAnsi="Arial"/>
          <w:sz w:val="17"/>
          <w:szCs w:val="17"/>
          <w:color w:val="auto"/>
        </w:rPr>
        <w:t>Incorporated by reference to our definitive Proxy Statement to be filed pursuant to Regulation 14A under the Exchange Act in connection with our 2018 Annual Meeting of Stockholders.</w:t>
      </w:r>
    </w:p>
    <w:p>
      <w:pPr>
        <w:spacing w:after="0" w:line="162"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4"/>
          <w:szCs w:val="14"/>
          <w:b w:val="1"/>
          <w:bCs w:val="1"/>
          <w:i w:val="1"/>
          <w:iCs w:val="1"/>
          <w:color w:val="auto"/>
        </w:rPr>
        <w:t>Certain Relationships and Related Transactions, and Director Independence.</w:t>
      </w:r>
    </w:p>
    <w:p>
      <w:pPr>
        <w:spacing w:after="0" w:line="213" w:lineRule="exact"/>
        <w:rPr>
          <w:sz w:val="20"/>
          <w:szCs w:val="20"/>
          <w:color w:val="auto"/>
        </w:rPr>
      </w:pPr>
    </w:p>
    <w:p>
      <w:pPr>
        <w:ind w:right="40" w:firstLine="413"/>
        <w:spacing w:after="0" w:line="271" w:lineRule="auto"/>
        <w:rPr>
          <w:sz w:val="20"/>
          <w:szCs w:val="20"/>
          <w:color w:val="auto"/>
        </w:rPr>
      </w:pPr>
      <w:r>
        <w:rPr>
          <w:rFonts w:ascii="Arial" w:cs="Arial" w:eastAsia="Arial" w:hAnsi="Arial"/>
          <w:sz w:val="17"/>
          <w:szCs w:val="17"/>
          <w:color w:val="auto"/>
        </w:rPr>
        <w:t>Incorporated by reference to our definitive Proxy Statement to be filed pursuant to Regulation 14A under the Exchange Act in connection with our 2018 Annual Meeting of Stockholders.</w:t>
      </w:r>
    </w:p>
    <w:p>
      <w:pPr>
        <w:spacing w:after="0" w:line="162"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i w:val="1"/>
          <w:iCs w:val="1"/>
          <w:color w:val="auto"/>
        </w:rPr>
        <w:t>Principal Accounting Fees and Services.</w:t>
      </w:r>
    </w:p>
    <w:p>
      <w:pPr>
        <w:spacing w:after="0" w:line="213" w:lineRule="exact"/>
        <w:rPr>
          <w:sz w:val="20"/>
          <w:szCs w:val="20"/>
          <w:color w:val="auto"/>
        </w:rPr>
      </w:pPr>
    </w:p>
    <w:p>
      <w:pPr>
        <w:ind w:right="40" w:firstLine="413"/>
        <w:spacing w:after="0" w:line="271" w:lineRule="auto"/>
        <w:rPr>
          <w:sz w:val="20"/>
          <w:szCs w:val="20"/>
          <w:color w:val="auto"/>
        </w:rPr>
      </w:pPr>
      <w:r>
        <w:rPr>
          <w:rFonts w:ascii="Arial" w:cs="Arial" w:eastAsia="Arial" w:hAnsi="Arial"/>
          <w:sz w:val="17"/>
          <w:szCs w:val="17"/>
          <w:color w:val="auto"/>
        </w:rPr>
        <w:t>Incorporated by reference to our definitive Proxy Statement to be filed pursuant to Regulation 14A under the Exchange Act in connection with our 2018 Annual Meeting of Stockholders.</w:t>
      </w: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280"/>
          </w:cols>
          <w:pgMar w:left="240" w:top="228" w:right="37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i w:val="1"/>
          <w:iCs w:val="1"/>
          <w:color w:val="auto"/>
        </w:rPr>
        <w:t>Exhibits, Financial Statement Schedules.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(a) Documents Filed. The following documents are filed as part of this Annual Report on Form 10-K or incorporated by reference as indicated:</w:t>
      </w:r>
    </w:p>
    <w:p>
      <w:pPr>
        <w:spacing w:after="0" w:line="200" w:lineRule="exact"/>
        <w:rPr>
          <w:sz w:val="20"/>
          <w:szCs w:val="20"/>
          <w:color w:val="auto"/>
        </w:rPr>
      </w:pPr>
    </w:p>
    <w:p>
      <w:pPr>
        <w:spacing w:after="0" w:line="212" w:lineRule="exact"/>
        <w:rPr>
          <w:sz w:val="20"/>
          <w:szCs w:val="20"/>
          <w:color w:val="auto"/>
        </w:rPr>
      </w:pPr>
    </w:p>
    <w:p>
      <w:pPr>
        <w:ind w:left="920" w:hanging="919"/>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Financial Statements. The consolidated financial statements of Harvard Bioscience, Inc. and its subsidiaries filed under this Item 15:</w:t>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18"/>
        </w:trPr>
        <w:tc>
          <w:tcPr>
            <w:tcW w:w="2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gridSpan w:val="3"/>
          </w:tcPr>
          <w:p>
            <w:pPr>
              <w:jc w:val="center"/>
              <w:ind w:left="996"/>
              <w:spacing w:after="0"/>
              <w:rPr>
                <w:sz w:val="20"/>
                <w:szCs w:val="20"/>
                <w:color w:val="auto"/>
              </w:rPr>
            </w:pPr>
            <w:r>
              <w:rPr>
                <w:rFonts w:ascii="Arial" w:cs="Arial" w:eastAsia="Arial" w:hAnsi="Arial"/>
                <w:sz w:val="17"/>
                <w:szCs w:val="17"/>
                <w:b w:val="1"/>
                <w:bCs w:val="1"/>
                <w:color w:val="auto"/>
                <w:w w:val="83"/>
              </w:rPr>
              <w:t>Page</w:t>
            </w:r>
          </w:p>
        </w:tc>
      </w:tr>
      <w:tr>
        <w:trPr>
          <w:trHeight w:val="368"/>
        </w:trPr>
        <w:tc>
          <w:tcPr>
            <w:tcW w:w="8860" w:type="dxa"/>
            <w:vAlign w:val="bottom"/>
            <w:gridSpan w:val="8"/>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Index to Consolidated Financial Statements</w:t>
              </w:r>
            </w:hyperlink>
          </w:p>
        </w:tc>
        <w:tc>
          <w:tcPr>
            <w:tcW w:w="1140" w:type="dxa"/>
            <w:vAlign w:val="bottom"/>
          </w:tcPr>
          <w:p>
            <w:pPr>
              <w:spacing w:after="0"/>
              <w:rPr>
                <w:sz w:val="24"/>
                <w:szCs w:val="24"/>
                <w:color w:val="auto"/>
              </w:rPr>
            </w:pPr>
          </w:p>
        </w:tc>
        <w:tc>
          <w:tcPr>
            <w:tcW w:w="280" w:type="dxa"/>
            <w:vAlign w:val="bottom"/>
            <w:gridSpan w:val="2"/>
          </w:tcPr>
          <w:p>
            <w:pPr>
              <w:jc w:val="center"/>
              <w:ind w:right="60"/>
              <w:spacing w:after="0"/>
              <w:rPr>
                <w:rFonts w:ascii="Arial" w:cs="Arial" w:eastAsia="Arial" w:hAnsi="Arial"/>
                <w:sz w:val="17"/>
                <w:szCs w:val="17"/>
                <w:color w:val="0000EE"/>
                <w:w w:val="86"/>
              </w:rPr>
            </w:pPr>
            <w:hyperlink w:anchor="page45">
              <w:r>
                <w:rPr>
                  <w:rFonts w:ascii="Arial" w:cs="Arial" w:eastAsia="Arial" w:hAnsi="Arial"/>
                  <w:sz w:val="17"/>
                  <w:szCs w:val="17"/>
                  <w:color w:val="0000EE"/>
                  <w:w w:val="86"/>
                </w:rPr>
                <w:t>F-1</w:t>
              </w:r>
            </w:hyperlink>
          </w:p>
        </w:tc>
      </w:tr>
      <w:tr>
        <w:trPr>
          <w:trHeight w:val="20"/>
        </w:trPr>
        <w:tc>
          <w:tcPr>
            <w:tcW w:w="29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8860" w:type="dxa"/>
            <w:vAlign w:val="bottom"/>
            <w:gridSpan w:val="8"/>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Reports of Independent Registered Public Accounting Firms</w:t>
              </w:r>
            </w:hyperlink>
          </w:p>
        </w:tc>
        <w:tc>
          <w:tcPr>
            <w:tcW w:w="1140" w:type="dxa"/>
            <w:vAlign w:val="bottom"/>
          </w:tcPr>
          <w:p>
            <w:pPr>
              <w:spacing w:after="0"/>
              <w:rPr>
                <w:sz w:val="24"/>
                <w:szCs w:val="24"/>
                <w:color w:val="auto"/>
              </w:rPr>
            </w:pPr>
          </w:p>
        </w:tc>
        <w:tc>
          <w:tcPr>
            <w:tcW w:w="280" w:type="dxa"/>
            <w:vAlign w:val="bottom"/>
            <w:gridSpan w:val="2"/>
          </w:tcPr>
          <w:p>
            <w:pPr>
              <w:jc w:val="center"/>
              <w:ind w:right="60"/>
              <w:spacing w:after="0"/>
              <w:rPr>
                <w:rFonts w:ascii="Arial" w:cs="Arial" w:eastAsia="Arial" w:hAnsi="Arial"/>
                <w:sz w:val="17"/>
                <w:szCs w:val="17"/>
                <w:color w:val="0000EE"/>
                <w:w w:val="86"/>
              </w:rPr>
            </w:pPr>
            <w:hyperlink w:anchor="page46">
              <w:r>
                <w:rPr>
                  <w:rFonts w:ascii="Arial" w:cs="Arial" w:eastAsia="Arial" w:hAnsi="Arial"/>
                  <w:sz w:val="17"/>
                  <w:szCs w:val="17"/>
                  <w:color w:val="0000EE"/>
                  <w:w w:val="86"/>
                </w:rPr>
                <w:t>F-2</w:t>
              </w:r>
            </w:hyperlink>
          </w:p>
        </w:tc>
      </w:tr>
      <w:tr>
        <w:trPr>
          <w:trHeight w:val="20"/>
        </w:trPr>
        <w:tc>
          <w:tcPr>
            <w:tcW w:w="294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8860" w:type="dxa"/>
            <w:vAlign w:val="bottom"/>
            <w:gridSpan w:val="8"/>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Consolidated Balance Sheets as of December 31, 2017 and 2016</w:t>
              </w:r>
            </w:hyperlink>
          </w:p>
        </w:tc>
        <w:tc>
          <w:tcPr>
            <w:tcW w:w="1140" w:type="dxa"/>
            <w:vAlign w:val="bottom"/>
          </w:tcPr>
          <w:p>
            <w:pPr>
              <w:spacing w:after="0"/>
              <w:rPr>
                <w:sz w:val="24"/>
                <w:szCs w:val="24"/>
                <w:color w:val="auto"/>
              </w:rPr>
            </w:pPr>
          </w:p>
        </w:tc>
        <w:tc>
          <w:tcPr>
            <w:tcW w:w="280" w:type="dxa"/>
            <w:vAlign w:val="bottom"/>
            <w:gridSpan w:val="2"/>
          </w:tcPr>
          <w:p>
            <w:pPr>
              <w:jc w:val="center"/>
              <w:ind w:right="60"/>
              <w:spacing w:after="0"/>
              <w:rPr>
                <w:rFonts w:ascii="Arial" w:cs="Arial" w:eastAsia="Arial" w:hAnsi="Arial"/>
                <w:sz w:val="17"/>
                <w:szCs w:val="17"/>
                <w:color w:val="0000EE"/>
                <w:w w:val="86"/>
              </w:rPr>
            </w:pPr>
            <w:hyperlink w:anchor="page48">
              <w:r>
                <w:rPr>
                  <w:rFonts w:ascii="Arial" w:cs="Arial" w:eastAsia="Arial" w:hAnsi="Arial"/>
                  <w:sz w:val="17"/>
                  <w:szCs w:val="17"/>
                  <w:color w:val="0000EE"/>
                  <w:w w:val="86"/>
                </w:rPr>
                <w:t>F-4</w:t>
              </w:r>
            </w:hyperlink>
          </w:p>
        </w:tc>
      </w:tr>
      <w:tr>
        <w:trPr>
          <w:trHeight w:val="20"/>
        </w:trPr>
        <w:tc>
          <w:tcPr>
            <w:tcW w:w="294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gridSpan w:val="2"/>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8860" w:type="dxa"/>
            <w:vAlign w:val="bottom"/>
            <w:gridSpan w:val="8"/>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Consolidated Statements of Operations for the years ended December 31, 2017, 2016 and 2015</w:t>
              </w:r>
            </w:hyperlink>
          </w:p>
        </w:tc>
        <w:tc>
          <w:tcPr>
            <w:tcW w:w="1140" w:type="dxa"/>
            <w:vAlign w:val="bottom"/>
          </w:tcPr>
          <w:p>
            <w:pPr>
              <w:spacing w:after="0"/>
              <w:rPr>
                <w:sz w:val="24"/>
                <w:szCs w:val="24"/>
                <w:color w:val="auto"/>
              </w:rPr>
            </w:pPr>
          </w:p>
        </w:tc>
        <w:tc>
          <w:tcPr>
            <w:tcW w:w="280" w:type="dxa"/>
            <w:vAlign w:val="bottom"/>
            <w:gridSpan w:val="2"/>
          </w:tcPr>
          <w:p>
            <w:pPr>
              <w:jc w:val="center"/>
              <w:ind w:right="60"/>
              <w:spacing w:after="0"/>
              <w:rPr>
                <w:rFonts w:ascii="Arial" w:cs="Arial" w:eastAsia="Arial" w:hAnsi="Arial"/>
                <w:sz w:val="17"/>
                <w:szCs w:val="17"/>
                <w:color w:val="0000EE"/>
                <w:w w:val="86"/>
              </w:rPr>
            </w:pPr>
            <w:hyperlink w:anchor="page49">
              <w:r>
                <w:rPr>
                  <w:rFonts w:ascii="Arial" w:cs="Arial" w:eastAsia="Arial" w:hAnsi="Arial"/>
                  <w:sz w:val="17"/>
                  <w:szCs w:val="17"/>
                  <w:color w:val="0000EE"/>
                  <w:w w:val="86"/>
                </w:rPr>
                <w:t>F-5</w:t>
              </w:r>
            </w:hyperlink>
          </w:p>
        </w:tc>
      </w:tr>
      <w:tr>
        <w:trPr>
          <w:trHeight w:val="20"/>
        </w:trPr>
        <w:tc>
          <w:tcPr>
            <w:tcW w:w="2940" w:type="dxa"/>
            <w:vAlign w:val="bottom"/>
            <w:shd w:val="clear" w:color="auto" w:fill="0000EE"/>
          </w:tcPr>
          <w:p>
            <w:pPr>
              <w:spacing w:after="0" w:line="20" w:lineRule="exact"/>
              <w:rPr>
                <w:sz w:val="1"/>
                <w:szCs w:val="1"/>
                <w:color w:val="auto"/>
              </w:rPr>
            </w:pPr>
          </w:p>
        </w:tc>
        <w:tc>
          <w:tcPr>
            <w:tcW w:w="348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8860" w:type="dxa"/>
            <w:vAlign w:val="bottom"/>
            <w:gridSpan w:val="8"/>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Consolidated Statements of Comprehensive Income (Loss) for the years ended December 31, 2017, 2016 and 2015</w:t>
              </w:r>
            </w:hyperlink>
          </w:p>
        </w:tc>
        <w:tc>
          <w:tcPr>
            <w:tcW w:w="1140" w:type="dxa"/>
            <w:vAlign w:val="bottom"/>
          </w:tcPr>
          <w:p>
            <w:pPr>
              <w:spacing w:after="0"/>
              <w:rPr>
                <w:sz w:val="24"/>
                <w:szCs w:val="24"/>
                <w:color w:val="auto"/>
              </w:rPr>
            </w:pPr>
          </w:p>
        </w:tc>
        <w:tc>
          <w:tcPr>
            <w:tcW w:w="280" w:type="dxa"/>
            <w:vAlign w:val="bottom"/>
            <w:gridSpan w:val="2"/>
          </w:tcPr>
          <w:p>
            <w:pPr>
              <w:jc w:val="center"/>
              <w:ind w:right="60"/>
              <w:spacing w:after="0"/>
              <w:rPr>
                <w:rFonts w:ascii="Arial" w:cs="Arial" w:eastAsia="Arial" w:hAnsi="Arial"/>
                <w:sz w:val="17"/>
                <w:szCs w:val="17"/>
                <w:color w:val="0000EE"/>
                <w:w w:val="86"/>
              </w:rPr>
            </w:pPr>
            <w:hyperlink w:anchor="page50">
              <w:r>
                <w:rPr>
                  <w:rFonts w:ascii="Arial" w:cs="Arial" w:eastAsia="Arial" w:hAnsi="Arial"/>
                  <w:sz w:val="17"/>
                  <w:szCs w:val="17"/>
                  <w:color w:val="0000EE"/>
                  <w:w w:val="86"/>
                </w:rPr>
                <w:t>F-6</w:t>
              </w:r>
            </w:hyperlink>
          </w:p>
        </w:tc>
      </w:tr>
      <w:tr>
        <w:trPr>
          <w:trHeight w:val="20"/>
        </w:trPr>
        <w:tc>
          <w:tcPr>
            <w:tcW w:w="2940" w:type="dxa"/>
            <w:vAlign w:val="bottom"/>
            <w:shd w:val="clear" w:color="auto" w:fill="0000EE"/>
          </w:tcPr>
          <w:p>
            <w:pPr>
              <w:spacing w:after="0" w:line="20" w:lineRule="exact"/>
              <w:rPr>
                <w:sz w:val="1"/>
                <w:szCs w:val="1"/>
                <w:color w:val="auto"/>
              </w:rPr>
            </w:pPr>
          </w:p>
        </w:tc>
        <w:tc>
          <w:tcPr>
            <w:tcW w:w="3540" w:type="dxa"/>
            <w:vAlign w:val="bottom"/>
            <w:tcBorders>
              <w:left w:val="single" w:sz="8" w:color="0000EE"/>
            </w:tcBorders>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7120" w:type="dxa"/>
            <w:vAlign w:val="bottom"/>
            <w:gridSpan w:val="6"/>
          </w:tcPr>
          <w:p>
            <w:pPr>
              <w:spacing w:after="0"/>
              <w:rPr>
                <w:rFonts w:ascii="Arial" w:cs="Arial" w:eastAsia="Arial" w:hAnsi="Arial"/>
                <w:sz w:val="17"/>
                <w:szCs w:val="17"/>
                <w:color w:val="0000EE"/>
                <w:w w:val="89"/>
              </w:rPr>
            </w:pPr>
            <w:hyperlink w:anchor="page51">
              <w:r>
                <w:rPr>
                  <w:rFonts w:ascii="Arial" w:cs="Arial" w:eastAsia="Arial" w:hAnsi="Arial"/>
                  <w:sz w:val="17"/>
                  <w:szCs w:val="17"/>
                  <w:color w:val="0000EE"/>
                  <w:w w:val="89"/>
                </w:rPr>
                <w:t>Consolidated Statements of Stockholders’ Equity for the years ended December 31, 2017, 2016 and 2015</w:t>
              </w:r>
            </w:hyperlink>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gridSpan w:val="2"/>
          </w:tcPr>
          <w:p>
            <w:pPr>
              <w:jc w:val="center"/>
              <w:ind w:right="60"/>
              <w:spacing w:after="0"/>
              <w:rPr>
                <w:rFonts w:ascii="Arial" w:cs="Arial" w:eastAsia="Arial" w:hAnsi="Arial"/>
                <w:sz w:val="17"/>
                <w:szCs w:val="17"/>
                <w:color w:val="0000EE"/>
                <w:w w:val="86"/>
              </w:rPr>
            </w:pPr>
            <w:hyperlink w:anchor="page51">
              <w:r>
                <w:rPr>
                  <w:rFonts w:ascii="Arial" w:cs="Arial" w:eastAsia="Arial" w:hAnsi="Arial"/>
                  <w:sz w:val="17"/>
                  <w:szCs w:val="17"/>
                  <w:color w:val="0000EE"/>
                  <w:w w:val="86"/>
                </w:rPr>
                <w:t>F-7</w:t>
              </w:r>
            </w:hyperlink>
          </w:p>
        </w:tc>
      </w:tr>
      <w:tr>
        <w:trPr>
          <w:trHeight w:val="20"/>
        </w:trPr>
        <w:tc>
          <w:tcPr>
            <w:tcW w:w="2940" w:type="dxa"/>
            <w:vAlign w:val="bottom"/>
            <w:shd w:val="clear" w:color="auto" w:fill="0000EE"/>
          </w:tcPr>
          <w:p>
            <w:pPr>
              <w:spacing w:after="0" w:line="20" w:lineRule="exact"/>
              <w:rPr>
                <w:sz w:val="1"/>
                <w:szCs w:val="1"/>
                <w:color w:val="auto"/>
              </w:rPr>
            </w:pPr>
          </w:p>
        </w:tc>
        <w:tc>
          <w:tcPr>
            <w:tcW w:w="3540" w:type="dxa"/>
            <w:vAlign w:val="bottom"/>
            <w:tcBorders>
              <w:left w:val="single" w:sz="8" w:color="0000EE"/>
            </w:tcBorders>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6480" w:type="dxa"/>
            <w:vAlign w:val="bottom"/>
            <w:gridSpan w:val="5"/>
          </w:tcPr>
          <w:p>
            <w:pPr>
              <w:spacing w:after="0"/>
              <w:rPr>
                <w:rFonts w:ascii="Arial" w:cs="Arial" w:eastAsia="Arial" w:hAnsi="Arial"/>
                <w:sz w:val="17"/>
                <w:szCs w:val="17"/>
                <w:color w:val="0000EE"/>
                <w:w w:val="88"/>
              </w:rPr>
            </w:pPr>
            <w:hyperlink w:anchor="page52">
              <w:r>
                <w:rPr>
                  <w:rFonts w:ascii="Arial" w:cs="Arial" w:eastAsia="Arial" w:hAnsi="Arial"/>
                  <w:sz w:val="17"/>
                  <w:szCs w:val="17"/>
                  <w:color w:val="0000EE"/>
                  <w:w w:val="88"/>
                </w:rPr>
                <w:t>Consolidated Statements of Cash Flows for the years ended December 31, 2017, 2016 and 2015</w:t>
              </w:r>
            </w:hyperlink>
          </w:p>
        </w:tc>
        <w:tc>
          <w:tcPr>
            <w:tcW w:w="640" w:type="dxa"/>
            <w:vAlign w:val="bottom"/>
          </w:tcPr>
          <w:p>
            <w:pPr>
              <w:spacing w:after="0"/>
              <w:rPr>
                <w:sz w:val="24"/>
                <w:szCs w:val="24"/>
                <w:color w:val="auto"/>
              </w:rPr>
            </w:pPr>
          </w:p>
        </w:tc>
        <w:tc>
          <w:tcPr>
            <w:tcW w:w="174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gridSpan w:val="2"/>
          </w:tcPr>
          <w:p>
            <w:pPr>
              <w:jc w:val="center"/>
              <w:ind w:right="60"/>
              <w:spacing w:after="0"/>
              <w:rPr>
                <w:rFonts w:ascii="Arial" w:cs="Arial" w:eastAsia="Arial" w:hAnsi="Arial"/>
                <w:sz w:val="17"/>
                <w:szCs w:val="17"/>
                <w:color w:val="0000EE"/>
                <w:w w:val="86"/>
              </w:rPr>
            </w:pPr>
            <w:hyperlink w:anchor="page52">
              <w:r>
                <w:rPr>
                  <w:rFonts w:ascii="Arial" w:cs="Arial" w:eastAsia="Arial" w:hAnsi="Arial"/>
                  <w:sz w:val="17"/>
                  <w:szCs w:val="17"/>
                  <w:color w:val="0000EE"/>
                  <w:w w:val="86"/>
                </w:rPr>
                <w:t>F-8</w:t>
              </w:r>
            </w:hyperlink>
          </w:p>
        </w:tc>
      </w:tr>
      <w:tr>
        <w:trPr>
          <w:trHeight w:val="20"/>
        </w:trPr>
        <w:tc>
          <w:tcPr>
            <w:tcW w:w="2940" w:type="dxa"/>
            <w:vAlign w:val="bottom"/>
            <w:shd w:val="clear" w:color="auto" w:fill="0000EE"/>
          </w:tcPr>
          <w:p>
            <w:pPr>
              <w:spacing w:after="0" w:line="20" w:lineRule="exact"/>
              <w:rPr>
                <w:sz w:val="1"/>
                <w:szCs w:val="1"/>
                <w:color w:val="auto"/>
              </w:rPr>
            </w:pPr>
          </w:p>
        </w:tc>
        <w:tc>
          <w:tcPr>
            <w:tcW w:w="3540" w:type="dxa"/>
            <w:vAlign w:val="bottom"/>
            <w:tcBorders>
              <w:left w:val="single" w:sz="8" w:color="0000EE"/>
            </w:tcBorders>
            <w:gridSpan w:val="4"/>
            <w:shd w:val="clear" w:color="auto" w:fill="0000EE"/>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2940" w:type="dxa"/>
            <w:vAlign w:val="bottom"/>
          </w:tcPr>
          <w:p>
            <w:pPr>
              <w:spacing w:after="0"/>
              <w:rPr>
                <w:rFonts w:ascii="Arial" w:cs="Arial" w:eastAsia="Arial" w:hAnsi="Arial"/>
                <w:sz w:val="17"/>
                <w:szCs w:val="17"/>
                <w:color w:val="0000EE"/>
                <w:w w:val="87"/>
              </w:rPr>
            </w:pPr>
            <w:hyperlink w:anchor="page53">
              <w:r>
                <w:rPr>
                  <w:rFonts w:ascii="Arial" w:cs="Arial" w:eastAsia="Arial" w:hAnsi="Arial"/>
                  <w:sz w:val="17"/>
                  <w:szCs w:val="17"/>
                  <w:color w:val="0000EE"/>
                  <w:w w:val="87"/>
                </w:rPr>
                <w:t>Notes to Consolidated Financial Statements</w:t>
              </w:r>
            </w:hyperlink>
          </w:p>
        </w:tc>
        <w:tc>
          <w:tcPr>
            <w:tcW w:w="3540" w:type="dxa"/>
            <w:vAlign w:val="bottom"/>
            <w:gridSpan w:val="4"/>
          </w:tcPr>
          <w:p>
            <w:pPr>
              <w:spacing w:after="0"/>
              <w:rPr>
                <w:sz w:val="24"/>
                <w:szCs w:val="24"/>
                <w:color w:val="auto"/>
              </w:rPr>
            </w:pPr>
          </w:p>
        </w:tc>
        <w:tc>
          <w:tcPr>
            <w:tcW w:w="238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gridSpan w:val="2"/>
          </w:tcPr>
          <w:p>
            <w:pPr>
              <w:jc w:val="center"/>
              <w:ind w:right="60"/>
              <w:spacing w:after="0"/>
              <w:rPr>
                <w:rFonts w:ascii="Arial" w:cs="Arial" w:eastAsia="Arial" w:hAnsi="Arial"/>
                <w:sz w:val="17"/>
                <w:szCs w:val="17"/>
                <w:color w:val="0000EE"/>
                <w:w w:val="86"/>
              </w:rPr>
            </w:pPr>
            <w:hyperlink w:anchor="page53">
              <w:r>
                <w:rPr>
                  <w:rFonts w:ascii="Arial" w:cs="Arial" w:eastAsia="Arial" w:hAnsi="Arial"/>
                  <w:sz w:val="17"/>
                  <w:szCs w:val="17"/>
                  <w:color w:val="0000EE"/>
                  <w:w w:val="86"/>
                </w:rPr>
                <w:t>F-9</w:t>
              </w:r>
            </w:hyperlink>
          </w:p>
        </w:tc>
      </w:tr>
      <w:tr>
        <w:trPr>
          <w:trHeight w:val="20"/>
        </w:trPr>
        <w:tc>
          <w:tcPr>
            <w:tcW w:w="294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1220" w:hanging="919"/>
        <w:spacing w:after="0" w:line="271" w:lineRule="auto"/>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Exhibits and Exhibit Index. See the Exhibit Index included as the last part of this Annual Report on Form 10-K,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200"/>
          </w:cols>
          <w:pgMar w:left="240" w:top="228" w:right="4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5"/>
        </w:trPr>
        <w:tc>
          <w:tcPr>
            <w:tcW w:w="9360" w:type="dxa"/>
            <w:vAlign w:val="bottom"/>
            <w:gridSpan w:val="9"/>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422"/>
        </w:trPr>
        <w:tc>
          <w:tcPr>
            <w:tcW w:w="120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6400" w:type="dxa"/>
            <w:vAlign w:val="bottom"/>
            <w:gridSpan w:val="7"/>
          </w:tcPr>
          <w:p>
            <w:pPr>
              <w:jc w:val="center"/>
              <w:ind w:right="900"/>
              <w:spacing w:after="0"/>
              <w:rPr>
                <w:sz w:val="20"/>
                <w:szCs w:val="20"/>
                <w:color w:val="auto"/>
              </w:rPr>
            </w:pPr>
            <w:r>
              <w:rPr>
                <w:rFonts w:ascii="Arial" w:cs="Arial" w:eastAsia="Arial" w:hAnsi="Arial"/>
                <w:sz w:val="17"/>
                <w:szCs w:val="17"/>
                <w:b w:val="1"/>
                <w:bCs w:val="1"/>
                <w:color w:val="auto"/>
              </w:rPr>
              <w:t>INDEX TO CONSOLIDATED FINANCIAL STATEMENTS</w:t>
            </w: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5"/>
        </w:trPr>
        <w:tc>
          <w:tcPr>
            <w:tcW w:w="1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0" w:type="dxa"/>
            <w:vAlign w:val="bottom"/>
            <w:gridSpan w:val="5"/>
          </w:tcPr>
          <w:p>
            <w:pPr>
              <w:jc w:val="center"/>
              <w:ind w:right="2300"/>
              <w:spacing w:after="0"/>
              <w:rPr>
                <w:sz w:val="20"/>
                <w:szCs w:val="20"/>
                <w:color w:val="auto"/>
              </w:rPr>
            </w:pPr>
            <w:r>
              <w:rPr>
                <w:rFonts w:ascii="Arial" w:cs="Arial" w:eastAsia="Arial" w:hAnsi="Arial"/>
                <w:sz w:val="17"/>
                <w:szCs w:val="17"/>
                <w:b w:val="1"/>
                <w:bCs w:val="1"/>
                <w:color w:val="auto"/>
                <w:w w:val="99"/>
              </w:rPr>
              <w:t>HARVARD BIOSCIENCE, INC.</w:t>
            </w: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8"/>
        </w:trPr>
        <w:tc>
          <w:tcPr>
            <w:tcW w:w="1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80" w:type="dxa"/>
            <w:vAlign w:val="bottom"/>
            <w:gridSpan w:val="4"/>
          </w:tcPr>
          <w:p>
            <w:pPr>
              <w:jc w:val="center"/>
              <w:ind w:left="1356"/>
              <w:spacing w:after="0"/>
              <w:rPr>
                <w:sz w:val="20"/>
                <w:szCs w:val="20"/>
                <w:color w:val="auto"/>
              </w:rPr>
            </w:pPr>
            <w:r>
              <w:rPr>
                <w:rFonts w:ascii="Arial" w:cs="Arial" w:eastAsia="Arial" w:hAnsi="Arial"/>
                <w:sz w:val="17"/>
                <w:szCs w:val="17"/>
                <w:b w:val="1"/>
                <w:bCs w:val="1"/>
                <w:color w:val="auto"/>
                <w:w w:val="83"/>
              </w:rPr>
              <w:t>Page</w:t>
            </w:r>
          </w:p>
        </w:tc>
      </w:tr>
      <w:tr>
        <w:trPr>
          <w:trHeight w:val="385"/>
        </w:trPr>
        <w:tc>
          <w:tcPr>
            <w:tcW w:w="9360" w:type="dxa"/>
            <w:vAlign w:val="bottom"/>
            <w:gridSpan w:val="9"/>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Reports of Independent Registered Public Accounting Firms</w:t>
              </w:r>
            </w:hyperlink>
          </w:p>
        </w:tc>
        <w:tc>
          <w:tcPr>
            <w:tcW w:w="1440" w:type="dxa"/>
            <w:vAlign w:val="bottom"/>
          </w:tcPr>
          <w:p>
            <w:pPr>
              <w:spacing w:after="0"/>
              <w:rPr>
                <w:sz w:val="24"/>
                <w:szCs w:val="24"/>
                <w:color w:val="auto"/>
              </w:rPr>
            </w:pPr>
          </w:p>
        </w:tc>
        <w:tc>
          <w:tcPr>
            <w:tcW w:w="340" w:type="dxa"/>
            <w:vAlign w:val="bottom"/>
            <w:tcBorders>
              <w:top w:val="single" w:sz="8" w:color="auto"/>
            </w:tcBorders>
            <w:gridSpan w:val="3"/>
          </w:tcPr>
          <w:p>
            <w:pPr>
              <w:jc w:val="center"/>
              <w:spacing w:after="0"/>
              <w:rPr>
                <w:rFonts w:ascii="Arial" w:cs="Arial" w:eastAsia="Arial" w:hAnsi="Arial"/>
                <w:sz w:val="17"/>
                <w:szCs w:val="17"/>
                <w:color w:val="0000EE"/>
                <w:w w:val="86"/>
              </w:rPr>
            </w:pPr>
            <w:hyperlink w:anchor="page46">
              <w:r>
                <w:rPr>
                  <w:rFonts w:ascii="Arial" w:cs="Arial" w:eastAsia="Arial" w:hAnsi="Arial"/>
                  <w:sz w:val="17"/>
                  <w:szCs w:val="17"/>
                  <w:color w:val="0000EE"/>
                  <w:w w:val="86"/>
                </w:rPr>
                <w:t>F-2</w:t>
              </w:r>
            </w:hyperlink>
          </w:p>
        </w:tc>
      </w:tr>
      <w:tr>
        <w:trPr>
          <w:trHeight w:val="20"/>
        </w:trPr>
        <w:tc>
          <w:tcPr>
            <w:tcW w:w="296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4360" w:type="dxa"/>
            <w:vAlign w:val="bottom"/>
            <w:gridSpan w:val="4"/>
          </w:tcPr>
          <w:p>
            <w:pPr>
              <w:spacing w:after="0"/>
              <w:rPr>
                <w:rFonts w:ascii="Arial" w:cs="Arial" w:eastAsia="Arial" w:hAnsi="Arial"/>
                <w:sz w:val="17"/>
                <w:szCs w:val="17"/>
                <w:color w:val="0000EE"/>
                <w:w w:val="87"/>
              </w:rPr>
            </w:pPr>
            <w:hyperlink w:anchor="page48">
              <w:r>
                <w:rPr>
                  <w:rFonts w:ascii="Arial" w:cs="Arial" w:eastAsia="Arial" w:hAnsi="Arial"/>
                  <w:sz w:val="17"/>
                  <w:szCs w:val="17"/>
                  <w:color w:val="0000EE"/>
                  <w:w w:val="87"/>
                </w:rPr>
                <w:t>Consolidated Balance Sheets as of December 31, 2017 and 2016</w:t>
              </w:r>
            </w:hyperlink>
          </w:p>
        </w:tc>
        <w:tc>
          <w:tcPr>
            <w:tcW w:w="5000" w:type="dxa"/>
            <w:vAlign w:val="bottom"/>
            <w:gridSpan w:val="5"/>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gridSpan w:val="3"/>
          </w:tcPr>
          <w:p>
            <w:pPr>
              <w:jc w:val="center"/>
              <w:spacing w:after="0"/>
              <w:rPr>
                <w:rFonts w:ascii="Arial" w:cs="Arial" w:eastAsia="Arial" w:hAnsi="Arial"/>
                <w:sz w:val="17"/>
                <w:szCs w:val="17"/>
                <w:color w:val="0000EE"/>
                <w:w w:val="86"/>
              </w:rPr>
            </w:pPr>
            <w:hyperlink w:anchor="page48">
              <w:r>
                <w:rPr>
                  <w:rFonts w:ascii="Arial" w:cs="Arial" w:eastAsia="Arial" w:hAnsi="Arial"/>
                  <w:sz w:val="17"/>
                  <w:szCs w:val="17"/>
                  <w:color w:val="0000EE"/>
                  <w:w w:val="86"/>
                </w:rPr>
                <w:t>F-4</w:t>
              </w:r>
            </w:hyperlink>
          </w:p>
        </w:tc>
      </w:tr>
      <w:tr>
        <w:trPr>
          <w:trHeight w:val="20"/>
        </w:trPr>
        <w:tc>
          <w:tcPr>
            <w:tcW w:w="296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9360" w:type="dxa"/>
            <w:vAlign w:val="bottom"/>
            <w:gridSpan w:val="9"/>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Consolidated Statements of Operations for the years ended December 31, 2017, 2016 and 2015</w:t>
              </w:r>
            </w:hyperlink>
          </w:p>
        </w:tc>
        <w:tc>
          <w:tcPr>
            <w:tcW w:w="1440" w:type="dxa"/>
            <w:vAlign w:val="bottom"/>
          </w:tcPr>
          <w:p>
            <w:pPr>
              <w:spacing w:after="0"/>
              <w:rPr>
                <w:sz w:val="24"/>
                <w:szCs w:val="24"/>
                <w:color w:val="auto"/>
              </w:rPr>
            </w:pPr>
          </w:p>
        </w:tc>
        <w:tc>
          <w:tcPr>
            <w:tcW w:w="340" w:type="dxa"/>
            <w:vAlign w:val="bottom"/>
            <w:gridSpan w:val="3"/>
          </w:tcPr>
          <w:p>
            <w:pPr>
              <w:jc w:val="center"/>
              <w:spacing w:after="0"/>
              <w:rPr>
                <w:rFonts w:ascii="Arial" w:cs="Arial" w:eastAsia="Arial" w:hAnsi="Arial"/>
                <w:sz w:val="17"/>
                <w:szCs w:val="17"/>
                <w:color w:val="0000EE"/>
                <w:w w:val="86"/>
              </w:rPr>
            </w:pPr>
            <w:hyperlink w:anchor="page49">
              <w:r>
                <w:rPr>
                  <w:rFonts w:ascii="Arial" w:cs="Arial" w:eastAsia="Arial" w:hAnsi="Arial"/>
                  <w:sz w:val="17"/>
                  <w:szCs w:val="17"/>
                  <w:color w:val="0000EE"/>
                  <w:w w:val="86"/>
                </w:rPr>
                <w:t>F-5</w:t>
              </w:r>
            </w:hyperlink>
          </w:p>
        </w:tc>
      </w:tr>
      <w:tr>
        <w:trPr>
          <w:trHeight w:val="20"/>
        </w:trPr>
        <w:tc>
          <w:tcPr>
            <w:tcW w:w="2960" w:type="dxa"/>
            <w:vAlign w:val="bottom"/>
            <w:gridSpan w:val="2"/>
            <w:shd w:val="clear" w:color="auto" w:fill="0000EE"/>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9360" w:type="dxa"/>
            <w:vAlign w:val="bottom"/>
            <w:gridSpan w:val="9"/>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Consolidated Statements of Comprehensive Income (Loss) for the years ended December 31, 2017, 2016 and 2015</w:t>
              </w:r>
            </w:hyperlink>
          </w:p>
        </w:tc>
        <w:tc>
          <w:tcPr>
            <w:tcW w:w="1440" w:type="dxa"/>
            <w:vAlign w:val="bottom"/>
          </w:tcPr>
          <w:p>
            <w:pPr>
              <w:spacing w:after="0"/>
              <w:rPr>
                <w:sz w:val="24"/>
                <w:szCs w:val="24"/>
                <w:color w:val="auto"/>
              </w:rPr>
            </w:pPr>
          </w:p>
        </w:tc>
        <w:tc>
          <w:tcPr>
            <w:tcW w:w="340" w:type="dxa"/>
            <w:vAlign w:val="bottom"/>
            <w:gridSpan w:val="3"/>
          </w:tcPr>
          <w:p>
            <w:pPr>
              <w:jc w:val="center"/>
              <w:spacing w:after="0"/>
              <w:rPr>
                <w:rFonts w:ascii="Arial" w:cs="Arial" w:eastAsia="Arial" w:hAnsi="Arial"/>
                <w:sz w:val="17"/>
                <w:szCs w:val="17"/>
                <w:color w:val="0000EE"/>
                <w:w w:val="86"/>
              </w:rPr>
            </w:pPr>
            <w:hyperlink w:anchor="page50">
              <w:r>
                <w:rPr>
                  <w:rFonts w:ascii="Arial" w:cs="Arial" w:eastAsia="Arial" w:hAnsi="Arial"/>
                  <w:sz w:val="17"/>
                  <w:szCs w:val="17"/>
                  <w:color w:val="0000EE"/>
                  <w:w w:val="86"/>
                </w:rPr>
                <w:t>F-6</w:t>
              </w:r>
            </w:hyperlink>
          </w:p>
        </w:tc>
      </w:tr>
      <w:tr>
        <w:trPr>
          <w:trHeight w:val="20"/>
        </w:trPr>
        <w:tc>
          <w:tcPr>
            <w:tcW w:w="2960" w:type="dxa"/>
            <w:vAlign w:val="bottom"/>
            <w:gridSpan w:val="2"/>
            <w:shd w:val="clear" w:color="auto" w:fill="0000EE"/>
          </w:tcPr>
          <w:p>
            <w:pPr>
              <w:spacing w:after="0" w:line="20" w:lineRule="exact"/>
              <w:rPr>
                <w:sz w:val="1"/>
                <w:szCs w:val="1"/>
                <w:color w:val="auto"/>
              </w:rPr>
            </w:pPr>
          </w:p>
        </w:tc>
        <w:tc>
          <w:tcPr>
            <w:tcW w:w="352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7120" w:type="dxa"/>
            <w:vAlign w:val="bottom"/>
            <w:gridSpan w:val="7"/>
          </w:tcPr>
          <w:p>
            <w:pPr>
              <w:spacing w:after="0"/>
              <w:rPr>
                <w:rFonts w:ascii="Arial" w:cs="Arial" w:eastAsia="Arial" w:hAnsi="Arial"/>
                <w:sz w:val="17"/>
                <w:szCs w:val="17"/>
                <w:color w:val="0000EE"/>
                <w:w w:val="89"/>
              </w:rPr>
            </w:pPr>
            <w:hyperlink w:anchor="page51">
              <w:r>
                <w:rPr>
                  <w:rFonts w:ascii="Arial" w:cs="Arial" w:eastAsia="Arial" w:hAnsi="Arial"/>
                  <w:sz w:val="17"/>
                  <w:szCs w:val="17"/>
                  <w:color w:val="0000EE"/>
                  <w:w w:val="89"/>
                </w:rPr>
                <w:t>Consolidated Statements of Stockholders’ Equity for the years ended December 31, 2017, 2016 and 2015</w:t>
              </w:r>
            </w:hyperlink>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gridSpan w:val="3"/>
          </w:tcPr>
          <w:p>
            <w:pPr>
              <w:jc w:val="center"/>
              <w:spacing w:after="0"/>
              <w:rPr>
                <w:rFonts w:ascii="Arial" w:cs="Arial" w:eastAsia="Arial" w:hAnsi="Arial"/>
                <w:sz w:val="17"/>
                <w:szCs w:val="17"/>
                <w:color w:val="0000EE"/>
                <w:w w:val="86"/>
              </w:rPr>
            </w:pPr>
            <w:hyperlink w:anchor="page51">
              <w:r>
                <w:rPr>
                  <w:rFonts w:ascii="Arial" w:cs="Arial" w:eastAsia="Arial" w:hAnsi="Arial"/>
                  <w:sz w:val="17"/>
                  <w:szCs w:val="17"/>
                  <w:color w:val="0000EE"/>
                  <w:w w:val="86"/>
                </w:rPr>
                <w:t>F-7</w:t>
              </w:r>
            </w:hyperlink>
          </w:p>
        </w:tc>
      </w:tr>
      <w:tr>
        <w:trPr>
          <w:trHeight w:val="20"/>
        </w:trPr>
        <w:tc>
          <w:tcPr>
            <w:tcW w:w="2960" w:type="dxa"/>
            <w:vAlign w:val="bottom"/>
            <w:gridSpan w:val="2"/>
            <w:shd w:val="clear" w:color="auto" w:fill="0000EE"/>
          </w:tcPr>
          <w:p>
            <w:pPr>
              <w:spacing w:after="0" w:line="20" w:lineRule="exact"/>
              <w:rPr>
                <w:sz w:val="1"/>
                <w:szCs w:val="1"/>
                <w:color w:val="auto"/>
              </w:rPr>
            </w:pPr>
          </w:p>
        </w:tc>
        <w:tc>
          <w:tcPr>
            <w:tcW w:w="352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6480" w:type="dxa"/>
            <w:vAlign w:val="bottom"/>
            <w:gridSpan w:val="6"/>
          </w:tcPr>
          <w:p>
            <w:pPr>
              <w:spacing w:after="0"/>
              <w:rPr>
                <w:rFonts w:ascii="Arial" w:cs="Arial" w:eastAsia="Arial" w:hAnsi="Arial"/>
                <w:sz w:val="17"/>
                <w:szCs w:val="17"/>
                <w:color w:val="0000EE"/>
                <w:w w:val="88"/>
              </w:rPr>
            </w:pPr>
            <w:hyperlink w:anchor="page52">
              <w:r>
                <w:rPr>
                  <w:rFonts w:ascii="Arial" w:cs="Arial" w:eastAsia="Arial" w:hAnsi="Arial"/>
                  <w:sz w:val="17"/>
                  <w:szCs w:val="17"/>
                  <w:color w:val="0000EE"/>
                  <w:w w:val="88"/>
                </w:rPr>
                <w:t>Consolidated Statements of Cash Flows for the years ended December 31, 2017, 2016 and 2015</w:t>
              </w:r>
            </w:hyperlink>
          </w:p>
        </w:tc>
        <w:tc>
          <w:tcPr>
            <w:tcW w:w="640" w:type="dxa"/>
            <w:vAlign w:val="bottom"/>
          </w:tcPr>
          <w:p>
            <w:pPr>
              <w:spacing w:after="0"/>
              <w:rPr>
                <w:sz w:val="24"/>
                <w:szCs w:val="24"/>
                <w:color w:val="auto"/>
              </w:rPr>
            </w:pPr>
          </w:p>
        </w:tc>
        <w:tc>
          <w:tcPr>
            <w:tcW w:w="2240" w:type="dxa"/>
            <w:vAlign w:val="bottom"/>
            <w:gridSpan w:val="2"/>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gridSpan w:val="3"/>
          </w:tcPr>
          <w:p>
            <w:pPr>
              <w:jc w:val="center"/>
              <w:spacing w:after="0"/>
              <w:rPr>
                <w:rFonts w:ascii="Arial" w:cs="Arial" w:eastAsia="Arial" w:hAnsi="Arial"/>
                <w:sz w:val="17"/>
                <w:szCs w:val="17"/>
                <w:color w:val="0000EE"/>
                <w:w w:val="86"/>
              </w:rPr>
            </w:pPr>
            <w:hyperlink w:anchor="page52">
              <w:r>
                <w:rPr>
                  <w:rFonts w:ascii="Arial" w:cs="Arial" w:eastAsia="Arial" w:hAnsi="Arial"/>
                  <w:sz w:val="17"/>
                  <w:szCs w:val="17"/>
                  <w:color w:val="0000EE"/>
                  <w:w w:val="86"/>
                </w:rPr>
                <w:t>F-8</w:t>
              </w:r>
            </w:hyperlink>
          </w:p>
        </w:tc>
      </w:tr>
      <w:tr>
        <w:trPr>
          <w:trHeight w:val="20"/>
        </w:trPr>
        <w:tc>
          <w:tcPr>
            <w:tcW w:w="2960" w:type="dxa"/>
            <w:vAlign w:val="bottom"/>
            <w:gridSpan w:val="2"/>
            <w:shd w:val="clear" w:color="auto" w:fill="0000EE"/>
          </w:tcPr>
          <w:p>
            <w:pPr>
              <w:spacing w:after="0" w:line="20" w:lineRule="exact"/>
              <w:rPr>
                <w:sz w:val="1"/>
                <w:szCs w:val="1"/>
                <w:color w:val="auto"/>
              </w:rPr>
            </w:pPr>
          </w:p>
        </w:tc>
        <w:tc>
          <w:tcPr>
            <w:tcW w:w="3520" w:type="dxa"/>
            <w:vAlign w:val="bottom"/>
            <w:gridSpan w:val="4"/>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2960" w:type="dxa"/>
            <w:vAlign w:val="bottom"/>
            <w:gridSpan w:val="2"/>
          </w:tcPr>
          <w:p>
            <w:pPr>
              <w:spacing w:after="0"/>
              <w:rPr>
                <w:rFonts w:ascii="Arial" w:cs="Arial" w:eastAsia="Arial" w:hAnsi="Arial"/>
                <w:sz w:val="17"/>
                <w:szCs w:val="17"/>
                <w:color w:val="0000EE"/>
                <w:w w:val="88"/>
              </w:rPr>
            </w:pPr>
            <w:hyperlink w:anchor="page53">
              <w:r>
                <w:rPr>
                  <w:rFonts w:ascii="Arial" w:cs="Arial" w:eastAsia="Arial" w:hAnsi="Arial"/>
                  <w:sz w:val="17"/>
                  <w:szCs w:val="17"/>
                  <w:color w:val="0000EE"/>
                  <w:w w:val="88"/>
                </w:rPr>
                <w:t>Notes to Consolidated Financial Statements</w:t>
              </w:r>
            </w:hyperlink>
          </w:p>
        </w:tc>
        <w:tc>
          <w:tcPr>
            <w:tcW w:w="3520" w:type="dxa"/>
            <w:vAlign w:val="bottom"/>
            <w:gridSpan w:val="4"/>
          </w:tcPr>
          <w:p>
            <w:pPr>
              <w:spacing w:after="0"/>
              <w:rPr>
                <w:sz w:val="24"/>
                <w:szCs w:val="24"/>
                <w:color w:val="auto"/>
              </w:rPr>
            </w:pPr>
          </w:p>
        </w:tc>
        <w:tc>
          <w:tcPr>
            <w:tcW w:w="2880" w:type="dxa"/>
            <w:vAlign w:val="bottom"/>
            <w:gridSpan w:val="3"/>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gridSpan w:val="3"/>
          </w:tcPr>
          <w:p>
            <w:pPr>
              <w:jc w:val="center"/>
              <w:spacing w:after="0"/>
              <w:rPr>
                <w:rFonts w:ascii="Arial" w:cs="Arial" w:eastAsia="Arial" w:hAnsi="Arial"/>
                <w:sz w:val="17"/>
                <w:szCs w:val="17"/>
                <w:color w:val="0000EE"/>
                <w:w w:val="86"/>
              </w:rPr>
            </w:pPr>
            <w:hyperlink w:anchor="page53">
              <w:r>
                <w:rPr>
                  <w:rFonts w:ascii="Arial" w:cs="Arial" w:eastAsia="Arial" w:hAnsi="Arial"/>
                  <w:sz w:val="17"/>
                  <w:szCs w:val="17"/>
                  <w:color w:val="0000EE"/>
                  <w:w w:val="86"/>
                </w:rPr>
                <w:t>F-9</w:t>
              </w:r>
            </w:hyperlink>
          </w:p>
        </w:tc>
      </w:tr>
      <w:tr>
        <w:trPr>
          <w:trHeight w:val="20"/>
        </w:trPr>
        <w:tc>
          <w:tcPr>
            <w:tcW w:w="12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40"/>
          </w:cols>
          <w:pgMar w:left="240" w:top="210" w:right="51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Shareholders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Harvard Bioscience, Inc.:</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have audited the accompanying consolidated balance sheet of Harvard Bioscience, Inc. (a Delaware corporation) and subsidiaries (the “Company”) as of December 31, 2017, and the related consolidated statements of operations, comprehensive loss, stockholders’ equity, and cash flows for the year ended December 31, 2017, and the related notes (collectively referred to as the “financial statements”). In our opinion, the financial statements present fairly, in all material respects, the financial position of the Company as of December 31, 2017, and the results of its operations and its cash flows for the year ended December 31, 2017, in conformity with accounting principles generally accepted in the United States of America.</w:t>
      </w:r>
    </w:p>
    <w:p>
      <w:pPr>
        <w:spacing w:after="0" w:line="18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2017, based on criteria established in the 2013 Internal Control—Integrated Framework issued by the Committee of Sponsoring Organizations of the Treadway Commission (“COSO”), and our report dated March 16, 2018, expressed an unqualified opinion.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2017.</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16,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Harvard Bioscience, Inc.:</w:t>
      </w:r>
    </w:p>
    <w:p>
      <w:pPr>
        <w:spacing w:after="0" w:line="40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have audited the accompanying consolidated balance sheet of Harvard Bioscience, Inc. and subsidiaries (the Company) as of December 31, 2016, and the related consolidated statements of operations, comprehensive (loss) income, stockholders’ equity and cash flows for each of the years in the two-year period ended December 31, 2016. These consolidated financial statements are the responsibility of the Company’s management. Our responsibility is to express an opinion on these consolidated financial statements based on our audits.</w:t>
      </w:r>
    </w:p>
    <w:p>
      <w:pPr>
        <w:spacing w:after="0" w:line="178"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7"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Harvard Bioscience, Inc. and subsidiaries as of December 31, 2016, and the results of their operations and their cash flows for each of the years in the two-year period ended December 31, 2016, in conformity with U.S. generally accepted accounting principles.</w:t>
      </w:r>
    </w:p>
    <w:p>
      <w:pPr>
        <w:spacing w:after="0" w:line="377"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/s/ KPMG LLP</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Cambridge, Massachusetts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March 16,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228" w:right="2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8120" w:type="dxa"/>
            <w:vAlign w:val="bottom"/>
            <w:gridSpan w:val="5"/>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5520" w:type="dxa"/>
            <w:vAlign w:val="bottom"/>
          </w:tcPr>
          <w:p>
            <w:pPr>
              <w:jc w:val="center"/>
              <w:ind w:left="616"/>
              <w:spacing w:after="0"/>
              <w:rPr>
                <w:sz w:val="20"/>
                <w:szCs w:val="20"/>
                <w:color w:val="auto"/>
              </w:rPr>
            </w:pPr>
            <w:r>
              <w:rPr>
                <w:rFonts w:ascii="Arial" w:cs="Arial" w:eastAsia="Arial" w:hAnsi="Arial"/>
                <w:sz w:val="17"/>
                <w:szCs w:val="17"/>
                <w:b w:val="1"/>
                <w:bCs w:val="1"/>
                <w:color w:val="auto"/>
                <w:w w:val="99"/>
              </w:rPr>
              <w:t>HARVARD BIOSCIENCE, INC.</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520" w:type="dxa"/>
            <w:vAlign w:val="bottom"/>
          </w:tcPr>
          <w:p>
            <w:pPr>
              <w:jc w:val="center"/>
              <w:ind w:left="636"/>
              <w:spacing w:after="0"/>
              <w:rPr>
                <w:sz w:val="20"/>
                <w:szCs w:val="20"/>
                <w:color w:val="auto"/>
              </w:rPr>
            </w:pPr>
            <w:r>
              <w:rPr>
                <w:rFonts w:ascii="Arial" w:cs="Arial" w:eastAsia="Arial" w:hAnsi="Arial"/>
                <w:sz w:val="17"/>
                <w:szCs w:val="17"/>
                <w:b w:val="1"/>
                <w:bCs w:val="1"/>
                <w:color w:val="auto"/>
                <w:w w:val="98"/>
              </w:rPr>
              <w:t>CONSOLIDATED BALANCE SHEETS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520" w:type="dxa"/>
            <w:vAlign w:val="bottom"/>
          </w:tcPr>
          <w:p>
            <w:pPr>
              <w:jc w:val="center"/>
              <w:ind w:left="616"/>
              <w:spacing w:after="0"/>
              <w:rPr>
                <w:sz w:val="20"/>
                <w:szCs w:val="20"/>
                <w:color w:val="auto"/>
              </w:rPr>
            </w:pPr>
            <w:r>
              <w:rPr>
                <w:rFonts w:ascii="Arial" w:cs="Arial" w:eastAsia="Arial" w:hAnsi="Arial"/>
                <w:sz w:val="17"/>
                <w:szCs w:val="17"/>
                <w:b w:val="1"/>
                <w:bCs w:val="1"/>
                <w:color w:val="auto"/>
                <w:w w:val="88"/>
              </w:rPr>
              <w:t>(In thousands, except share and per share data)</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24"/>
                <w:szCs w:val="24"/>
                <w:color w:val="auto"/>
              </w:rPr>
            </w:pPr>
          </w:p>
        </w:tc>
        <w:tc>
          <w:tcPr>
            <w:tcW w:w="1400" w:type="dxa"/>
            <w:vAlign w:val="bottom"/>
          </w:tcPr>
          <w:p>
            <w:pPr>
              <w:jc w:val="right"/>
              <w:ind w:right="216"/>
              <w:spacing w:after="0"/>
              <w:rPr>
                <w:sz w:val="20"/>
                <w:szCs w:val="20"/>
                <w:color w:val="auto"/>
              </w:rPr>
            </w:pPr>
            <w:r>
              <w:rPr>
                <w:rFonts w:ascii="Arial" w:cs="Arial" w:eastAsia="Arial" w:hAnsi="Arial"/>
                <w:sz w:val="17"/>
                <w:szCs w:val="17"/>
                <w:b w:val="1"/>
                <w:bCs w:val="1"/>
                <w:color w:val="auto"/>
                <w:w w:val="97"/>
              </w:rPr>
              <w:t>December 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5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bottom w:val="single" w:sz="8" w:color="auto"/>
            </w:tcBorders>
            <w:shd w:val="clear" w:color="auto" w:fill="CCEEFF"/>
          </w:tcPr>
          <w:p>
            <w:pPr>
              <w:spacing w:after="0" w:line="158" w:lineRule="exact"/>
              <w:rPr>
                <w:sz w:val="20"/>
                <w:szCs w:val="20"/>
                <w:color w:val="auto"/>
              </w:rPr>
            </w:pPr>
            <w:r>
              <w:rPr>
                <w:rFonts w:ascii="Arial" w:cs="Arial" w:eastAsia="Arial" w:hAnsi="Arial"/>
                <w:sz w:val="17"/>
                <w:szCs w:val="17"/>
                <w:b w:val="1"/>
                <w:bCs w:val="1"/>
                <w:color w:val="auto"/>
                <w:w w:val="75"/>
              </w:rPr>
              <w:t>Assets</w:t>
            </w:r>
          </w:p>
        </w:tc>
        <w:tc>
          <w:tcPr>
            <w:tcW w:w="7660" w:type="dxa"/>
            <w:vAlign w:val="bottom"/>
            <w:tcBorders>
              <w:bottom w:val="single" w:sz="8" w:color="CCEEFF"/>
            </w:tcBorders>
            <w:gridSpan w:val="3"/>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4"/>
          </w:tcPr>
          <w:p>
            <w:pPr>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5,733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5,596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100" w:type="dxa"/>
            <w:vAlign w:val="bottom"/>
            <w:gridSpan w:val="4"/>
          </w:tcPr>
          <w:p>
            <w:pPr>
              <w:ind w:left="140"/>
              <w:spacing w:after="0" w:line="190" w:lineRule="exact"/>
              <w:rPr>
                <w:sz w:val="20"/>
                <w:szCs w:val="20"/>
                <w:color w:val="auto"/>
              </w:rPr>
            </w:pPr>
            <w:r>
              <w:rPr>
                <w:rFonts w:ascii="Arial" w:cs="Arial" w:eastAsia="Arial" w:hAnsi="Arial"/>
                <w:sz w:val="17"/>
                <w:szCs w:val="17"/>
                <w:color w:val="auto"/>
              </w:rPr>
              <w:t>Accounts receivable, net of allowance for doubtful accounts of $454 and $611,</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gridSpan w:val="4"/>
          </w:tcPr>
          <w:p>
            <w:pPr>
              <w:ind w:left="320"/>
              <w:spacing w:after="0"/>
              <w:rPr>
                <w:sz w:val="20"/>
                <w:szCs w:val="20"/>
                <w:color w:val="auto"/>
              </w:rPr>
            </w:pPr>
            <w:r>
              <w:rPr>
                <w:rFonts w:ascii="Arial" w:cs="Arial" w:eastAsia="Arial" w:hAnsi="Arial"/>
                <w:sz w:val="17"/>
                <w:szCs w:val="17"/>
                <w:color w:val="auto"/>
              </w:rPr>
              <w:t>respectively</w:t>
            </w:r>
          </w:p>
        </w:tc>
        <w:tc>
          <w:tcPr>
            <w:tcW w:w="20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16,236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15,746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Inventories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21,353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19,955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Borders>
              <w:bottom w:val="single" w:sz="8" w:color="CCEEFF"/>
            </w:tcBorders>
            <w:gridSpan w:val="4"/>
          </w:tcPr>
          <w:p>
            <w:pPr>
              <w:ind w:left="140"/>
              <w:spacing w:after="0"/>
              <w:rPr>
                <w:sz w:val="20"/>
                <w:szCs w:val="20"/>
                <w:color w:val="auto"/>
              </w:rPr>
            </w:pPr>
            <w:r>
              <w:rPr>
                <w:rFonts w:ascii="Arial" w:cs="Arial" w:eastAsia="Arial" w:hAnsi="Arial"/>
                <w:sz w:val="17"/>
                <w:szCs w:val="17"/>
                <w:color w:val="auto"/>
              </w:rPr>
              <w:t>Other receivables and other assets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4,213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4,175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00" w:type="dxa"/>
            <w:vAlign w:val="bottom"/>
            <w:gridSpan w:val="4"/>
            <w:shd w:val="clear" w:color="auto" w:fill="CCEEFF"/>
          </w:tcPr>
          <w:p>
            <w:pPr>
              <w:ind w:left="320"/>
              <w:spacing w:after="0"/>
              <w:rPr>
                <w:sz w:val="20"/>
                <w:szCs w:val="20"/>
                <w:color w:val="auto"/>
              </w:rPr>
            </w:pPr>
            <w:r>
              <w:rPr>
                <w:rFonts w:ascii="Arial" w:cs="Arial" w:eastAsia="Arial" w:hAnsi="Arial"/>
                <w:sz w:val="17"/>
                <w:szCs w:val="17"/>
                <w:color w:val="auto"/>
              </w:rPr>
              <w:t>Total current assets</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47,535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45,472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4,140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4,296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4"/>
          </w:tcPr>
          <w:p>
            <w:pPr>
              <w:spacing w:after="0"/>
              <w:rPr>
                <w:sz w:val="20"/>
                <w:szCs w:val="20"/>
                <w:color w:val="auto"/>
              </w:rPr>
            </w:pPr>
            <w:r>
              <w:rPr>
                <w:rFonts w:ascii="Arial" w:cs="Arial" w:eastAsia="Arial" w:hAnsi="Arial"/>
                <w:sz w:val="17"/>
                <w:szCs w:val="17"/>
                <w:color w:val="auto"/>
              </w:rPr>
              <w:t>Deferred income tax assets</w:t>
            </w: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1,157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Amortizable intangible assets, net</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15,960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17,471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4"/>
          </w:tcPr>
          <w:p>
            <w:pPr>
              <w:spacing w:after="0"/>
              <w:rPr>
                <w:sz w:val="20"/>
                <w:szCs w:val="20"/>
                <w:color w:val="auto"/>
              </w:rPr>
            </w:pPr>
            <w:r>
              <w:rPr>
                <w:rFonts w:ascii="Arial" w:cs="Arial" w:eastAsia="Arial" w:hAnsi="Arial"/>
                <w:sz w:val="17"/>
                <w:szCs w:val="17"/>
                <w:color w:val="auto"/>
              </w:rPr>
              <w:t>Goodwill</w:t>
            </w: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39,969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38,032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Indefinite lived intangible assets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1,244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1,209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Borders>
              <w:bottom w:val="single" w:sz="8" w:color="CCEEFF"/>
            </w:tcBorders>
            <w:gridSpan w:val="4"/>
          </w:tcPr>
          <w:p>
            <w:pPr>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109,354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107,765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restart"/>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580" w:type="dxa"/>
            <w:vAlign w:val="bottom"/>
            <w:tcBorders>
              <w:bottom w:val="single" w:sz="8" w:color="auto"/>
            </w:tcBorders>
            <w:gridSpan w:val="3"/>
            <w:shd w:val="clear" w:color="auto" w:fill="CCEEFF"/>
          </w:tcPr>
          <w:p>
            <w:pPr>
              <w:spacing w:after="0" w:line="164" w:lineRule="exact"/>
              <w:rPr>
                <w:sz w:val="20"/>
                <w:szCs w:val="20"/>
                <w:color w:val="auto"/>
              </w:rPr>
            </w:pPr>
            <w:r>
              <w:rPr>
                <w:rFonts w:ascii="Arial" w:cs="Arial" w:eastAsia="Arial" w:hAnsi="Arial"/>
                <w:sz w:val="17"/>
                <w:szCs w:val="17"/>
                <w:b w:val="1"/>
                <w:bCs w:val="1"/>
                <w:color w:val="auto"/>
                <w:w w:val="89"/>
              </w:rPr>
              <w:t>Liabilities and Stockholders' Equity</w:t>
            </w:r>
          </w:p>
        </w:tc>
        <w:tc>
          <w:tcPr>
            <w:tcW w:w="55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4"/>
          </w:tcPr>
          <w:p>
            <w:pPr>
              <w:spacing w:after="0"/>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Current portion, long-term debt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2,765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2,372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4"/>
          </w:tcPr>
          <w:p>
            <w:pPr>
              <w:ind w:left="140"/>
              <w:spacing w:after="0"/>
              <w:rPr>
                <w:sz w:val="20"/>
                <w:szCs w:val="20"/>
                <w:color w:val="auto"/>
              </w:rPr>
            </w:pPr>
            <w:r>
              <w:rPr>
                <w:rFonts w:ascii="Arial" w:cs="Arial" w:eastAsia="Arial" w:hAnsi="Arial"/>
                <w:sz w:val="17"/>
                <w:szCs w:val="17"/>
                <w:color w:val="auto"/>
              </w:rPr>
              <w:t>Accounts payable</w:t>
            </w: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5,404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6,196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Deferred revenue</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633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4"/>
          </w:tcPr>
          <w:p>
            <w:pPr>
              <w:ind w:left="140"/>
              <w:spacing w:after="0"/>
              <w:rPr>
                <w:sz w:val="20"/>
                <w:szCs w:val="20"/>
                <w:color w:val="auto"/>
              </w:rPr>
            </w:pPr>
            <w:r>
              <w:rPr>
                <w:rFonts w:ascii="Arial" w:cs="Arial" w:eastAsia="Arial" w:hAnsi="Arial"/>
                <w:sz w:val="17"/>
                <w:szCs w:val="17"/>
                <w:color w:val="auto"/>
              </w:rPr>
              <w:t>Accrued income taxes</w:t>
            </w: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387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Accrued expenses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4,551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4,550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Borders>
              <w:bottom w:val="single" w:sz="8" w:color="CCEEFF"/>
            </w:tcBorders>
            <w:gridSpan w:val="4"/>
          </w:tcPr>
          <w:p>
            <w:pPr>
              <w:ind w:left="140"/>
              <w:spacing w:after="0"/>
              <w:rPr>
                <w:sz w:val="20"/>
                <w:szCs w:val="20"/>
                <w:color w:val="auto"/>
              </w:rPr>
            </w:pPr>
            <w:r>
              <w:rPr>
                <w:rFonts w:ascii="Arial" w:cs="Arial" w:eastAsia="Arial" w:hAnsi="Arial"/>
                <w:sz w:val="17"/>
                <w:szCs w:val="17"/>
                <w:color w:val="auto"/>
              </w:rPr>
              <w:t>Other liabilities - current</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301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760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00" w:type="dxa"/>
            <w:vAlign w:val="bottom"/>
            <w:gridSpan w:val="4"/>
            <w:shd w:val="clear" w:color="auto" w:fill="CCEEFF"/>
          </w:tcPr>
          <w:p>
            <w:pPr>
              <w:ind w:left="320"/>
              <w:spacing w:after="0"/>
              <w:rPr>
                <w:sz w:val="20"/>
                <w:szCs w:val="20"/>
                <w:color w:val="auto"/>
              </w:rPr>
            </w:pPr>
            <w:r>
              <w:rPr>
                <w:rFonts w:ascii="Arial" w:cs="Arial" w:eastAsia="Arial" w:hAnsi="Arial"/>
                <w:sz w:val="17"/>
                <w:szCs w:val="17"/>
                <w:color w:val="auto"/>
              </w:rPr>
              <w:t>Total current liabilities</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14,041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14,601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Long-term debt, less current installments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8,983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11,374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4"/>
          </w:tcPr>
          <w:p>
            <w:pPr>
              <w:spacing w:after="0"/>
              <w:rPr>
                <w:sz w:val="20"/>
                <w:szCs w:val="20"/>
                <w:color w:val="auto"/>
              </w:rPr>
            </w:pPr>
            <w:r>
              <w:rPr>
                <w:rFonts w:ascii="Arial" w:cs="Arial" w:eastAsia="Arial" w:hAnsi="Arial"/>
                <w:sz w:val="17"/>
                <w:szCs w:val="17"/>
                <w:color w:val="auto"/>
              </w:rPr>
              <w:t>Deferred income tax liabilities</w:t>
            </w: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3,964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6,417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Other long 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1,466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3,177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00" w:type="dxa"/>
            <w:vAlign w:val="bottom"/>
            <w:tcBorders>
              <w:bottom w:val="single" w:sz="8" w:color="CCEEFF"/>
            </w:tcBorders>
            <w:gridSpan w:val="4"/>
          </w:tcPr>
          <w:p>
            <w:pPr>
              <w:spacing w:after="0" w:line="194" w:lineRule="exact"/>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28,454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35,569</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5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00" w:type="dxa"/>
            <w:vAlign w:val="bottom"/>
            <w:gridSpan w:val="4"/>
          </w:tcPr>
          <w:p>
            <w:pPr>
              <w:spacing w:after="0"/>
              <w:rPr>
                <w:sz w:val="20"/>
                <w:szCs w:val="20"/>
                <w:color w:val="auto"/>
              </w:rPr>
            </w:pPr>
            <w:r>
              <w:rPr>
                <w:rFonts w:ascii="Arial" w:cs="Arial" w:eastAsia="Arial" w:hAnsi="Arial"/>
                <w:sz w:val="17"/>
                <w:szCs w:val="17"/>
                <w:color w:val="auto"/>
              </w:rPr>
              <w:t>Commitments and contingencies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00" w:type="dxa"/>
            <w:vAlign w:val="bottom"/>
            <w:gridSpan w:val="4"/>
          </w:tcPr>
          <w:p>
            <w:pPr>
              <w:spacing w:after="0"/>
              <w:rPr>
                <w:sz w:val="20"/>
                <w:szCs w:val="20"/>
                <w:color w:val="auto"/>
              </w:rPr>
            </w:pPr>
            <w:r>
              <w:rPr>
                <w:rFonts w:ascii="Arial" w:cs="Arial" w:eastAsia="Arial" w:hAnsi="Arial"/>
                <w:sz w:val="17"/>
                <w:szCs w:val="17"/>
                <w:color w:val="auto"/>
              </w:rPr>
              <w:t>Stockholders' equity:</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Preferred stock, par value $0.01 per share, 5,000,000 shares authorized</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100" w:type="dxa"/>
            <w:vAlign w:val="bottom"/>
            <w:gridSpan w:val="4"/>
          </w:tcPr>
          <w:p>
            <w:pPr>
              <w:ind w:left="140"/>
              <w:spacing w:after="0" w:line="190" w:lineRule="exact"/>
              <w:rPr>
                <w:sz w:val="20"/>
                <w:szCs w:val="20"/>
                <w:color w:val="auto"/>
              </w:rPr>
            </w:pPr>
            <w:r>
              <w:rPr>
                <w:rFonts w:ascii="Arial" w:cs="Arial" w:eastAsia="Arial" w:hAnsi="Arial"/>
                <w:sz w:val="17"/>
                <w:szCs w:val="17"/>
                <w:color w:val="auto"/>
                <w:w w:val="90"/>
              </w:rPr>
              <w:t>Common stock, par value $0.01 per share, 80,000,000 shares authorized; 42,763,985 and 42,186,827 shares issued</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gridSpan w:val="4"/>
          </w:tcPr>
          <w:p>
            <w:pPr>
              <w:ind w:left="140"/>
              <w:spacing w:after="0"/>
              <w:rPr>
                <w:sz w:val="20"/>
                <w:szCs w:val="20"/>
                <w:color w:val="auto"/>
              </w:rPr>
            </w:pPr>
            <w:r>
              <w:rPr>
                <w:rFonts w:ascii="Arial" w:cs="Arial" w:eastAsia="Arial" w:hAnsi="Arial"/>
                <w:sz w:val="17"/>
                <w:szCs w:val="17"/>
                <w:color w:val="auto"/>
              </w:rPr>
              <w:t>and 35,018,478 and 34,441,320 shares outstanding, respectively</w:t>
            </w:r>
          </w:p>
        </w:tc>
        <w:tc>
          <w:tcPr>
            <w:tcW w:w="20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419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Additional paid-in-capital</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218,792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215,134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4"/>
          </w:tcPr>
          <w:p>
            <w:pPr>
              <w:ind w:left="140"/>
              <w:spacing w:after="0"/>
              <w:rPr>
                <w:sz w:val="20"/>
                <w:szCs w:val="20"/>
                <w:color w:val="auto"/>
              </w:rPr>
            </w:pPr>
            <w:r>
              <w:rPr>
                <w:rFonts w:ascii="Arial" w:cs="Arial" w:eastAsia="Arial" w:hAnsi="Arial"/>
                <w:sz w:val="17"/>
                <w:szCs w:val="17"/>
                <w:color w:val="auto"/>
              </w:rPr>
              <w:t>Accumulated deficit</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(116,967)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(116,030)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Borders>
              <w:bottom w:val="single" w:sz="8" w:color="CCEEFF"/>
            </w:tcBorders>
            <w:gridSpan w:val="4"/>
          </w:tcPr>
          <w:p>
            <w:pPr>
              <w:ind w:left="140"/>
              <w:spacing w:after="0"/>
              <w:rPr>
                <w:sz w:val="20"/>
                <w:szCs w:val="20"/>
                <w:color w:val="auto"/>
              </w:rPr>
            </w:pPr>
            <w:r>
              <w:rPr>
                <w:rFonts w:ascii="Arial" w:cs="Arial" w:eastAsia="Arial" w:hAnsi="Arial"/>
                <w:sz w:val="17"/>
                <w:szCs w:val="17"/>
                <w:color w:val="auto"/>
              </w:rPr>
              <w:t>Treasury stock at cost, 7,745,507 common shares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(10,668)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(10,668)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00" w:type="dxa"/>
            <w:vAlign w:val="bottom"/>
            <w:gridSpan w:val="4"/>
            <w:shd w:val="clear" w:color="auto" w:fill="CCEEFF"/>
          </w:tcPr>
          <w:p>
            <w:pPr>
              <w:ind w:left="320"/>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80,900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72,196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100" w:type="dxa"/>
            <w:vAlign w:val="bottom"/>
            <w:gridSpan w:val="4"/>
          </w:tcPr>
          <w:p>
            <w:pPr>
              <w:spacing w:after="0" w:line="194" w:lineRule="exact"/>
              <w:rPr>
                <w:sz w:val="20"/>
                <w:szCs w:val="20"/>
                <w:color w:val="auto"/>
              </w:rPr>
            </w:pPr>
            <w:r>
              <w:rPr>
                <w:rFonts w:ascii="Arial" w:cs="Arial" w:eastAsia="Arial" w:hAnsi="Arial"/>
                <w:sz w:val="17"/>
                <w:szCs w:val="17"/>
                <w:color w:val="auto"/>
              </w:rPr>
              <w:t>Total liabilities and stockholders' equity</w:t>
            </w: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109,354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107,765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10"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HARVARD BIOSCIENCE,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right"/>
              <w:ind w:right="246"/>
              <w:spacing w:after="0"/>
              <w:rPr>
                <w:sz w:val="20"/>
                <w:szCs w:val="20"/>
                <w:color w:val="auto"/>
              </w:rPr>
            </w:pPr>
            <w:r>
              <w:rPr>
                <w:rFonts w:ascii="Arial" w:cs="Arial" w:eastAsia="Arial" w:hAnsi="Arial"/>
                <w:sz w:val="17"/>
                <w:szCs w:val="17"/>
                <w:b w:val="1"/>
                <w:bCs w:val="1"/>
                <w:color w:val="auto"/>
                <w:w w:val="90"/>
              </w:rPr>
              <w:t>Year Ended December 31,</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2017</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101,882</w:t>
            </w: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104,521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108,664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Cost of revenues (exclusive of items shown separately below)</w:t>
            </w:r>
          </w:p>
        </w:tc>
        <w:tc>
          <w:tcPr>
            <w:tcW w:w="1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54,285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56,106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59,941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Gross profit</w:t>
            </w:r>
          </w:p>
        </w:tc>
        <w:tc>
          <w:tcPr>
            <w:tcW w:w="1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47,597</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48,415</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48,723</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 expenses</w:t>
            </w: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20,486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20,577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18,575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20,950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19,832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expenses</w:t>
            </w: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5,392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6,420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Restructuring (credits) charges</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788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intangible assets</w:t>
            </w: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2,722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2,819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Impairment charges</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676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Loss on sale of AHN</w:t>
            </w:r>
          </w:p>
        </w:tc>
        <w:tc>
          <w:tcPr>
            <w:tcW w:w="1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1,190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80" w:type="dxa"/>
            <w:vAlign w:val="bottom"/>
            <w:tcBorders>
              <w:bottom w:val="single" w:sz="8" w:color="CCEEFF"/>
            </w:tcBorders>
          </w:tcPr>
          <w:p>
            <w:pPr>
              <w:ind w:left="140"/>
              <w:spacing w:after="0" w:line="194" w:lineRule="exact"/>
              <w:rPr>
                <w:sz w:val="20"/>
                <w:szCs w:val="20"/>
                <w:color w:val="auto"/>
              </w:rPr>
            </w:pPr>
            <w:r>
              <w:rPr>
                <w:rFonts w:ascii="Arial" w:cs="Arial" w:eastAsia="Arial" w:hAnsi="Arial"/>
                <w:sz w:val="17"/>
                <w:szCs w:val="17"/>
                <w:color w:val="auto"/>
              </w:rPr>
              <w:t>Total operating expenses, net</w:t>
            </w:r>
          </w:p>
        </w:tc>
        <w:tc>
          <w:tcPr>
            <w:tcW w:w="1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47,698</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51,412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50,436</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Operating loss</w:t>
            </w:r>
          </w:p>
        </w:tc>
        <w:tc>
          <w:tcPr>
            <w:tcW w:w="1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(1,713)</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Other income (expense):</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exchange</w:t>
            </w: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737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tcPr>
          <w:p>
            <w:pPr>
              <w:ind w:left="140"/>
              <w:spacing w:after="0"/>
              <w:rPr>
                <w:sz w:val="20"/>
                <w:szCs w:val="20"/>
                <w:color w:val="auto"/>
              </w:rPr>
            </w:pPr>
            <w:r>
              <w:rPr>
                <w:rFonts w:ascii="Arial" w:cs="Arial" w:eastAsia="Arial" w:hAnsi="Arial"/>
                <w:sz w:val="17"/>
                <w:szCs w:val="17"/>
                <w:color w:val="auto"/>
              </w:rPr>
              <w:t>Interest expense, net</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(639)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expense, net</w:t>
            </w:r>
          </w:p>
        </w:tc>
        <w:tc>
          <w:tcPr>
            <w:tcW w:w="1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8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color w:val="auto"/>
              </w:rPr>
              <w:t>Other expense, net</w:t>
            </w:r>
          </w:p>
        </w:tc>
        <w:tc>
          <w:tcPr>
            <w:tcW w:w="1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(1,987)</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(1,895)</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(2,088)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 expense</w:t>
            </w:r>
          </w:p>
        </w:tc>
        <w:tc>
          <w:tcPr>
            <w:tcW w:w="1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1,229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15,431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8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color w:val="auto"/>
              </w:rPr>
              <w:t>Net loss</w:t>
            </w:r>
          </w:p>
        </w:tc>
        <w:tc>
          <w:tcPr>
            <w:tcW w:w="1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(19,039)</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Loss per share:</w:t>
            </w:r>
          </w:p>
        </w:tc>
        <w:tc>
          <w:tcPr>
            <w:tcW w:w="1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 loss per common share</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28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80" w:type="dxa"/>
            <w:vAlign w:val="bottom"/>
            <w:shd w:val="clear" w:color="auto" w:fill="CCEEFF"/>
          </w:tcPr>
          <w:p>
            <w:pPr>
              <w:ind w:left="140"/>
              <w:spacing w:after="0" w:line="194" w:lineRule="exact"/>
              <w:rPr>
                <w:sz w:val="20"/>
                <w:szCs w:val="20"/>
                <w:color w:val="auto"/>
              </w:rPr>
            </w:pPr>
            <w:r>
              <w:rPr>
                <w:rFonts w:ascii="Arial" w:cs="Arial" w:eastAsia="Arial" w:hAnsi="Arial"/>
                <w:sz w:val="17"/>
                <w:szCs w:val="17"/>
                <w:color w:val="auto"/>
              </w:rPr>
              <w:t>Diluted loss per common share</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restart"/>
          </w:tcPr>
          <w:p>
            <w:pPr>
              <w:spacing w:after="0"/>
              <w:rPr>
                <w:sz w:val="15"/>
                <w:szCs w:val="15"/>
                <w:color w:val="auto"/>
              </w:rPr>
            </w:pPr>
          </w:p>
        </w:tc>
        <w:tc>
          <w:tcPr>
            <w:tcW w:w="5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common shares:</w:t>
            </w: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Basic</w:t>
            </w:r>
          </w:p>
        </w:tc>
        <w:tc>
          <w:tcPr>
            <w:tcW w:w="1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34,753</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34,212</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33,593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80" w:type="dxa"/>
            <w:vAlign w:val="bottom"/>
            <w:tcBorders>
              <w:bottom w:val="single" w:sz="8" w:color="CCEEFF"/>
            </w:tcBorders>
            <w:shd w:val="clear" w:color="auto" w:fill="CCEEFF"/>
          </w:tcPr>
          <w:p>
            <w:pPr>
              <w:ind w:left="140"/>
              <w:spacing w:after="0" w:line="174" w:lineRule="exact"/>
              <w:rPr>
                <w:sz w:val="20"/>
                <w:szCs w:val="20"/>
                <w:color w:val="auto"/>
              </w:rPr>
            </w:pPr>
            <w:r>
              <w:rPr>
                <w:rFonts w:ascii="Arial" w:cs="Arial" w:eastAsia="Arial" w:hAnsi="Arial"/>
                <w:sz w:val="17"/>
                <w:szCs w:val="17"/>
                <w:color w:val="auto"/>
              </w:rPr>
              <w:t>Diluted</w:t>
            </w:r>
          </w:p>
        </w:tc>
        <w:tc>
          <w:tcPr>
            <w:tcW w:w="1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34,753</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36"/>
              <w:spacing w:after="0" w:line="180" w:lineRule="exact"/>
              <w:rPr>
                <w:sz w:val="20"/>
                <w:szCs w:val="20"/>
                <w:color w:val="auto"/>
              </w:rPr>
            </w:pPr>
            <w:r>
              <w:rPr>
                <w:rFonts w:ascii="Arial" w:cs="Arial" w:eastAsia="Arial" w:hAnsi="Arial"/>
                <w:sz w:val="17"/>
                <w:szCs w:val="17"/>
                <w:color w:val="auto"/>
              </w:rPr>
              <w:t>34,212</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6"/>
              <w:spacing w:after="0" w:line="180" w:lineRule="exact"/>
              <w:rPr>
                <w:sz w:val="20"/>
                <w:szCs w:val="20"/>
                <w:color w:val="auto"/>
              </w:rPr>
            </w:pPr>
            <w:r>
              <w:rPr>
                <w:rFonts w:ascii="Arial" w:cs="Arial" w:eastAsia="Arial" w:hAnsi="Arial"/>
                <w:sz w:val="17"/>
                <w:szCs w:val="17"/>
                <w:color w:val="auto"/>
              </w:rPr>
              <w:t>33,593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HARVARD BIOSCIENCE,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right"/>
              <w:ind w:right="246"/>
              <w:spacing w:after="0"/>
              <w:rPr>
                <w:sz w:val="20"/>
                <w:szCs w:val="20"/>
                <w:color w:val="auto"/>
              </w:rPr>
            </w:pPr>
            <w:r>
              <w:rPr>
                <w:rFonts w:ascii="Arial" w:cs="Arial" w:eastAsia="Arial" w:hAnsi="Arial"/>
                <w:sz w:val="17"/>
                <w:szCs w:val="17"/>
                <w:b w:val="1"/>
                <w:bCs w:val="1"/>
                <w:color w:val="auto"/>
                <w:w w:val="90"/>
              </w:rPr>
              <w:t>Year Ended December 31,</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398"/>
        </w:trPr>
        <w:tc>
          <w:tcPr>
            <w:tcW w:w="20" w:type="dxa"/>
            <w:vAlign w:val="bottom"/>
            <w:vMerge w:val="restart"/>
          </w:tcPr>
          <w:p>
            <w:pPr>
              <w:spacing w:after="0"/>
              <w:rPr>
                <w:sz w:val="24"/>
                <w:szCs w:val="24"/>
                <w:color w:val="auto"/>
              </w:rPr>
            </w:pPr>
          </w:p>
        </w:tc>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220" w:type="dxa"/>
            <w:vAlign w:val="bottom"/>
            <w:gridSpan w:val="2"/>
            <w:shd w:val="clear" w:color="auto" w:fill="CCEEFF"/>
          </w:tcPr>
          <w:p>
            <w:pPr>
              <w:jc w:val="right"/>
              <w:ind w:right="856"/>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w:t>
            </w: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Other comprehensive income (loss):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 adjustments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Derivatives qualifying as hedges, net of tax:</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on derivative instruments designated and qualifying as cash flow hedges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w w:val="93"/>
              </w:rPr>
              <w:t>Amounts reclassified from accumulated other comprehensive income (loss) to net loss</w:t>
            </w: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Derivatives qualifying as hedges, net of tax</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Defined benefit pension plans, net of tax:</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shd w:val="clear" w:color="auto" w:fill="CCEEFF"/>
          </w:tcPr>
          <w:p>
            <w:pPr>
              <w:ind w:left="140"/>
              <w:spacing w:after="0" w:line="190" w:lineRule="exact"/>
              <w:rPr>
                <w:sz w:val="20"/>
                <w:szCs w:val="20"/>
                <w:color w:val="auto"/>
              </w:rPr>
            </w:pPr>
            <w:r>
              <w:rPr>
                <w:rFonts w:ascii="Arial" w:cs="Arial" w:eastAsia="Arial" w:hAnsi="Arial"/>
                <w:sz w:val="17"/>
                <w:szCs w:val="17"/>
                <w:color w:val="auto"/>
                <w:w w:val="93"/>
              </w:rPr>
              <w:t>Amortization of net losses included in net periodic pension costs, net of tax expense of</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$62, $52 and $58 in 2017, 2016 and 2015, respectively</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tcPr>
          <w:p>
            <w:pPr>
              <w:ind w:left="140"/>
              <w:spacing w:after="0" w:line="190" w:lineRule="exact"/>
              <w:rPr>
                <w:sz w:val="20"/>
                <w:szCs w:val="20"/>
                <w:color w:val="auto"/>
              </w:rPr>
            </w:pPr>
            <w:r>
              <w:rPr>
                <w:rFonts w:ascii="Arial" w:cs="Arial" w:eastAsia="Arial" w:hAnsi="Arial"/>
                <w:sz w:val="17"/>
                <w:szCs w:val="17"/>
                <w:color w:val="auto"/>
                <w:w w:val="92"/>
              </w:rPr>
              <w:t>Net gain (loss), net of tax (benefit) expense of ($246), $88 and $241 in 2017, 2016 and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2015, respectively</w:t>
            </w: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1,029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Defined benefit pension plans, net of tax</w:t>
            </w:r>
          </w:p>
        </w:tc>
        <w:tc>
          <w:tcPr>
            <w:tcW w:w="2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1,277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0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color w:val="auto"/>
              </w:rPr>
              <w:t>Other comprehensive income (loss)</w:t>
            </w:r>
          </w:p>
        </w:tc>
        <w:tc>
          <w:tcPr>
            <w:tcW w:w="2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Comprehensive income (loss)</w:t>
            </w:r>
          </w:p>
        </w:tc>
        <w:tc>
          <w:tcPr>
            <w:tcW w:w="1220" w:type="dxa"/>
            <w:vAlign w:val="bottom"/>
            <w:gridSpan w:val="2"/>
            <w:shd w:val="clear" w:color="auto" w:fill="CCEEFF"/>
          </w:tcPr>
          <w:p>
            <w:pPr>
              <w:jc w:val="right"/>
              <w:ind w:right="856"/>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5,117</w:t>
            </w: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95"/>
        </w:trPr>
        <w:tc>
          <w:tcPr>
            <w:tcW w:w="4200" w:type="dxa"/>
            <w:vAlign w:val="bottom"/>
            <w:gridSpan w:val="2"/>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06"/>
        </w:trPr>
        <w:tc>
          <w:tcPr>
            <w:tcW w:w="1200" w:type="dxa"/>
            <w:vAlign w:val="bottom"/>
            <w:tcBorders>
              <w:top w:val="single" w:sz="8" w:color="0000EE"/>
            </w:tcBorders>
          </w:tcPr>
          <w:p>
            <w:pPr>
              <w:spacing w:after="0"/>
              <w:rPr>
                <w:sz w:val="24"/>
                <w:szCs w:val="24"/>
                <w:color w:val="auto"/>
              </w:rPr>
            </w:pPr>
          </w:p>
        </w:tc>
        <w:tc>
          <w:tcPr>
            <w:tcW w:w="3000" w:type="dxa"/>
            <w:vAlign w:val="bottom"/>
          </w:tcPr>
          <w:p>
            <w:pPr>
              <w:spacing w:after="0"/>
              <w:rPr>
                <w:sz w:val="24"/>
                <w:szCs w:val="24"/>
                <w:color w:val="auto"/>
              </w:rPr>
            </w:pPr>
          </w:p>
        </w:tc>
        <w:tc>
          <w:tcPr>
            <w:tcW w:w="2880" w:type="dxa"/>
            <w:vAlign w:val="bottom"/>
            <w:gridSpan w:val="7"/>
          </w:tcPr>
          <w:p>
            <w:pPr>
              <w:jc w:val="center"/>
              <w:ind w:left="56"/>
              <w:spacing w:after="0"/>
              <w:rPr>
                <w:sz w:val="20"/>
                <w:szCs w:val="20"/>
                <w:color w:val="auto"/>
              </w:rPr>
            </w:pPr>
            <w:r>
              <w:rPr>
                <w:rFonts w:ascii="Arial" w:cs="Arial" w:eastAsia="Arial" w:hAnsi="Arial"/>
                <w:sz w:val="17"/>
                <w:szCs w:val="17"/>
                <w:b w:val="1"/>
                <w:bCs w:val="1"/>
                <w:color w:val="auto"/>
                <w:w w:val="99"/>
              </w:rPr>
              <w:t>HARVARD BIOSCIENCE, INC.</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1200" w:type="dxa"/>
            <w:vAlign w:val="bottom"/>
          </w:tcPr>
          <w:p>
            <w:pPr>
              <w:spacing w:after="0"/>
              <w:rPr>
                <w:sz w:val="17"/>
                <w:szCs w:val="17"/>
                <w:color w:val="auto"/>
              </w:rPr>
            </w:pPr>
          </w:p>
        </w:tc>
        <w:tc>
          <w:tcPr>
            <w:tcW w:w="7200" w:type="dxa"/>
            <w:vAlign w:val="bottom"/>
            <w:gridSpan w:val="13"/>
          </w:tcPr>
          <w:p>
            <w:pPr>
              <w:jc w:val="center"/>
              <w:ind w:left="1736"/>
              <w:spacing w:after="0"/>
              <w:rPr>
                <w:sz w:val="20"/>
                <w:szCs w:val="20"/>
                <w:color w:val="auto"/>
              </w:rPr>
            </w:pPr>
            <w:r>
              <w:rPr>
                <w:rFonts w:ascii="Arial" w:cs="Arial" w:eastAsia="Arial" w:hAnsi="Arial"/>
                <w:sz w:val="17"/>
                <w:szCs w:val="17"/>
                <w:b w:val="1"/>
                <w:bCs w:val="1"/>
                <w:color w:val="auto"/>
                <w:w w:val="99"/>
              </w:rPr>
              <w:t>CONSOLIDATED STATEMENTS OF STOCKHOLDERS' EQUITY</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1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jc w:val="center"/>
              <w:ind w:right="800"/>
              <w:spacing w:after="0"/>
              <w:rPr>
                <w:sz w:val="20"/>
                <w:szCs w:val="20"/>
                <w:color w:val="auto"/>
              </w:rPr>
            </w:pPr>
            <w:r>
              <w:rPr>
                <w:rFonts w:ascii="Arial" w:cs="Arial" w:eastAsia="Arial" w:hAnsi="Arial"/>
                <w:sz w:val="17"/>
                <w:szCs w:val="17"/>
                <w:b w:val="1"/>
                <w:bCs w:val="1"/>
                <w:color w:val="auto"/>
                <w:w w:val="88"/>
              </w:rPr>
              <w:t>(In thousands)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14"/>
        </w:trPr>
        <w:tc>
          <w:tcPr>
            <w:tcW w:w="12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89"/>
              </w:rPr>
              <w:t>Accumulated</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1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Number</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1"/>
              </w:rPr>
              <w:t>Additional</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6"/>
              </w:rPr>
              <w:t>Other</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Total</w:t>
            </w:r>
          </w:p>
        </w:tc>
      </w:tr>
      <w:tr>
        <w:trPr>
          <w:trHeight w:val="215"/>
        </w:trPr>
        <w:tc>
          <w:tcPr>
            <w:tcW w:w="1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5"/>
              </w:rPr>
              <w:t>of Shares</w:t>
            </w:r>
          </w:p>
        </w:tc>
        <w:tc>
          <w:tcPr>
            <w:tcW w:w="94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89"/>
              </w:rPr>
              <w:t>Common</w:t>
            </w:r>
          </w:p>
        </w:tc>
        <w:tc>
          <w:tcPr>
            <w:tcW w:w="9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1"/>
              </w:rPr>
              <w:t>Paid-in</w:t>
            </w:r>
          </w:p>
        </w:tc>
        <w:tc>
          <w:tcPr>
            <w:tcW w:w="1020" w:type="dxa"/>
            <w:vAlign w:val="bottom"/>
            <w:gridSpan w:val="3"/>
          </w:tcPr>
          <w:p>
            <w:pPr>
              <w:spacing w:after="0"/>
              <w:rPr>
                <w:sz w:val="20"/>
                <w:szCs w:val="20"/>
                <w:color w:val="auto"/>
              </w:rPr>
            </w:pPr>
            <w:r>
              <w:rPr>
                <w:rFonts w:ascii="Arial" w:cs="Arial" w:eastAsia="Arial" w:hAnsi="Arial"/>
                <w:sz w:val="17"/>
                <w:szCs w:val="17"/>
                <w:b w:val="1"/>
                <w:bCs w:val="1"/>
                <w:color w:val="auto"/>
                <w:w w:val="93"/>
              </w:rPr>
              <w:t>Accumulated</w:t>
            </w:r>
          </w:p>
        </w:tc>
        <w:tc>
          <w:tcPr>
            <w:tcW w:w="1360" w:type="dxa"/>
            <w:vAlign w:val="bottom"/>
            <w:gridSpan w:val="4"/>
          </w:tcPr>
          <w:p>
            <w:pPr>
              <w:jc w:val="center"/>
              <w:ind w:right="80"/>
              <w:spacing w:after="0"/>
              <w:rPr>
                <w:sz w:val="20"/>
                <w:szCs w:val="20"/>
                <w:color w:val="auto"/>
              </w:rPr>
            </w:pPr>
            <w:r>
              <w:rPr>
                <w:rFonts w:ascii="Arial" w:cs="Arial" w:eastAsia="Arial" w:hAnsi="Arial"/>
                <w:sz w:val="17"/>
                <w:szCs w:val="17"/>
                <w:b w:val="1"/>
                <w:bCs w:val="1"/>
                <w:color w:val="auto"/>
                <w:w w:val="87"/>
              </w:rPr>
              <w:t>Comprehensive</w:t>
            </w:r>
          </w:p>
        </w:tc>
        <w:tc>
          <w:tcPr>
            <w:tcW w:w="98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89"/>
              </w:rPr>
              <w:t>Treasury</w:t>
            </w:r>
          </w:p>
        </w:tc>
        <w:tc>
          <w:tcPr>
            <w:tcW w:w="1000" w:type="dxa"/>
            <w:vAlign w:val="bottom"/>
            <w:gridSpan w:val="4"/>
          </w:tcPr>
          <w:p>
            <w:pPr>
              <w:spacing w:after="0"/>
              <w:rPr>
                <w:sz w:val="20"/>
                <w:szCs w:val="20"/>
                <w:color w:val="auto"/>
              </w:rPr>
            </w:pPr>
            <w:r>
              <w:rPr>
                <w:rFonts w:ascii="Arial" w:cs="Arial" w:eastAsia="Arial" w:hAnsi="Arial"/>
                <w:sz w:val="17"/>
                <w:szCs w:val="17"/>
                <w:b w:val="1"/>
                <w:bCs w:val="1"/>
                <w:color w:val="auto"/>
                <w:w w:val="87"/>
              </w:rPr>
              <w:t>Stockholders’</w:t>
            </w:r>
          </w:p>
        </w:tc>
      </w:tr>
      <w:tr>
        <w:trPr>
          <w:trHeight w:val="219"/>
        </w:trPr>
        <w:tc>
          <w:tcPr>
            <w:tcW w:w="12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5"/>
              </w:rPr>
              <w:t>Issued</w:t>
            </w:r>
          </w:p>
        </w:tc>
        <w:tc>
          <w:tcPr>
            <w:tcW w:w="120" w:type="dxa"/>
            <w:vAlign w:val="bottom"/>
          </w:tcPr>
          <w:p>
            <w:pPr>
              <w:spacing w:after="0"/>
              <w:rPr>
                <w:sz w:val="19"/>
                <w:szCs w:val="19"/>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6"/>
              </w:rPr>
              <w:t>Stock</w:t>
            </w:r>
          </w:p>
        </w:tc>
        <w:tc>
          <w:tcPr>
            <w:tcW w:w="9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1"/>
              </w:rPr>
              <w:t>Capital</w:t>
            </w:r>
          </w:p>
        </w:tc>
        <w:tc>
          <w:tcPr>
            <w:tcW w:w="14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Arial" w:cs="Arial" w:eastAsia="Arial" w:hAnsi="Arial"/>
                <w:sz w:val="17"/>
                <w:szCs w:val="17"/>
                <w:b w:val="1"/>
                <w:bCs w:val="1"/>
                <w:color w:val="auto"/>
              </w:rPr>
              <w:t>Deficit</w:t>
            </w:r>
          </w:p>
        </w:tc>
        <w:tc>
          <w:tcPr>
            <w:tcW w:w="80" w:type="dxa"/>
            <w:vAlign w:val="bottom"/>
          </w:tcPr>
          <w:p>
            <w:pPr>
              <w:spacing w:after="0"/>
              <w:rPr>
                <w:sz w:val="19"/>
                <w:szCs w:val="19"/>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88"/>
              </w:rPr>
              <w:t>Income (Loss)</w:t>
            </w:r>
          </w:p>
        </w:tc>
        <w:tc>
          <w:tcPr>
            <w:tcW w:w="120" w:type="dxa"/>
            <w:vAlign w:val="bottom"/>
          </w:tcPr>
          <w:p>
            <w:pPr>
              <w:spacing w:after="0"/>
              <w:rPr>
                <w:sz w:val="19"/>
                <w:szCs w:val="19"/>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6"/>
              </w:rPr>
              <w:t>Stock</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6"/>
              </w:rPr>
              <w:t>Equity</w:t>
            </w:r>
          </w:p>
        </w:tc>
      </w:tr>
      <w:tr>
        <w:trPr>
          <w:trHeight w:val="195"/>
        </w:trPr>
        <w:tc>
          <w:tcPr>
            <w:tcW w:w="4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at December 31, 2014</w:t>
            </w:r>
          </w:p>
        </w:tc>
        <w:tc>
          <w:tcPr>
            <w:tcW w:w="7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40,309</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397</w:t>
            </w:r>
          </w:p>
        </w:tc>
        <w:tc>
          <w:tcPr>
            <w:tcW w:w="1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7"/>
              </w:rPr>
              <w:t>$ 206,656</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(92,684)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(8,233)</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(10,668)</w:t>
            </w: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95,468</w:t>
            </w:r>
          </w:p>
        </w:tc>
        <w:tc>
          <w:tcPr>
            <w:tcW w:w="20" w:type="dxa"/>
            <w:vAlign w:val="bottom"/>
          </w:tcPr>
          <w:p>
            <w:pPr>
              <w:spacing w:after="0"/>
              <w:rPr>
                <w:sz w:val="16"/>
                <w:szCs w:val="16"/>
                <w:color w:val="auto"/>
              </w:rPr>
            </w:pPr>
          </w:p>
        </w:tc>
      </w:tr>
      <w:tr>
        <w:trPr>
          <w:trHeight w:val="202"/>
        </w:trPr>
        <w:tc>
          <w:tcPr>
            <w:tcW w:w="4200" w:type="dxa"/>
            <w:vAlign w:val="bottom"/>
            <w:gridSpan w:val="2"/>
          </w:tcPr>
          <w:p>
            <w:pPr>
              <w:ind w:left="160"/>
              <w:spacing w:after="0"/>
              <w:rPr>
                <w:sz w:val="20"/>
                <w:szCs w:val="20"/>
                <w:color w:val="auto"/>
              </w:rPr>
            </w:pPr>
            <w:r>
              <w:rPr>
                <w:rFonts w:ascii="Arial" w:cs="Arial" w:eastAsia="Arial" w:hAnsi="Arial"/>
                <w:sz w:val="17"/>
                <w:szCs w:val="17"/>
                <w:color w:val="auto"/>
              </w:rPr>
              <w:t>Stock option exercises</w:t>
            </w: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1,772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25</w:t>
            </w:r>
          </w:p>
        </w:tc>
        <w:tc>
          <w:tcPr>
            <w:tcW w:w="180" w:type="dxa"/>
            <w:vAlign w:val="bottom"/>
          </w:tcPr>
          <w:p>
            <w:pPr>
              <w:spacing w:after="0"/>
              <w:rPr>
                <w:sz w:val="17"/>
                <w:szCs w:val="17"/>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2,605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2,630</w:t>
            </w:r>
          </w:p>
        </w:tc>
        <w:tc>
          <w:tcPr>
            <w:tcW w:w="20" w:type="dxa"/>
            <w:vAlign w:val="bottom"/>
          </w:tcPr>
          <w:p>
            <w:pPr>
              <w:spacing w:after="0"/>
              <w:rPr>
                <w:sz w:val="17"/>
                <w:szCs w:val="17"/>
                <w:color w:val="auto"/>
              </w:rPr>
            </w:pPr>
          </w:p>
        </w:tc>
      </w:tr>
      <w:tr>
        <w:trPr>
          <w:trHeight w:val="202"/>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Stock purchase plan</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208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208</w:t>
            </w:r>
          </w:p>
        </w:tc>
        <w:tc>
          <w:tcPr>
            <w:tcW w:w="20" w:type="dxa"/>
            <w:vAlign w:val="bottom"/>
          </w:tcPr>
          <w:p>
            <w:pPr>
              <w:spacing w:after="0"/>
              <w:rPr>
                <w:sz w:val="17"/>
                <w:szCs w:val="17"/>
                <w:color w:val="auto"/>
              </w:rPr>
            </w:pPr>
          </w:p>
        </w:tc>
      </w:tr>
      <w:tr>
        <w:trPr>
          <w:trHeight w:val="202"/>
        </w:trPr>
        <w:tc>
          <w:tcPr>
            <w:tcW w:w="4200" w:type="dxa"/>
            <w:vAlign w:val="bottom"/>
            <w:gridSpan w:val="2"/>
          </w:tcPr>
          <w:p>
            <w:pPr>
              <w:ind w:left="160"/>
              <w:spacing w:after="0"/>
              <w:rPr>
                <w:sz w:val="20"/>
                <w:szCs w:val="20"/>
                <w:color w:val="auto"/>
              </w:rPr>
            </w:pPr>
            <w:r>
              <w:rPr>
                <w:rFonts w:ascii="Arial" w:cs="Arial" w:eastAsia="Arial" w:hAnsi="Arial"/>
                <w:sz w:val="17"/>
                <w:szCs w:val="17"/>
                <w:color w:val="auto"/>
              </w:rPr>
              <w:t>Vesting of restricted stock units</w:t>
            </w: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237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2"/>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Shares withheld for taxes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20" w:type="dxa"/>
            <w:vAlign w:val="bottom"/>
          </w:tcPr>
          <w:p>
            <w:pPr>
              <w:spacing w:after="0"/>
              <w:rPr>
                <w:sz w:val="17"/>
                <w:szCs w:val="17"/>
                <w:color w:val="auto"/>
              </w:rPr>
            </w:pPr>
          </w:p>
        </w:tc>
      </w:tr>
      <w:tr>
        <w:trPr>
          <w:trHeight w:val="202"/>
        </w:trPr>
        <w:tc>
          <w:tcPr>
            <w:tcW w:w="4200" w:type="dxa"/>
            <w:vAlign w:val="bottom"/>
            <w:gridSpan w:val="2"/>
          </w:tcPr>
          <w:p>
            <w:pPr>
              <w:ind w:left="160"/>
              <w:spacing w:after="0"/>
              <w:rPr>
                <w:sz w:val="20"/>
                <w:szCs w:val="20"/>
                <w:color w:val="auto"/>
              </w:rPr>
            </w:pPr>
            <w:r>
              <w:rPr>
                <w:rFonts w:ascii="Arial" w:cs="Arial" w:eastAsia="Arial" w:hAnsi="Arial"/>
                <w:sz w:val="17"/>
                <w:szCs w:val="17"/>
                <w:color w:val="auto"/>
              </w:rPr>
              <w:t>Stock compensation expense</w:t>
            </w: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2,755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2,755</w:t>
            </w:r>
          </w:p>
        </w:tc>
        <w:tc>
          <w:tcPr>
            <w:tcW w:w="20" w:type="dxa"/>
            <w:vAlign w:val="bottom"/>
          </w:tcPr>
          <w:p>
            <w:pPr>
              <w:spacing w:after="0"/>
              <w:rPr>
                <w:sz w:val="17"/>
                <w:szCs w:val="17"/>
                <w:color w:val="auto"/>
              </w:rPr>
            </w:pPr>
          </w:p>
        </w:tc>
      </w:tr>
      <w:tr>
        <w:trPr>
          <w:trHeight w:val="202"/>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(19,039)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(19,039)</w:t>
            </w:r>
          </w:p>
        </w:tc>
        <w:tc>
          <w:tcPr>
            <w:tcW w:w="20" w:type="dxa"/>
            <w:vAlign w:val="bottom"/>
          </w:tcPr>
          <w:p>
            <w:pPr>
              <w:spacing w:after="0"/>
              <w:rPr>
                <w:sz w:val="17"/>
                <w:szCs w:val="17"/>
                <w:color w:val="auto"/>
              </w:rPr>
            </w:pPr>
          </w:p>
        </w:tc>
      </w:tr>
      <w:tr>
        <w:trPr>
          <w:trHeight w:val="215"/>
        </w:trPr>
        <w:tc>
          <w:tcPr>
            <w:tcW w:w="4200" w:type="dxa"/>
            <w:vAlign w:val="bottom"/>
            <w:tcBorders>
              <w:bottom w:val="single" w:sz="8" w:color="CCEEFF"/>
            </w:tcBorders>
            <w:gridSpan w:val="2"/>
          </w:tcPr>
          <w:p>
            <w:pPr>
              <w:ind w:left="160"/>
              <w:spacing w:after="0"/>
              <w:rPr>
                <w:sz w:val="20"/>
                <w:szCs w:val="20"/>
                <w:color w:val="auto"/>
              </w:rPr>
            </w:pPr>
            <w:r>
              <w:rPr>
                <w:rFonts w:ascii="Arial" w:cs="Arial" w:eastAsia="Arial" w:hAnsi="Arial"/>
                <w:sz w:val="17"/>
                <w:szCs w:val="17"/>
                <w:color w:val="auto"/>
              </w:rPr>
              <w:t>Other comprehensive loss</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(3,651)</w:t>
            </w:r>
          </w:p>
        </w:tc>
        <w:tc>
          <w:tcPr>
            <w:tcW w:w="20" w:type="dxa"/>
            <w:vAlign w:val="bottom"/>
          </w:tcPr>
          <w:p>
            <w:pPr>
              <w:spacing w:after="0"/>
              <w:rPr>
                <w:sz w:val="18"/>
                <w:szCs w:val="18"/>
                <w:color w:val="auto"/>
              </w:rPr>
            </w:pPr>
          </w:p>
        </w:tc>
      </w:tr>
      <w:tr>
        <w:trPr>
          <w:trHeight w:val="195"/>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31, 2015</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41,725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416</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211,457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(111,723)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(11,884)</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(10,668)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77,598</w:t>
            </w:r>
          </w:p>
        </w:tc>
        <w:tc>
          <w:tcPr>
            <w:tcW w:w="20" w:type="dxa"/>
            <w:vAlign w:val="bottom"/>
          </w:tcPr>
          <w:p>
            <w:pPr>
              <w:spacing w:after="0"/>
              <w:rPr>
                <w:sz w:val="16"/>
                <w:szCs w:val="16"/>
                <w:color w:val="auto"/>
              </w:rPr>
            </w:pPr>
          </w:p>
        </w:tc>
      </w:tr>
      <w:tr>
        <w:trPr>
          <w:trHeight w:val="202"/>
        </w:trPr>
        <w:tc>
          <w:tcPr>
            <w:tcW w:w="4200" w:type="dxa"/>
            <w:vAlign w:val="bottom"/>
            <w:gridSpan w:val="2"/>
          </w:tcPr>
          <w:p>
            <w:pPr>
              <w:ind w:left="160"/>
              <w:spacing w:after="0"/>
              <w:rPr>
                <w:sz w:val="20"/>
                <w:szCs w:val="20"/>
                <w:color w:val="auto"/>
              </w:rPr>
            </w:pPr>
            <w:r>
              <w:rPr>
                <w:rFonts w:ascii="Arial" w:cs="Arial" w:eastAsia="Arial" w:hAnsi="Arial"/>
                <w:sz w:val="17"/>
                <w:szCs w:val="17"/>
                <w:color w:val="auto"/>
              </w:rPr>
              <w:t>Stock option exercises</w:t>
            </w: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375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7"/>
                <w:szCs w:val="17"/>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167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171</w:t>
            </w:r>
          </w:p>
        </w:tc>
        <w:tc>
          <w:tcPr>
            <w:tcW w:w="20" w:type="dxa"/>
            <w:vAlign w:val="bottom"/>
          </w:tcPr>
          <w:p>
            <w:pPr>
              <w:spacing w:after="0"/>
              <w:rPr>
                <w:sz w:val="17"/>
                <w:szCs w:val="17"/>
                <w:color w:val="auto"/>
              </w:rPr>
            </w:pPr>
          </w:p>
        </w:tc>
      </w:tr>
      <w:tr>
        <w:trPr>
          <w:trHeight w:val="202"/>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Stock purchase plan</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196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196</w:t>
            </w:r>
          </w:p>
        </w:tc>
        <w:tc>
          <w:tcPr>
            <w:tcW w:w="20" w:type="dxa"/>
            <w:vAlign w:val="bottom"/>
          </w:tcPr>
          <w:p>
            <w:pPr>
              <w:spacing w:after="0"/>
              <w:rPr>
                <w:sz w:val="17"/>
                <w:szCs w:val="17"/>
                <w:color w:val="auto"/>
              </w:rPr>
            </w:pPr>
          </w:p>
        </w:tc>
      </w:tr>
      <w:tr>
        <w:trPr>
          <w:trHeight w:val="202"/>
        </w:trPr>
        <w:tc>
          <w:tcPr>
            <w:tcW w:w="4200" w:type="dxa"/>
            <w:vAlign w:val="bottom"/>
            <w:gridSpan w:val="2"/>
          </w:tcPr>
          <w:p>
            <w:pPr>
              <w:ind w:left="160"/>
              <w:spacing w:after="0"/>
              <w:rPr>
                <w:sz w:val="20"/>
                <w:szCs w:val="20"/>
                <w:color w:val="auto"/>
              </w:rPr>
            </w:pPr>
            <w:r>
              <w:rPr>
                <w:rFonts w:ascii="Arial" w:cs="Arial" w:eastAsia="Arial" w:hAnsi="Arial"/>
                <w:sz w:val="17"/>
                <w:szCs w:val="17"/>
                <w:color w:val="auto"/>
              </w:rPr>
              <w:t>Vesting of restricted stock units</w:t>
            </w: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302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2"/>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Shares withheld for taxes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20" w:type="dxa"/>
            <w:vAlign w:val="bottom"/>
          </w:tcPr>
          <w:p>
            <w:pPr>
              <w:spacing w:after="0"/>
              <w:rPr>
                <w:sz w:val="17"/>
                <w:szCs w:val="17"/>
                <w:color w:val="auto"/>
              </w:rPr>
            </w:pPr>
          </w:p>
        </w:tc>
      </w:tr>
      <w:tr>
        <w:trPr>
          <w:trHeight w:val="202"/>
        </w:trPr>
        <w:tc>
          <w:tcPr>
            <w:tcW w:w="4200" w:type="dxa"/>
            <w:vAlign w:val="bottom"/>
            <w:gridSpan w:val="2"/>
          </w:tcPr>
          <w:p>
            <w:pPr>
              <w:ind w:left="160"/>
              <w:spacing w:after="0"/>
              <w:rPr>
                <w:sz w:val="20"/>
                <w:szCs w:val="20"/>
                <w:color w:val="auto"/>
              </w:rPr>
            </w:pPr>
            <w:r>
              <w:rPr>
                <w:rFonts w:ascii="Arial" w:cs="Arial" w:eastAsia="Arial" w:hAnsi="Arial"/>
                <w:sz w:val="17"/>
                <w:szCs w:val="17"/>
                <w:color w:val="auto"/>
              </w:rPr>
              <w:t>Stock compensation expense</w:t>
            </w: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3,497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3,497</w:t>
            </w:r>
          </w:p>
        </w:tc>
        <w:tc>
          <w:tcPr>
            <w:tcW w:w="20" w:type="dxa"/>
            <w:vAlign w:val="bottom"/>
          </w:tcPr>
          <w:p>
            <w:pPr>
              <w:spacing w:after="0"/>
              <w:rPr>
                <w:sz w:val="17"/>
                <w:szCs w:val="17"/>
                <w:color w:val="auto"/>
              </w:rPr>
            </w:pPr>
          </w:p>
        </w:tc>
      </w:tr>
      <w:tr>
        <w:trPr>
          <w:trHeight w:val="202"/>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Net loss</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(4,307)</w:t>
            </w:r>
          </w:p>
        </w:tc>
        <w:tc>
          <w:tcPr>
            <w:tcW w:w="20" w:type="dxa"/>
            <w:vAlign w:val="bottom"/>
          </w:tcPr>
          <w:p>
            <w:pPr>
              <w:spacing w:after="0"/>
              <w:rPr>
                <w:sz w:val="17"/>
                <w:szCs w:val="17"/>
                <w:color w:val="auto"/>
              </w:rPr>
            </w:pPr>
          </w:p>
        </w:tc>
      </w:tr>
      <w:tr>
        <w:trPr>
          <w:trHeight w:val="215"/>
        </w:trPr>
        <w:tc>
          <w:tcPr>
            <w:tcW w:w="4200" w:type="dxa"/>
            <w:vAlign w:val="bottom"/>
            <w:tcBorders>
              <w:bottom w:val="single" w:sz="8" w:color="CCEEFF"/>
            </w:tcBorders>
            <w:gridSpan w:val="2"/>
          </w:tcPr>
          <w:p>
            <w:pPr>
              <w:ind w:left="160"/>
              <w:spacing w:after="0"/>
              <w:rPr>
                <w:sz w:val="20"/>
                <w:szCs w:val="20"/>
                <w:color w:val="auto"/>
              </w:rPr>
            </w:pPr>
            <w:r>
              <w:rPr>
                <w:rFonts w:ascii="Arial" w:cs="Arial" w:eastAsia="Arial" w:hAnsi="Arial"/>
                <w:sz w:val="17"/>
                <w:szCs w:val="17"/>
                <w:color w:val="auto"/>
              </w:rPr>
              <w:t>Other comprehensive loss</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(4,774)</w:t>
            </w:r>
          </w:p>
        </w:tc>
        <w:tc>
          <w:tcPr>
            <w:tcW w:w="20" w:type="dxa"/>
            <w:vAlign w:val="bottom"/>
          </w:tcPr>
          <w:p>
            <w:pPr>
              <w:spacing w:after="0"/>
              <w:rPr>
                <w:sz w:val="18"/>
                <w:szCs w:val="18"/>
                <w:color w:val="auto"/>
              </w:rPr>
            </w:pPr>
          </w:p>
        </w:tc>
      </w:tr>
      <w:tr>
        <w:trPr>
          <w:trHeight w:val="195"/>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31, 2016</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42,187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418</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215,134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(116,030)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(16,658)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(10,668)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72,196</w:t>
            </w:r>
          </w:p>
        </w:tc>
        <w:tc>
          <w:tcPr>
            <w:tcW w:w="20" w:type="dxa"/>
            <w:vAlign w:val="bottom"/>
          </w:tcPr>
          <w:p>
            <w:pPr>
              <w:spacing w:after="0"/>
              <w:rPr>
                <w:sz w:val="16"/>
                <w:szCs w:val="16"/>
                <w:color w:val="auto"/>
              </w:rPr>
            </w:pPr>
          </w:p>
        </w:tc>
      </w:tr>
      <w:tr>
        <w:trPr>
          <w:trHeight w:val="202"/>
        </w:trPr>
        <w:tc>
          <w:tcPr>
            <w:tcW w:w="4200" w:type="dxa"/>
            <w:vAlign w:val="bottom"/>
            <w:gridSpan w:val="2"/>
          </w:tcPr>
          <w:p>
            <w:pPr>
              <w:ind w:left="160"/>
              <w:spacing w:after="0"/>
              <w:rPr>
                <w:sz w:val="20"/>
                <w:szCs w:val="20"/>
                <w:color w:val="auto"/>
              </w:rPr>
            </w:pPr>
            <w:r>
              <w:rPr>
                <w:rFonts w:ascii="Arial" w:cs="Arial" w:eastAsia="Arial" w:hAnsi="Arial"/>
                <w:sz w:val="17"/>
                <w:szCs w:val="17"/>
                <w:color w:val="auto"/>
              </w:rPr>
              <w:t>Share based payment change in accounting principle</w:t>
            </w: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72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2"/>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Stock option exercises</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143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188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190</w:t>
            </w:r>
          </w:p>
        </w:tc>
        <w:tc>
          <w:tcPr>
            <w:tcW w:w="20" w:type="dxa"/>
            <w:vAlign w:val="bottom"/>
          </w:tcPr>
          <w:p>
            <w:pPr>
              <w:spacing w:after="0"/>
              <w:rPr>
                <w:sz w:val="17"/>
                <w:szCs w:val="17"/>
                <w:color w:val="auto"/>
              </w:rPr>
            </w:pPr>
          </w:p>
        </w:tc>
      </w:tr>
      <w:tr>
        <w:trPr>
          <w:trHeight w:val="202"/>
        </w:trPr>
        <w:tc>
          <w:tcPr>
            <w:tcW w:w="4200" w:type="dxa"/>
            <w:vAlign w:val="bottom"/>
            <w:gridSpan w:val="2"/>
          </w:tcPr>
          <w:p>
            <w:pPr>
              <w:ind w:left="160"/>
              <w:spacing w:after="0"/>
              <w:rPr>
                <w:sz w:val="20"/>
                <w:szCs w:val="20"/>
                <w:color w:val="auto"/>
              </w:rPr>
            </w:pPr>
            <w:r>
              <w:rPr>
                <w:rFonts w:ascii="Arial" w:cs="Arial" w:eastAsia="Arial" w:hAnsi="Arial"/>
                <w:sz w:val="17"/>
                <w:szCs w:val="17"/>
                <w:color w:val="auto"/>
              </w:rPr>
              <w:t>Stock purchase plan, net</w:t>
            </w: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76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140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140</w:t>
            </w:r>
          </w:p>
        </w:tc>
        <w:tc>
          <w:tcPr>
            <w:tcW w:w="20" w:type="dxa"/>
            <w:vAlign w:val="bottom"/>
          </w:tcPr>
          <w:p>
            <w:pPr>
              <w:spacing w:after="0"/>
              <w:rPr>
                <w:sz w:val="17"/>
                <w:szCs w:val="17"/>
                <w:color w:val="auto"/>
              </w:rPr>
            </w:pPr>
          </w:p>
        </w:tc>
      </w:tr>
      <w:tr>
        <w:trPr>
          <w:trHeight w:val="202"/>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Vesting of restricted stock units</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489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2"/>
        </w:trPr>
        <w:tc>
          <w:tcPr>
            <w:tcW w:w="4200" w:type="dxa"/>
            <w:vAlign w:val="bottom"/>
            <w:gridSpan w:val="2"/>
          </w:tcPr>
          <w:p>
            <w:pPr>
              <w:ind w:left="160"/>
              <w:spacing w:after="0"/>
              <w:rPr>
                <w:sz w:val="20"/>
                <w:szCs w:val="20"/>
                <w:color w:val="auto"/>
              </w:rPr>
            </w:pPr>
            <w:r>
              <w:rPr>
                <w:rFonts w:ascii="Arial" w:cs="Arial" w:eastAsia="Arial" w:hAnsi="Arial"/>
                <w:sz w:val="17"/>
                <w:szCs w:val="17"/>
                <w:color w:val="auto"/>
              </w:rPr>
              <w:t>Shares withheld for taxes</w:t>
            </w:r>
          </w:p>
        </w:tc>
        <w:tc>
          <w:tcPr>
            <w:tcW w:w="780" w:type="dxa"/>
            <w:vAlign w:val="bottom"/>
          </w:tcPr>
          <w:p>
            <w:pPr>
              <w:jc w:val="right"/>
              <w:spacing w:after="0"/>
              <w:rPr>
                <w:sz w:val="20"/>
                <w:szCs w:val="20"/>
                <w:color w:val="auto"/>
              </w:rPr>
            </w:pPr>
            <w:r>
              <w:rPr>
                <w:rFonts w:ascii="Arial" w:cs="Arial" w:eastAsia="Arial" w:hAnsi="Arial"/>
                <w:sz w:val="17"/>
                <w:szCs w:val="17"/>
                <w:color w:val="auto"/>
              </w:rPr>
              <w:t>(131)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(243)</w:t>
            </w:r>
          </w:p>
        </w:tc>
        <w:tc>
          <w:tcPr>
            <w:tcW w:w="20" w:type="dxa"/>
            <w:vAlign w:val="bottom"/>
          </w:tcPr>
          <w:p>
            <w:pPr>
              <w:spacing w:after="0"/>
              <w:rPr>
                <w:sz w:val="17"/>
                <w:szCs w:val="17"/>
                <w:color w:val="auto"/>
              </w:rPr>
            </w:pPr>
          </w:p>
        </w:tc>
      </w:tr>
      <w:tr>
        <w:trPr>
          <w:trHeight w:val="202"/>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Stock compensation expense</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3,500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3,500</w:t>
            </w:r>
          </w:p>
        </w:tc>
        <w:tc>
          <w:tcPr>
            <w:tcW w:w="20" w:type="dxa"/>
            <w:vAlign w:val="bottom"/>
          </w:tcPr>
          <w:p>
            <w:pPr>
              <w:spacing w:after="0"/>
              <w:rPr>
                <w:sz w:val="17"/>
                <w:szCs w:val="17"/>
                <w:color w:val="auto"/>
              </w:rPr>
            </w:pPr>
          </w:p>
        </w:tc>
      </w:tr>
      <w:tr>
        <w:trPr>
          <w:trHeight w:val="202"/>
        </w:trPr>
        <w:tc>
          <w:tcPr>
            <w:tcW w:w="4200" w:type="dxa"/>
            <w:vAlign w:val="bottom"/>
            <w:gridSpan w:val="2"/>
          </w:tcPr>
          <w:p>
            <w:pPr>
              <w:ind w:left="160"/>
              <w:spacing w:after="0"/>
              <w:rPr>
                <w:sz w:val="20"/>
                <w:szCs w:val="20"/>
                <w:color w:val="auto"/>
              </w:rPr>
            </w:pPr>
            <w:r>
              <w:rPr>
                <w:rFonts w:ascii="Arial" w:cs="Arial" w:eastAsia="Arial" w:hAnsi="Arial"/>
                <w:sz w:val="17"/>
                <w:szCs w:val="17"/>
                <w:color w:val="auto"/>
              </w:rPr>
              <w:t>Net loss</w:t>
            </w: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(865)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(865)</w:t>
            </w:r>
          </w:p>
        </w:tc>
        <w:tc>
          <w:tcPr>
            <w:tcW w:w="20" w:type="dxa"/>
            <w:vAlign w:val="bottom"/>
          </w:tcPr>
          <w:p>
            <w:pPr>
              <w:spacing w:after="0"/>
              <w:rPr>
                <w:sz w:val="17"/>
                <w:szCs w:val="17"/>
                <w:color w:val="auto"/>
              </w:rPr>
            </w:pPr>
          </w:p>
        </w:tc>
      </w:tr>
      <w:tr>
        <w:trPr>
          <w:trHeight w:val="215"/>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 comprehensive income</w:t>
            </w: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5,982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5,982</w:t>
            </w:r>
          </w:p>
        </w:tc>
        <w:tc>
          <w:tcPr>
            <w:tcW w:w="20" w:type="dxa"/>
            <w:vAlign w:val="bottom"/>
          </w:tcPr>
          <w:p>
            <w:pPr>
              <w:spacing w:after="0"/>
              <w:rPr>
                <w:sz w:val="18"/>
                <w:szCs w:val="18"/>
                <w:color w:val="auto"/>
              </w:rPr>
            </w:pPr>
          </w:p>
        </w:tc>
      </w:tr>
      <w:tr>
        <w:trPr>
          <w:trHeight w:val="208"/>
        </w:trPr>
        <w:tc>
          <w:tcPr>
            <w:tcW w:w="4200" w:type="dxa"/>
            <w:vAlign w:val="bottom"/>
            <w:gridSpan w:val="2"/>
          </w:tcPr>
          <w:p>
            <w:pPr>
              <w:spacing w:after="0"/>
              <w:rPr>
                <w:sz w:val="20"/>
                <w:szCs w:val="20"/>
                <w:color w:val="auto"/>
              </w:rPr>
            </w:pPr>
            <w:r>
              <w:rPr>
                <w:rFonts w:ascii="Arial" w:cs="Arial" w:eastAsia="Arial" w:hAnsi="Arial"/>
                <w:sz w:val="17"/>
                <w:szCs w:val="17"/>
                <w:color w:val="auto"/>
              </w:rPr>
              <w:t>Balance at December 31, 2017</w:t>
            </w: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42,764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419</w:t>
            </w:r>
          </w:p>
        </w:tc>
        <w:tc>
          <w:tcPr>
            <w:tcW w:w="18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w w:val="87"/>
              </w:rPr>
              <w:t>$ 218,792</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6"/>
              </w:rPr>
              <w:t>(116,967)</w:t>
            </w:r>
          </w:p>
        </w:tc>
        <w:tc>
          <w:tcPr>
            <w:tcW w:w="80" w:type="dxa"/>
            <w:vAlign w:val="bottom"/>
          </w:tcPr>
          <w:p>
            <w:pPr>
              <w:spacing w:after="0"/>
              <w:rPr>
                <w:sz w:val="18"/>
                <w:szCs w:val="18"/>
                <w:color w:val="auto"/>
              </w:rPr>
            </w:pPr>
          </w:p>
        </w:tc>
        <w:tc>
          <w:tcPr>
            <w:tcW w:w="300" w:type="dxa"/>
            <w:vAlign w:val="bottom"/>
            <w:gridSpan w:val="2"/>
          </w:tcPr>
          <w:p>
            <w:pPr>
              <w:jc w:val="right"/>
              <w:ind w:right="36"/>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(10,676)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4"/>
              </w:rPr>
              <w:t>(10,668)</w:t>
            </w:r>
          </w:p>
        </w:tc>
        <w:tc>
          <w:tcPr>
            <w:tcW w:w="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80,900</w:t>
            </w:r>
          </w:p>
        </w:tc>
        <w:tc>
          <w:tcPr>
            <w:tcW w:w="2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40"/>
          </w:cols>
          <w:pgMar w:left="240" w:top="210" w:right="21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HARVARD BIOSCIENCE,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20" w:type="dxa"/>
            <w:vAlign w:val="bottom"/>
            <w:gridSpan w:val="6"/>
          </w:tcPr>
          <w:p>
            <w:pPr>
              <w:jc w:val="right"/>
              <w:ind w:right="246"/>
              <w:spacing w:after="0"/>
              <w:rPr>
                <w:sz w:val="20"/>
                <w:szCs w:val="20"/>
                <w:color w:val="auto"/>
              </w:rPr>
            </w:pPr>
            <w:r>
              <w:rPr>
                <w:rFonts w:ascii="Arial" w:cs="Arial" w:eastAsia="Arial" w:hAnsi="Arial"/>
                <w:sz w:val="17"/>
                <w:szCs w:val="17"/>
                <w:b w:val="1"/>
                <w:bCs w:val="1"/>
                <w:color w:val="auto"/>
                <w:w w:val="90"/>
              </w:rPr>
              <w:t>Year Ended December 31,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2017</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6"/>
              <w:spacing w:after="0"/>
              <w:rPr>
                <w:sz w:val="20"/>
                <w:szCs w:val="20"/>
                <w:color w:val="auto"/>
              </w:rPr>
            </w:pPr>
            <w:r>
              <w:rPr>
                <w:rFonts w:ascii="Arial" w:cs="Arial" w:eastAsia="Arial" w:hAnsi="Arial"/>
                <w:sz w:val="17"/>
                <w:szCs w:val="17"/>
                <w:b w:val="1"/>
                <w:bCs w:val="1"/>
                <w:color w:val="auto"/>
              </w:rPr>
              <w:t>2016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36"/>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5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140"/>
              <w:spacing w:after="0"/>
              <w:rPr>
                <w:sz w:val="20"/>
                <w:szCs w:val="20"/>
                <w:color w:val="auto"/>
              </w:rPr>
            </w:pPr>
            <w:r>
              <w:rPr>
                <w:rFonts w:ascii="Arial" w:cs="Arial" w:eastAsia="Arial" w:hAnsi="Arial"/>
                <w:sz w:val="17"/>
                <w:szCs w:val="17"/>
                <w:color w:val="auto"/>
              </w:rPr>
              <w:t>Net loss</w:t>
            </w:r>
          </w:p>
        </w:tc>
        <w:tc>
          <w:tcPr>
            <w:tcW w:w="1520" w:type="dxa"/>
            <w:vAlign w:val="bottom"/>
            <w:gridSpan w:val="2"/>
          </w:tcPr>
          <w:p>
            <w:pPr>
              <w:jc w:val="right"/>
              <w:ind w:right="9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(865)</w:t>
            </w:r>
          </w:p>
        </w:tc>
        <w:tc>
          <w:tcPr>
            <w:tcW w:w="5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(4,307)</w:t>
            </w:r>
          </w:p>
        </w:tc>
        <w:tc>
          <w:tcPr>
            <w:tcW w:w="120" w:type="dxa"/>
            <w:vAlign w:val="bottom"/>
          </w:tcPr>
          <w:p>
            <w:pPr>
              <w:spacing w:after="0"/>
              <w:rPr>
                <w:sz w:val="17"/>
                <w:szCs w:val="17"/>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(19,039)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8"/>
              </w:rPr>
              <w:t>Adjustments to reconcile net loss to net cash provided by operating activities:</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320"/>
              <w:spacing w:after="0"/>
              <w:rPr>
                <w:sz w:val="20"/>
                <w:szCs w:val="20"/>
                <w:color w:val="auto"/>
              </w:rPr>
            </w:pPr>
            <w:r>
              <w:rPr>
                <w:rFonts w:ascii="Arial" w:cs="Arial" w:eastAsia="Arial" w:hAnsi="Arial"/>
                <w:sz w:val="17"/>
                <w:szCs w:val="17"/>
                <w:color w:val="auto"/>
              </w:rPr>
              <w:t>Stock compensation expense</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3,500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3,497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2,755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1,532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320"/>
              <w:spacing w:after="0"/>
              <w:rPr>
                <w:sz w:val="20"/>
                <w:szCs w:val="20"/>
                <w:color w:val="auto"/>
              </w:rPr>
            </w:pPr>
            <w:r>
              <w:rPr>
                <w:rFonts w:ascii="Arial" w:cs="Arial" w:eastAsia="Arial" w:hAnsi="Arial"/>
                <w:sz w:val="17"/>
                <w:szCs w:val="17"/>
                <w:color w:val="auto"/>
              </w:rPr>
              <w:t>Impairment charges</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676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 on sale of AHN</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1,190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320"/>
              <w:spacing w:after="0"/>
              <w:rPr>
                <w:sz w:val="20"/>
                <w:szCs w:val="20"/>
                <w:color w:val="auto"/>
              </w:rPr>
            </w:pPr>
            <w:r>
              <w:rPr>
                <w:rFonts w:ascii="Arial" w:cs="Arial" w:eastAsia="Arial" w:hAnsi="Arial"/>
                <w:sz w:val="17"/>
                <w:szCs w:val="17"/>
                <w:color w:val="auto"/>
              </w:rPr>
              <w:t>(Gain) loss on sale of assets, net</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Non-cash restructuring (credit)</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320"/>
              <w:spacing w:after="0"/>
              <w:rPr>
                <w:sz w:val="20"/>
                <w:szCs w:val="20"/>
                <w:color w:val="auto"/>
              </w:rPr>
            </w:pPr>
            <w:r>
              <w:rPr>
                <w:rFonts w:ascii="Arial" w:cs="Arial" w:eastAsia="Arial" w:hAnsi="Arial"/>
                <w:sz w:val="17"/>
                <w:szCs w:val="17"/>
                <w:color w:val="auto"/>
              </w:rPr>
              <w:t>Amortization of catalog costs</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(Recovery of) provision for allowance for doubtful accounts</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309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320"/>
              <w:spacing w:after="0"/>
              <w:rPr>
                <w:sz w:val="20"/>
                <w:szCs w:val="20"/>
                <w:color w:val="auto"/>
              </w:rPr>
            </w:pPr>
            <w:r>
              <w:rPr>
                <w:rFonts w:ascii="Arial" w:cs="Arial" w:eastAsia="Arial" w:hAnsi="Arial"/>
                <w:sz w:val="17"/>
                <w:szCs w:val="17"/>
                <w:color w:val="auto"/>
              </w:rPr>
              <w:t>Amortization of intangible assets</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2,442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2,722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2,819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deferred financing costs</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320"/>
              <w:spacing w:after="0"/>
              <w:rPr>
                <w:sz w:val="20"/>
                <w:szCs w:val="20"/>
                <w:color w:val="auto"/>
              </w:rPr>
            </w:pPr>
            <w:r>
              <w:rPr>
                <w:rFonts w:ascii="Arial" w:cs="Arial" w:eastAsia="Arial" w:hAnsi="Arial"/>
                <w:sz w:val="17"/>
                <w:szCs w:val="17"/>
                <w:color w:val="auto"/>
              </w:rPr>
              <w:t>Deferred income taxes</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6"/>
              </w:rPr>
              <w:t>(1,584)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15,116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480"/>
              <w:spacing w:after="0"/>
              <w:rPr>
                <w:sz w:val="20"/>
                <w:szCs w:val="20"/>
                <w:color w:val="auto"/>
              </w:rPr>
            </w:pPr>
            <w:r>
              <w:rPr>
                <w:rFonts w:ascii="Arial" w:cs="Arial" w:eastAsia="Arial" w:hAnsi="Arial"/>
                <w:sz w:val="17"/>
                <w:szCs w:val="17"/>
                <w:color w:val="auto"/>
              </w:rPr>
              <w:t>Decrease (increase) in accounts receivable</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566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(Increase) decrease in inventories</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1,248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480"/>
              <w:spacing w:after="0"/>
              <w:rPr>
                <w:sz w:val="20"/>
                <w:szCs w:val="20"/>
                <w:color w:val="auto"/>
              </w:rPr>
            </w:pPr>
            <w:r>
              <w:rPr>
                <w:rFonts w:ascii="Arial" w:cs="Arial" w:eastAsia="Arial" w:hAnsi="Arial"/>
                <w:sz w:val="17"/>
                <w:szCs w:val="17"/>
                <w:color w:val="auto"/>
              </w:rPr>
              <w:t>(Increase) decrease in other receivables and other assets</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(658)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755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(Decrease) increase in trade accounts payable</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2,577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480"/>
              <w:spacing w:after="0"/>
              <w:rPr>
                <w:sz w:val="20"/>
                <w:szCs w:val="20"/>
                <w:color w:val="auto"/>
              </w:rPr>
            </w:pPr>
            <w:r>
              <w:rPr>
                <w:rFonts w:ascii="Arial" w:cs="Arial" w:eastAsia="Arial" w:hAnsi="Arial"/>
                <w:sz w:val="17"/>
                <w:szCs w:val="17"/>
                <w:color w:val="auto"/>
              </w:rPr>
              <w:t>Decrease (increase) in accrued income taxes</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(Decrease) increase in accrued expenses</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871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480"/>
              <w:spacing w:after="0"/>
              <w:rPr>
                <w:sz w:val="20"/>
                <w:szCs w:val="20"/>
                <w:color w:val="auto"/>
              </w:rPr>
            </w:pPr>
            <w:r>
              <w:rPr>
                <w:rFonts w:ascii="Arial" w:cs="Arial" w:eastAsia="Arial" w:hAnsi="Arial"/>
                <w:sz w:val="17"/>
                <w:szCs w:val="17"/>
                <w:color w:val="auto"/>
              </w:rPr>
              <w:t>Increase (decrease) in deferred revenue</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(Decrease) increase in other liabilities</w:t>
            </w:r>
          </w:p>
        </w:tc>
        <w:tc>
          <w:tcPr>
            <w:tcW w:w="5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(2,010)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727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80" w:type="dxa"/>
            <w:vAlign w:val="bottom"/>
            <w:tcBorders>
              <w:bottom w:val="single" w:sz="8" w:color="CCEEFF"/>
            </w:tcBorders>
          </w:tcPr>
          <w:p>
            <w:pPr>
              <w:ind w:left="660"/>
              <w:spacing w:after="0" w:line="194" w:lineRule="exact"/>
              <w:rPr>
                <w:sz w:val="20"/>
                <w:szCs w:val="20"/>
                <w:color w:val="auto"/>
              </w:rPr>
            </w:pPr>
            <w:r>
              <w:rPr>
                <w:rFonts w:ascii="Arial" w:cs="Arial" w:eastAsia="Arial" w:hAnsi="Arial"/>
                <w:sz w:val="17"/>
                <w:szCs w:val="17"/>
                <w:color w:val="auto"/>
              </w:rPr>
              <w:t>Net cash provided by operating activities</w:t>
            </w:r>
          </w:p>
        </w:tc>
        <w:tc>
          <w:tcPr>
            <w:tcW w:w="5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1,057</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5,383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705</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80" w:type="dxa"/>
            <w:vAlign w:val="bottom"/>
          </w:tcPr>
          <w:p>
            <w:pPr>
              <w:spacing w:after="0"/>
              <w:rPr>
                <w:sz w:val="20"/>
                <w:szCs w:val="20"/>
                <w:color w:val="auto"/>
              </w:rPr>
            </w:pPr>
            <w:r>
              <w:rPr>
                <w:rFonts w:ascii="Arial" w:cs="Arial" w:eastAsia="Arial" w:hAnsi="Arial"/>
                <w:sz w:val="17"/>
                <w:szCs w:val="17"/>
                <w:color w:val="auto"/>
              </w:rPr>
              <w:t>Cash flows (used in) provided by investing activities:</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Additions to property, plant and equipment</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140"/>
              <w:spacing w:after="0"/>
              <w:rPr>
                <w:sz w:val="20"/>
                <w:szCs w:val="20"/>
                <w:color w:val="auto"/>
              </w:rPr>
            </w:pPr>
            <w:r>
              <w:rPr>
                <w:rFonts w:ascii="Arial" w:cs="Arial" w:eastAsia="Arial" w:hAnsi="Arial"/>
                <w:sz w:val="17"/>
                <w:szCs w:val="17"/>
                <w:color w:val="auto"/>
              </w:rPr>
              <w:t>Additions to catalog costs</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disposition</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1,417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140"/>
              <w:spacing w:after="0"/>
              <w:rPr>
                <w:sz w:val="20"/>
                <w:szCs w:val="20"/>
                <w:color w:val="auto"/>
              </w:rPr>
            </w:pPr>
            <w:r>
              <w:rPr>
                <w:rFonts w:ascii="Arial" w:cs="Arial" w:eastAsia="Arial" w:hAnsi="Arial"/>
                <w:sz w:val="17"/>
                <w:szCs w:val="17"/>
                <w:color w:val="auto"/>
              </w:rPr>
              <w:t>Proceeds from sales of property, plant and equipment</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Acquisitions, net of cash acquired</w:t>
            </w:r>
          </w:p>
        </w:tc>
        <w:tc>
          <w:tcPr>
            <w:tcW w:w="5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80" w:type="dxa"/>
            <w:vAlign w:val="bottom"/>
            <w:tcBorders>
              <w:bottom w:val="single" w:sz="8" w:color="CCEEFF"/>
            </w:tcBorders>
          </w:tcPr>
          <w:p>
            <w:pPr>
              <w:ind w:left="320"/>
              <w:spacing w:after="0" w:line="194" w:lineRule="exact"/>
              <w:rPr>
                <w:sz w:val="20"/>
                <w:szCs w:val="20"/>
                <w:color w:val="auto"/>
              </w:rPr>
            </w:pPr>
            <w:r>
              <w:rPr>
                <w:rFonts w:ascii="Arial" w:cs="Arial" w:eastAsia="Arial" w:hAnsi="Arial"/>
                <w:sz w:val="17"/>
                <w:szCs w:val="17"/>
                <w:color w:val="auto"/>
              </w:rPr>
              <w:t>Net cash used in investing activities</w:t>
            </w:r>
          </w:p>
        </w:tc>
        <w:tc>
          <w:tcPr>
            <w:tcW w:w="5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(917)</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(7,517)</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80" w:type="dxa"/>
            <w:vAlign w:val="bottom"/>
          </w:tcPr>
          <w:p>
            <w:pPr>
              <w:spacing w:after="0"/>
              <w:rPr>
                <w:sz w:val="20"/>
                <w:szCs w:val="20"/>
                <w:color w:val="auto"/>
              </w:rPr>
            </w:pPr>
            <w:r>
              <w:rPr>
                <w:rFonts w:ascii="Arial" w:cs="Arial" w:eastAsia="Arial" w:hAnsi="Arial"/>
                <w:sz w:val="17"/>
                <w:szCs w:val="17"/>
                <w:color w:val="auto"/>
              </w:rPr>
              <w:t>Cash flows provided by (used in) financing activities:</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issuance of debt</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4,000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5,800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140"/>
              <w:spacing w:after="0"/>
              <w:rPr>
                <w:sz w:val="20"/>
                <w:szCs w:val="20"/>
                <w:color w:val="auto"/>
              </w:rPr>
            </w:pPr>
            <w:r>
              <w:rPr>
                <w:rFonts w:ascii="Arial" w:cs="Arial" w:eastAsia="Arial" w:hAnsi="Arial"/>
                <w:sz w:val="17"/>
                <w:szCs w:val="17"/>
                <w:color w:val="auto"/>
              </w:rPr>
              <w:t>Repayments of debt</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6"/>
              </w:rPr>
              <w:t>(4,702)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(9,050)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(8,350)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of debt issuance costs</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Net proceeds from issuance of common stock</w:t>
            </w:r>
          </w:p>
        </w:tc>
        <w:tc>
          <w:tcPr>
            <w:tcW w:w="5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182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2,042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cash used in financing activities</w:t>
            </w:r>
          </w:p>
        </w:tc>
        <w:tc>
          <w:tcPr>
            <w:tcW w:w="5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(1,792)</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(4,868)</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w:t>
            </w:r>
          </w:p>
        </w:tc>
        <w:tc>
          <w:tcPr>
            <w:tcW w:w="5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1,789</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Increase (decrease) in cash and cash equivalents</w:t>
            </w: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(1,148)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(7,390)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the beginning of period</w:t>
            </w:r>
          </w:p>
        </w:tc>
        <w:tc>
          <w:tcPr>
            <w:tcW w:w="5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5,596</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6,744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14,134</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880" w:type="dxa"/>
            <w:vAlign w:val="bottom"/>
          </w:tcPr>
          <w:p>
            <w:pPr>
              <w:spacing w:after="0" w:line="194" w:lineRule="exact"/>
              <w:rPr>
                <w:sz w:val="20"/>
                <w:szCs w:val="20"/>
                <w:color w:val="auto"/>
              </w:rPr>
            </w:pPr>
            <w:r>
              <w:rPr>
                <w:rFonts w:ascii="Arial" w:cs="Arial" w:eastAsia="Arial" w:hAnsi="Arial"/>
                <w:sz w:val="17"/>
                <w:szCs w:val="17"/>
                <w:color w:val="auto"/>
              </w:rPr>
              <w:t>Cash and cash equivalents at the end of period</w:t>
            </w:r>
          </w:p>
        </w:tc>
        <w:tc>
          <w:tcPr>
            <w:tcW w:w="1520" w:type="dxa"/>
            <w:vAlign w:val="bottom"/>
            <w:gridSpan w:val="2"/>
          </w:tcPr>
          <w:p>
            <w:pPr>
              <w:jc w:val="right"/>
              <w:ind w:right="9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5,733</w:t>
            </w:r>
          </w:p>
        </w:tc>
        <w:tc>
          <w:tcPr>
            <w:tcW w:w="5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5,596</w:t>
            </w:r>
          </w:p>
        </w:tc>
        <w:tc>
          <w:tcPr>
            <w:tcW w:w="120" w:type="dxa"/>
            <w:vAlign w:val="bottom"/>
          </w:tcPr>
          <w:p>
            <w:pPr>
              <w:spacing w:after="0"/>
              <w:rPr>
                <w:sz w:val="21"/>
                <w:szCs w:val="21"/>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6,744</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8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80" w:type="dxa"/>
            <w:vAlign w:val="bottom"/>
          </w:tcPr>
          <w:p>
            <w:pPr>
              <w:spacing w:after="0"/>
              <w:rPr>
                <w:sz w:val="20"/>
                <w:szCs w:val="20"/>
                <w:color w:val="auto"/>
              </w:rPr>
            </w:pPr>
            <w:r>
              <w:rPr>
                <w:rFonts w:ascii="Arial" w:cs="Arial" w:eastAsia="Arial" w:hAnsi="Arial"/>
                <w:sz w:val="17"/>
                <w:szCs w:val="17"/>
                <w:color w:val="auto"/>
              </w:rPr>
              <w:t>Supplemental disclosures of cash flow information:</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paid for interest</w:t>
            </w:r>
          </w:p>
        </w:tc>
        <w:tc>
          <w:tcPr>
            <w:tcW w:w="1520" w:type="dxa"/>
            <w:vAlign w:val="bottom"/>
            <w:gridSpan w:val="2"/>
            <w:shd w:val="clear" w:color="auto" w:fill="CCEEFF"/>
          </w:tcPr>
          <w:p>
            <w:pPr>
              <w:jc w:val="right"/>
              <w:ind w:right="9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620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854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7"/>
                <w:szCs w:val="17"/>
                <w:color w:val="auto"/>
              </w:rPr>
              <w:t>Cash paid for income taxes, net of refunds</w:t>
            </w:r>
          </w:p>
        </w:tc>
        <w:tc>
          <w:tcPr>
            <w:tcW w:w="1520" w:type="dxa"/>
            <w:vAlign w:val="bottom"/>
            <w:gridSpan w:val="2"/>
          </w:tcPr>
          <w:p>
            <w:pPr>
              <w:jc w:val="right"/>
              <w:ind w:right="9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(13)</w:t>
            </w:r>
          </w:p>
        </w:tc>
        <w:tc>
          <w:tcPr>
            <w:tcW w:w="5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928</w:t>
            </w:r>
          </w:p>
        </w:tc>
        <w:tc>
          <w:tcPr>
            <w:tcW w:w="12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963</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HARVARD BIOSCIENCE,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4" w:lineRule="exact"/>
        <w:rPr>
          <w:sz w:val="20"/>
          <w:szCs w:val="20"/>
          <w:color w:val="auto"/>
        </w:rPr>
      </w:pPr>
    </w:p>
    <w:p>
      <w:pPr>
        <w:ind w:left="340" w:hanging="339"/>
        <w:spacing w:after="0"/>
        <w:tabs>
          <w:tab w:leader="none" w:pos="34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w:t>
      </w:r>
    </w:p>
    <w:p>
      <w:pPr>
        <w:spacing w:after="0" w:line="315" w:lineRule="exact"/>
        <w:rPr>
          <w:sz w:val="20"/>
          <w:szCs w:val="20"/>
          <w:color w:val="auto"/>
        </w:rPr>
      </w:pPr>
    </w:p>
    <w:p>
      <w:pPr>
        <w:ind w:right="220" w:firstLine="412"/>
        <w:spacing w:after="0" w:line="254" w:lineRule="auto"/>
        <w:rPr>
          <w:sz w:val="20"/>
          <w:szCs w:val="20"/>
          <w:color w:val="auto"/>
        </w:rPr>
      </w:pPr>
      <w:r>
        <w:rPr>
          <w:rFonts w:ascii="Arial" w:cs="Arial" w:eastAsia="Arial" w:hAnsi="Arial"/>
          <w:sz w:val="17"/>
          <w:szCs w:val="17"/>
          <w:color w:val="auto"/>
        </w:rPr>
        <w:t>Harvard Bioscience, Inc. ( “Harvard Bioscience” or “the Company”) is a global developer, manufacturer and marketer of a broad range of scientific instruments and systems used to advance life science for basic research, drug discovery, clinical and environmental testing. The Company’s products are sold to thousands of researchers in over 100 countries through its global sales organization, websites, catalogs, and through distributors including Thermo Fisher Scientific Inc., VWR and other specialized distributors. The Company has sales and manufacturing operations in the United States, the United Kingdom, Germany, Sweden, Spain, France, Canada and China.</w:t>
      </w:r>
    </w:p>
    <w:p>
      <w:pPr>
        <w:spacing w:after="0" w:line="176" w:lineRule="exact"/>
        <w:rPr>
          <w:sz w:val="20"/>
          <w:szCs w:val="20"/>
          <w:color w:val="auto"/>
        </w:rPr>
      </w:pPr>
    </w:p>
    <w:p>
      <w:pPr>
        <w:ind w:left="340" w:hanging="339"/>
        <w:spacing w:after="0"/>
        <w:tabs>
          <w:tab w:leader="none" w:pos="34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315" w:lineRule="exact"/>
        <w:rPr>
          <w:sz w:val="20"/>
          <w:szCs w:val="20"/>
          <w:color w:val="auto"/>
        </w:rPr>
      </w:pPr>
    </w:p>
    <w:p>
      <w:pPr>
        <w:ind w:left="600" w:hanging="599"/>
        <w:spacing w:after="0"/>
        <w:tabs>
          <w:tab w:leader="none" w:pos="600" w:val="left"/>
        </w:tabs>
        <w:numPr>
          <w:ilvl w:val="0"/>
          <w:numId w:val="2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Principles of Consolidation</w:t>
      </w:r>
    </w:p>
    <w:p>
      <w:pPr>
        <w:spacing w:after="0" w:line="209" w:lineRule="exact"/>
        <w:rPr>
          <w:sz w:val="20"/>
          <w:szCs w:val="20"/>
          <w:color w:val="auto"/>
        </w:rPr>
      </w:pPr>
    </w:p>
    <w:p>
      <w:pPr>
        <w:ind w:right="580" w:firstLine="456"/>
        <w:spacing w:after="0" w:line="271" w:lineRule="auto"/>
        <w:rPr>
          <w:sz w:val="20"/>
          <w:szCs w:val="20"/>
          <w:color w:val="auto"/>
        </w:rPr>
      </w:pPr>
      <w:r>
        <w:rPr>
          <w:rFonts w:ascii="Arial" w:cs="Arial" w:eastAsia="Arial" w:hAnsi="Arial"/>
          <w:sz w:val="17"/>
          <w:szCs w:val="17"/>
          <w:color w:val="auto"/>
        </w:rPr>
        <w:t>The consolidated financial statements include the accounts of Harvard Bioscience, Inc. and its wholly-owned subsidiaries. All intercompany balances and transactions have been eliminated in consolidation.</w:t>
      </w:r>
    </w:p>
    <w:p>
      <w:pPr>
        <w:spacing w:after="0" w:line="166" w:lineRule="exact"/>
        <w:rPr>
          <w:sz w:val="20"/>
          <w:szCs w:val="20"/>
          <w:color w:val="auto"/>
        </w:rPr>
      </w:pPr>
    </w:p>
    <w:p>
      <w:pPr>
        <w:ind w:left="600" w:hanging="599"/>
        <w:spacing w:after="0"/>
        <w:tabs>
          <w:tab w:leader="none" w:pos="600" w:val="left"/>
        </w:tabs>
        <w:numPr>
          <w:ilvl w:val="0"/>
          <w:numId w:val="2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Use of Estimates</w:t>
      </w:r>
    </w:p>
    <w:p>
      <w:pPr>
        <w:spacing w:after="0" w:line="209" w:lineRule="exact"/>
        <w:rPr>
          <w:sz w:val="20"/>
          <w:szCs w:val="20"/>
          <w:color w:val="auto"/>
        </w:rPr>
      </w:pPr>
    </w:p>
    <w:p>
      <w:pPr>
        <w:ind w:right="40" w:firstLine="456"/>
        <w:spacing w:after="0" w:line="25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the use of management estimates. Such estimates include the determination and establishment of certain accruals and provisions, including those for inventory excess and obsolescence, income tax and reserves for bad debts. In addition, certain estimates are required in order to determine the value of assets and liabilities associated with acquisitions, as well as the Company’s defined benefit pension obligations. Estimates are also required to evaluate the value and recoverability of existing long-lived and intangible assets, including goodwill. On an ongoing basis, the Company reviews its estimates based upon currently available information. Actual results could differ materially from those estimates.</w:t>
      </w:r>
    </w:p>
    <w:p>
      <w:pPr>
        <w:spacing w:after="0" w:line="181" w:lineRule="exact"/>
        <w:rPr>
          <w:sz w:val="20"/>
          <w:szCs w:val="20"/>
          <w:color w:val="auto"/>
        </w:rPr>
      </w:pPr>
    </w:p>
    <w:p>
      <w:pPr>
        <w:ind w:left="600" w:hanging="599"/>
        <w:spacing w:after="0"/>
        <w:tabs>
          <w:tab w:leader="none" w:pos="600" w:val="left"/>
        </w:tabs>
        <w:numPr>
          <w:ilvl w:val="0"/>
          <w:numId w:val="2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Cash and Cash Equivalents</w:t>
      </w:r>
    </w:p>
    <w:p>
      <w:pPr>
        <w:spacing w:after="0" w:line="209" w:lineRule="exact"/>
        <w:rPr>
          <w:sz w:val="20"/>
          <w:szCs w:val="20"/>
          <w:color w:val="auto"/>
        </w:rPr>
      </w:pPr>
    </w:p>
    <w:p>
      <w:pPr>
        <w:ind w:right="340" w:firstLine="456"/>
        <w:spacing w:after="0" w:line="271" w:lineRule="auto"/>
        <w:rPr>
          <w:sz w:val="20"/>
          <w:szCs w:val="20"/>
          <w:color w:val="auto"/>
        </w:rPr>
      </w:pPr>
      <w:r>
        <w:rPr>
          <w:rFonts w:ascii="Arial" w:cs="Arial" w:eastAsia="Arial" w:hAnsi="Arial"/>
          <w:sz w:val="17"/>
          <w:szCs w:val="17"/>
          <w:color w:val="auto"/>
        </w:rPr>
        <w:t>For purposes of the consolidated balance sheets and statements of cash flows, the Company considers all highly liquid instruments with original maturities of three months or less to be cash equivalents.</w:t>
      </w:r>
    </w:p>
    <w:p>
      <w:pPr>
        <w:spacing w:after="0" w:line="166" w:lineRule="exact"/>
        <w:rPr>
          <w:sz w:val="20"/>
          <w:szCs w:val="20"/>
          <w:color w:val="auto"/>
        </w:rPr>
      </w:pPr>
    </w:p>
    <w:p>
      <w:pPr>
        <w:jc w:val="both"/>
        <w:ind w:right="220" w:firstLine="456"/>
        <w:spacing w:after="0" w:line="260" w:lineRule="auto"/>
        <w:rPr>
          <w:sz w:val="20"/>
          <w:szCs w:val="20"/>
          <w:color w:val="auto"/>
        </w:rPr>
      </w:pPr>
      <w:r>
        <w:rPr>
          <w:rFonts w:ascii="Arial" w:cs="Arial" w:eastAsia="Arial" w:hAnsi="Arial"/>
          <w:sz w:val="17"/>
          <w:szCs w:val="17"/>
          <w:color w:val="auto"/>
        </w:rPr>
        <w:t>For the purposes of reporting consolidated cash flows, cash and cash equivalents include cash on hand and amounts due from banks. The Company maintains a portion of its cash in bank deposit accounts which, at times, may exceed federally insured limits. The Company has not experienced any losses in such accounts. The Company believes it is not exposed to any significant risk with respect to these accounts.</w:t>
      </w:r>
    </w:p>
    <w:p>
      <w:pPr>
        <w:spacing w:after="0" w:line="174" w:lineRule="exact"/>
        <w:rPr>
          <w:sz w:val="20"/>
          <w:szCs w:val="20"/>
          <w:color w:val="auto"/>
        </w:rPr>
      </w:pPr>
    </w:p>
    <w:p>
      <w:pPr>
        <w:ind w:left="600" w:hanging="599"/>
        <w:spacing w:after="0"/>
        <w:tabs>
          <w:tab w:leader="none" w:pos="600" w:val="left"/>
        </w:tabs>
        <w:numPr>
          <w:ilvl w:val="0"/>
          <w:numId w:val="2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Allowance for Doubtful Accounts</w:t>
      </w:r>
    </w:p>
    <w:p>
      <w:pPr>
        <w:spacing w:after="0" w:line="209" w:lineRule="exact"/>
        <w:rPr>
          <w:sz w:val="20"/>
          <w:szCs w:val="20"/>
          <w:color w:val="auto"/>
        </w:rPr>
      </w:pPr>
    </w:p>
    <w:p>
      <w:pPr>
        <w:ind w:right="80" w:firstLine="456"/>
        <w:spacing w:after="0" w:line="339" w:lineRule="auto"/>
        <w:rPr>
          <w:sz w:val="20"/>
          <w:szCs w:val="20"/>
          <w:color w:val="auto"/>
        </w:rPr>
      </w:pPr>
      <w:r>
        <w:rPr>
          <w:rFonts w:ascii="Arial" w:cs="Arial" w:eastAsia="Arial" w:hAnsi="Arial"/>
          <w:sz w:val="15"/>
          <w:szCs w:val="15"/>
          <w:color w:val="auto"/>
        </w:rPr>
        <w:t>Allowance for doubtful accounts is based on the Company’s assessment of collectability of customer accounts. The Company regularly reviews the allowance by considering factors such as historical experience, credit quality, age of the accounts receivable balances and other factors that may affect a customer’s ability to pay.</w:t>
      </w:r>
    </w:p>
    <w:p>
      <w:pPr>
        <w:spacing w:after="0" w:line="120" w:lineRule="exact"/>
        <w:rPr>
          <w:sz w:val="20"/>
          <w:szCs w:val="20"/>
          <w:color w:val="auto"/>
        </w:rPr>
      </w:pPr>
    </w:p>
    <w:p>
      <w:pPr>
        <w:ind w:left="600" w:hanging="599"/>
        <w:spacing w:after="0"/>
        <w:tabs>
          <w:tab w:leader="none" w:pos="600" w:val="left"/>
        </w:tabs>
        <w:numPr>
          <w:ilvl w:val="0"/>
          <w:numId w:val="2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Inventories</w:t>
      </w:r>
    </w:p>
    <w:p>
      <w:pPr>
        <w:spacing w:after="0" w:line="209" w:lineRule="exact"/>
        <w:rPr>
          <w:sz w:val="20"/>
          <w:szCs w:val="20"/>
          <w:color w:val="auto"/>
        </w:rPr>
      </w:pPr>
    </w:p>
    <w:p>
      <w:pPr>
        <w:ind w:right="440" w:firstLine="456"/>
        <w:spacing w:after="0" w:line="310" w:lineRule="auto"/>
        <w:rPr>
          <w:sz w:val="20"/>
          <w:szCs w:val="20"/>
          <w:color w:val="auto"/>
        </w:rPr>
      </w:pPr>
      <w:r>
        <w:rPr>
          <w:rFonts w:ascii="Arial" w:cs="Arial" w:eastAsia="Arial" w:hAnsi="Arial"/>
          <w:sz w:val="15"/>
          <w:szCs w:val="15"/>
          <w:color w:val="auto"/>
        </w:rPr>
        <w:t>The Company values its inventories at the lower of the actual cost to purchase (first-in, first-out method) and/or manufacture the inventories or the current estimated market value of the inventories. The Company regularly reviews inventory quantities on hand and records a provision to write down excess and obsolete inventories to its estimated net realizable value if less than cost, based primarily on historical inventory usage and estimated forecast of product demand.</w:t>
      </w:r>
    </w:p>
    <w:p>
      <w:pPr>
        <w:spacing w:after="0" w:line="141" w:lineRule="exact"/>
        <w:rPr>
          <w:sz w:val="20"/>
          <w:szCs w:val="20"/>
          <w:color w:val="auto"/>
        </w:rPr>
      </w:pPr>
    </w:p>
    <w:p>
      <w:pPr>
        <w:ind w:left="600" w:hanging="599"/>
        <w:spacing w:after="0"/>
        <w:tabs>
          <w:tab w:leader="none" w:pos="600" w:val="left"/>
        </w:tabs>
        <w:numPr>
          <w:ilvl w:val="0"/>
          <w:numId w:val="2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Property, Plant and Equipment</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plant and equipment are stated at cost and depreciated using the straight-line method over the estimated useful lives of the assets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20" w:type="dxa"/>
            <w:vAlign w:val="bottom"/>
          </w:tcPr>
          <w:p>
            <w:pPr>
              <w:ind w:left="1720"/>
              <w:spacing w:after="0"/>
              <w:rPr>
                <w:sz w:val="20"/>
                <w:szCs w:val="20"/>
                <w:color w:val="auto"/>
              </w:rPr>
            </w:pPr>
            <w:r>
              <w:rPr>
                <w:rFonts w:ascii="Arial" w:cs="Arial" w:eastAsia="Arial" w:hAnsi="Arial"/>
                <w:sz w:val="17"/>
                <w:szCs w:val="17"/>
                <w:color w:val="auto"/>
              </w:rPr>
              <w:t>Buildings</w:t>
            </w:r>
          </w:p>
        </w:tc>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40</w:t>
            </w:r>
          </w:p>
        </w:tc>
        <w:tc>
          <w:tcPr>
            <w:tcW w:w="840" w:type="dxa"/>
            <w:vAlign w:val="bottom"/>
          </w:tcPr>
          <w:p>
            <w:pPr>
              <w:ind w:left="40"/>
              <w:spacing w:after="0"/>
              <w:rPr>
                <w:sz w:val="20"/>
                <w:szCs w:val="20"/>
                <w:color w:val="auto"/>
              </w:rPr>
            </w:pPr>
            <w:r>
              <w:rPr>
                <w:rFonts w:ascii="Arial" w:cs="Arial" w:eastAsia="Arial" w:hAnsi="Arial"/>
                <w:sz w:val="17"/>
                <w:szCs w:val="17"/>
                <w:color w:val="auto"/>
              </w:rPr>
              <w:t>years</w:t>
            </w:r>
          </w:p>
        </w:tc>
      </w:tr>
      <w:tr>
        <w:trPr>
          <w:trHeight w:val="202"/>
        </w:trPr>
        <w:tc>
          <w:tcPr>
            <w:tcW w:w="4820" w:type="dxa"/>
            <w:vAlign w:val="bottom"/>
          </w:tcPr>
          <w:p>
            <w:pPr>
              <w:ind w:left="1720"/>
              <w:spacing w:after="0"/>
              <w:rPr>
                <w:sz w:val="20"/>
                <w:szCs w:val="20"/>
                <w:color w:val="auto"/>
              </w:rPr>
            </w:pPr>
            <w:r>
              <w:rPr>
                <w:rFonts w:ascii="Arial" w:cs="Arial" w:eastAsia="Arial" w:hAnsi="Arial"/>
                <w:sz w:val="17"/>
                <w:szCs w:val="17"/>
                <w:color w:val="auto"/>
              </w:rPr>
              <w:t>Machinery and equipment</w:t>
            </w:r>
          </w:p>
        </w:tc>
        <w:tc>
          <w:tcPr>
            <w:tcW w:w="5320" w:type="dxa"/>
            <w:vAlign w:val="bottom"/>
            <w:gridSpan w:val="2"/>
          </w:tcPr>
          <w:p>
            <w:pPr>
              <w:jc w:val="right"/>
              <w:ind w:right="116"/>
              <w:spacing w:after="0"/>
              <w:rPr>
                <w:sz w:val="20"/>
                <w:szCs w:val="20"/>
                <w:color w:val="auto"/>
              </w:rPr>
            </w:pPr>
            <w:r>
              <w:rPr>
                <w:rFonts w:ascii="Arial" w:cs="Arial" w:eastAsia="Arial" w:hAnsi="Arial"/>
                <w:sz w:val="17"/>
                <w:szCs w:val="17"/>
                <w:color w:val="auto"/>
              </w:rPr>
              <w:t>3 -</w:t>
            </w:r>
          </w:p>
        </w:tc>
        <w:tc>
          <w:tcPr>
            <w:tcW w:w="440" w:type="dxa"/>
            <w:vAlign w:val="bottom"/>
          </w:tcPr>
          <w:p>
            <w:pPr>
              <w:jc w:val="right"/>
              <w:spacing w:after="0"/>
              <w:rPr>
                <w:sz w:val="20"/>
                <w:szCs w:val="20"/>
                <w:color w:val="auto"/>
              </w:rPr>
            </w:pPr>
            <w:r>
              <w:rPr>
                <w:rFonts w:ascii="Arial" w:cs="Arial" w:eastAsia="Arial" w:hAnsi="Arial"/>
                <w:sz w:val="17"/>
                <w:szCs w:val="17"/>
                <w:color w:val="auto"/>
              </w:rPr>
              <w:t>10</w:t>
            </w:r>
          </w:p>
        </w:tc>
        <w:tc>
          <w:tcPr>
            <w:tcW w:w="840" w:type="dxa"/>
            <w:vAlign w:val="bottom"/>
          </w:tcPr>
          <w:p>
            <w:pPr>
              <w:ind w:left="40"/>
              <w:spacing w:after="0"/>
              <w:rPr>
                <w:sz w:val="20"/>
                <w:szCs w:val="20"/>
                <w:color w:val="auto"/>
              </w:rPr>
            </w:pPr>
            <w:r>
              <w:rPr>
                <w:rFonts w:ascii="Arial" w:cs="Arial" w:eastAsia="Arial" w:hAnsi="Arial"/>
                <w:sz w:val="17"/>
                <w:szCs w:val="17"/>
                <w:color w:val="auto"/>
              </w:rPr>
              <w:t>years</w:t>
            </w:r>
          </w:p>
        </w:tc>
      </w:tr>
      <w:tr>
        <w:trPr>
          <w:trHeight w:val="202"/>
        </w:trPr>
        <w:tc>
          <w:tcPr>
            <w:tcW w:w="4820" w:type="dxa"/>
            <w:vAlign w:val="bottom"/>
          </w:tcPr>
          <w:p>
            <w:pPr>
              <w:ind w:left="1720"/>
              <w:spacing w:after="0"/>
              <w:rPr>
                <w:sz w:val="20"/>
                <w:szCs w:val="20"/>
                <w:color w:val="auto"/>
              </w:rPr>
            </w:pPr>
            <w:r>
              <w:rPr>
                <w:rFonts w:ascii="Arial" w:cs="Arial" w:eastAsia="Arial" w:hAnsi="Arial"/>
                <w:sz w:val="17"/>
                <w:szCs w:val="17"/>
                <w:color w:val="auto"/>
              </w:rPr>
              <w:t>Computer equipment and software</w:t>
            </w:r>
          </w:p>
        </w:tc>
        <w:tc>
          <w:tcPr>
            <w:tcW w:w="5320" w:type="dxa"/>
            <w:vAlign w:val="bottom"/>
            <w:gridSpan w:val="2"/>
          </w:tcPr>
          <w:p>
            <w:pPr>
              <w:jc w:val="right"/>
              <w:ind w:right="116"/>
              <w:spacing w:after="0"/>
              <w:rPr>
                <w:sz w:val="20"/>
                <w:szCs w:val="20"/>
                <w:color w:val="auto"/>
              </w:rPr>
            </w:pPr>
            <w:r>
              <w:rPr>
                <w:rFonts w:ascii="Arial" w:cs="Arial" w:eastAsia="Arial" w:hAnsi="Arial"/>
                <w:sz w:val="17"/>
                <w:szCs w:val="17"/>
                <w:color w:val="auto"/>
              </w:rPr>
              <w:t>3 -</w:t>
            </w:r>
          </w:p>
        </w:tc>
        <w:tc>
          <w:tcPr>
            <w:tcW w:w="440" w:type="dxa"/>
            <w:vAlign w:val="bottom"/>
          </w:tcPr>
          <w:p>
            <w:pPr>
              <w:jc w:val="right"/>
              <w:spacing w:after="0"/>
              <w:rPr>
                <w:sz w:val="20"/>
                <w:szCs w:val="20"/>
                <w:color w:val="auto"/>
              </w:rPr>
            </w:pPr>
            <w:r>
              <w:rPr>
                <w:rFonts w:ascii="Arial" w:cs="Arial" w:eastAsia="Arial" w:hAnsi="Arial"/>
                <w:sz w:val="17"/>
                <w:szCs w:val="17"/>
                <w:color w:val="auto"/>
              </w:rPr>
              <w:t>7</w:t>
            </w:r>
          </w:p>
        </w:tc>
        <w:tc>
          <w:tcPr>
            <w:tcW w:w="840" w:type="dxa"/>
            <w:vAlign w:val="bottom"/>
          </w:tcPr>
          <w:p>
            <w:pPr>
              <w:ind w:left="40"/>
              <w:spacing w:after="0"/>
              <w:rPr>
                <w:sz w:val="20"/>
                <w:szCs w:val="20"/>
                <w:color w:val="auto"/>
              </w:rPr>
            </w:pPr>
            <w:r>
              <w:rPr>
                <w:rFonts w:ascii="Arial" w:cs="Arial" w:eastAsia="Arial" w:hAnsi="Arial"/>
                <w:sz w:val="17"/>
                <w:szCs w:val="17"/>
                <w:color w:val="auto"/>
              </w:rPr>
              <w:t>years</w:t>
            </w:r>
          </w:p>
        </w:tc>
      </w:tr>
      <w:tr>
        <w:trPr>
          <w:trHeight w:val="202"/>
        </w:trPr>
        <w:tc>
          <w:tcPr>
            <w:tcW w:w="4820" w:type="dxa"/>
            <w:vAlign w:val="bottom"/>
          </w:tcPr>
          <w:p>
            <w:pPr>
              <w:ind w:left="1720"/>
              <w:spacing w:after="0"/>
              <w:rPr>
                <w:sz w:val="20"/>
                <w:szCs w:val="20"/>
                <w:color w:val="auto"/>
              </w:rPr>
            </w:pPr>
            <w:r>
              <w:rPr>
                <w:rFonts w:ascii="Arial" w:cs="Arial" w:eastAsia="Arial" w:hAnsi="Arial"/>
                <w:sz w:val="17"/>
                <w:szCs w:val="17"/>
                <w:color w:val="auto"/>
              </w:rPr>
              <w:t>Furniture and fixtures</w:t>
            </w:r>
          </w:p>
        </w:tc>
        <w:tc>
          <w:tcPr>
            <w:tcW w:w="5040" w:type="dxa"/>
            <w:vAlign w:val="bottom"/>
          </w:tcPr>
          <w:p>
            <w:pPr>
              <w:jc w:val="right"/>
              <w:spacing w:after="0"/>
              <w:rPr>
                <w:sz w:val="20"/>
                <w:szCs w:val="20"/>
                <w:color w:val="auto"/>
              </w:rPr>
            </w:pPr>
            <w:r>
              <w:rPr>
                <w:rFonts w:ascii="Arial" w:cs="Arial" w:eastAsia="Arial" w:hAnsi="Arial"/>
                <w:sz w:val="17"/>
                <w:szCs w:val="17"/>
                <w:color w:val="auto"/>
              </w:rPr>
              <w:t>5</w:t>
            </w:r>
          </w:p>
        </w:tc>
        <w:tc>
          <w:tcPr>
            <w:tcW w:w="28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10</w:t>
            </w:r>
          </w:p>
        </w:tc>
        <w:tc>
          <w:tcPr>
            <w:tcW w:w="840" w:type="dxa"/>
            <w:vAlign w:val="bottom"/>
          </w:tcPr>
          <w:p>
            <w:pPr>
              <w:ind w:left="40"/>
              <w:spacing w:after="0"/>
              <w:rPr>
                <w:sz w:val="20"/>
                <w:szCs w:val="20"/>
                <w:color w:val="auto"/>
              </w:rPr>
            </w:pPr>
            <w:r>
              <w:rPr>
                <w:rFonts w:ascii="Arial" w:cs="Arial" w:eastAsia="Arial" w:hAnsi="Arial"/>
                <w:sz w:val="17"/>
                <w:szCs w:val="17"/>
                <w:color w:val="auto"/>
              </w:rPr>
              <w:t>years</w:t>
            </w:r>
          </w:p>
        </w:tc>
      </w:tr>
      <w:tr>
        <w:trPr>
          <w:trHeight w:val="214"/>
        </w:trPr>
        <w:tc>
          <w:tcPr>
            <w:tcW w:w="4820" w:type="dxa"/>
            <w:vAlign w:val="bottom"/>
          </w:tcPr>
          <w:p>
            <w:pPr>
              <w:ind w:left="1720"/>
              <w:spacing w:after="0"/>
              <w:rPr>
                <w:sz w:val="20"/>
                <w:szCs w:val="20"/>
                <w:color w:val="auto"/>
              </w:rPr>
            </w:pPr>
            <w:r>
              <w:rPr>
                <w:rFonts w:ascii="Arial" w:cs="Arial" w:eastAsia="Arial" w:hAnsi="Arial"/>
                <w:sz w:val="17"/>
                <w:szCs w:val="17"/>
                <w:color w:val="auto"/>
              </w:rPr>
              <w:t>Automobiles</w:t>
            </w:r>
          </w:p>
        </w:tc>
        <w:tc>
          <w:tcPr>
            <w:tcW w:w="5040" w:type="dxa"/>
            <w:vAlign w:val="bottom"/>
          </w:tcPr>
          <w:p>
            <w:pPr>
              <w:jc w:val="right"/>
              <w:spacing w:after="0"/>
              <w:rPr>
                <w:sz w:val="20"/>
                <w:szCs w:val="20"/>
                <w:color w:val="auto"/>
              </w:rPr>
            </w:pPr>
            <w:r>
              <w:rPr>
                <w:rFonts w:ascii="Arial" w:cs="Arial" w:eastAsia="Arial" w:hAnsi="Arial"/>
                <w:sz w:val="17"/>
                <w:szCs w:val="17"/>
                <w:color w:val="auto"/>
              </w:rPr>
              <w:t>3</w:t>
            </w:r>
          </w:p>
        </w:tc>
        <w:tc>
          <w:tcPr>
            <w:tcW w:w="28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6</w:t>
            </w:r>
          </w:p>
        </w:tc>
        <w:tc>
          <w:tcPr>
            <w:tcW w:w="840" w:type="dxa"/>
            <w:vAlign w:val="bottom"/>
          </w:tcPr>
          <w:p>
            <w:pPr>
              <w:ind w:left="40"/>
              <w:spacing w:after="0"/>
              <w:rPr>
                <w:sz w:val="20"/>
                <w:szCs w:val="20"/>
                <w:color w:val="auto"/>
              </w:rPr>
            </w:pPr>
            <w:r>
              <w:rPr>
                <w:rFonts w:ascii="Arial" w:cs="Arial" w:eastAsia="Arial" w:hAnsi="Arial"/>
                <w:sz w:val="17"/>
                <w:szCs w:val="17"/>
                <w:color w:val="auto"/>
              </w:rPr>
              <w:t>years</w:t>
            </w:r>
          </w:p>
        </w:tc>
      </w:tr>
      <w:tr>
        <w:trPr>
          <w:trHeight w:val="608"/>
        </w:trPr>
        <w:tc>
          <w:tcPr>
            <w:tcW w:w="4820" w:type="dxa"/>
            <w:vAlign w:val="bottom"/>
          </w:tcPr>
          <w:p>
            <w:pPr>
              <w:spacing w:after="0"/>
              <w:rPr>
                <w:sz w:val="24"/>
                <w:szCs w:val="24"/>
                <w:color w:val="auto"/>
              </w:rPr>
            </w:pPr>
          </w:p>
        </w:tc>
        <w:tc>
          <w:tcPr>
            <w:tcW w:w="5040" w:type="dxa"/>
            <w:vAlign w:val="bottom"/>
          </w:tcPr>
          <w:p>
            <w:pPr>
              <w:jc w:val="right"/>
              <w:ind w:right="3936"/>
              <w:spacing w:after="0"/>
              <w:rPr>
                <w:sz w:val="20"/>
                <w:szCs w:val="20"/>
                <w:color w:val="auto"/>
              </w:rPr>
            </w:pPr>
            <w:r>
              <w:rPr>
                <w:rFonts w:ascii="Arial" w:cs="Arial" w:eastAsia="Arial" w:hAnsi="Arial"/>
                <w:sz w:val="17"/>
                <w:szCs w:val="17"/>
                <w:color w:val="auto"/>
              </w:rPr>
              <w:t>F-9</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
        </w:trPr>
        <w:tc>
          <w:tcPr>
            <w:tcW w:w="4820" w:type="dxa"/>
            <w:vAlign w:val="bottom"/>
            <w:shd w:val="clear" w:color="auto" w:fill="000000"/>
          </w:tcPr>
          <w:p>
            <w:pPr>
              <w:spacing w:after="0"/>
              <w:rPr>
                <w:sz w:val="5"/>
                <w:szCs w:val="5"/>
                <w:color w:val="auto"/>
              </w:rPr>
            </w:pPr>
          </w:p>
        </w:tc>
        <w:tc>
          <w:tcPr>
            <w:tcW w:w="504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228"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220" w:firstLine="456"/>
        <w:spacing w:after="0" w:line="271" w:lineRule="auto"/>
        <w:rPr>
          <w:sz w:val="20"/>
          <w:szCs w:val="20"/>
          <w:color w:val="auto"/>
        </w:rPr>
      </w:pPr>
      <w:r>
        <w:rPr>
          <w:rFonts w:ascii="Arial" w:cs="Arial" w:eastAsia="Arial" w:hAnsi="Arial"/>
          <w:sz w:val="17"/>
          <w:szCs w:val="17"/>
          <w:color w:val="auto"/>
        </w:rPr>
        <w:t>Property and equipment held under capital leases and leasehold improvements are amortized using the straight line method over the shorter of the lease term or estimated useful life of the asset.</w:t>
      </w:r>
    </w:p>
    <w:p>
      <w:pPr>
        <w:spacing w:after="0" w:line="166" w:lineRule="exact"/>
        <w:rPr>
          <w:sz w:val="20"/>
          <w:szCs w:val="20"/>
          <w:color w:val="auto"/>
        </w:rPr>
      </w:pPr>
    </w:p>
    <w:p>
      <w:pPr>
        <w:ind w:left="600" w:hanging="599"/>
        <w:spacing w:after="0"/>
        <w:tabs>
          <w:tab w:leader="none" w:pos="600" w:val="left"/>
        </w:tabs>
        <w:numPr>
          <w:ilvl w:val="0"/>
          <w:numId w:val="2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Catalog Costs</w:t>
      </w:r>
    </w:p>
    <w:p>
      <w:pPr>
        <w:spacing w:after="0" w:line="209"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Significant costs of product catalog design, development and production are capitalized and amortized over the expected useful life of the catalog (usually one to three years).</w:t>
      </w:r>
    </w:p>
    <w:p>
      <w:pPr>
        <w:spacing w:after="0" w:line="166" w:lineRule="exact"/>
        <w:rPr>
          <w:sz w:val="20"/>
          <w:szCs w:val="20"/>
          <w:color w:val="auto"/>
        </w:rPr>
      </w:pPr>
    </w:p>
    <w:p>
      <w:pPr>
        <w:ind w:left="600" w:hanging="599"/>
        <w:spacing w:after="0"/>
        <w:tabs>
          <w:tab w:leader="none" w:pos="600" w:val="left"/>
        </w:tabs>
        <w:numPr>
          <w:ilvl w:val="0"/>
          <w:numId w:val="2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Income Taxes</w:t>
      </w:r>
    </w:p>
    <w:p>
      <w:pPr>
        <w:spacing w:after="0" w:line="209" w:lineRule="exact"/>
        <w:rPr>
          <w:sz w:val="20"/>
          <w:szCs w:val="20"/>
          <w:color w:val="auto"/>
        </w:rPr>
      </w:pPr>
    </w:p>
    <w:p>
      <w:pPr>
        <w:ind w:right="60" w:firstLine="456"/>
        <w:spacing w:after="0" w:line="301" w:lineRule="auto"/>
        <w:rPr>
          <w:sz w:val="20"/>
          <w:szCs w:val="20"/>
          <w:color w:val="auto"/>
        </w:rPr>
      </w:pPr>
      <w:r>
        <w:rPr>
          <w:rFonts w:ascii="Arial" w:cs="Arial" w:eastAsia="Arial" w:hAnsi="Arial"/>
          <w:sz w:val="15"/>
          <w:szCs w:val="15"/>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be applied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47" w:lineRule="exact"/>
        <w:rPr>
          <w:sz w:val="20"/>
          <w:szCs w:val="20"/>
          <w:color w:val="auto"/>
        </w:rPr>
      </w:pPr>
    </w:p>
    <w:p>
      <w:pPr>
        <w:ind w:right="180" w:firstLine="456"/>
        <w:spacing w:after="0" w:line="339" w:lineRule="auto"/>
        <w:rPr>
          <w:sz w:val="20"/>
          <w:szCs w:val="20"/>
          <w:color w:val="auto"/>
        </w:rPr>
      </w:pPr>
      <w:r>
        <w:rPr>
          <w:rFonts w:ascii="Arial" w:cs="Arial" w:eastAsia="Arial" w:hAnsi="Arial"/>
          <w:sz w:val="15"/>
          <w:szCs w:val="15"/>
          <w:color w:val="auto"/>
        </w:rPr>
        <w:t>The Company recognizes the effect of income tax positions only if those positions are more likely than not of being sustained. Recognized income tax positions are measured at the largest amount that is more than 50% likely of being realized. Changes in recognition are reflected in the period in which the judgement occurs.</w:t>
      </w:r>
    </w:p>
    <w:p>
      <w:pPr>
        <w:spacing w:after="0" w:line="120" w:lineRule="exact"/>
        <w:rPr>
          <w:sz w:val="20"/>
          <w:szCs w:val="20"/>
          <w:color w:val="auto"/>
        </w:rPr>
      </w:pPr>
    </w:p>
    <w:p>
      <w:pPr>
        <w:ind w:left="600" w:hanging="599"/>
        <w:spacing w:after="0"/>
        <w:tabs>
          <w:tab w:leader="none" w:pos="600" w:val="left"/>
        </w:tabs>
        <w:numPr>
          <w:ilvl w:val="0"/>
          <w:numId w:val="2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Foreign Currency Translation</w:t>
      </w:r>
    </w:p>
    <w:p>
      <w:pPr>
        <w:spacing w:after="0" w:line="209" w:lineRule="exact"/>
        <w:rPr>
          <w:sz w:val="20"/>
          <w:szCs w:val="20"/>
          <w:color w:val="auto"/>
        </w:rPr>
      </w:pPr>
    </w:p>
    <w:p>
      <w:pPr>
        <w:ind w:right="20" w:firstLine="456"/>
        <w:spacing w:after="0" w:line="277" w:lineRule="auto"/>
        <w:rPr>
          <w:sz w:val="20"/>
          <w:szCs w:val="20"/>
          <w:color w:val="auto"/>
        </w:rPr>
      </w:pPr>
      <w:r>
        <w:rPr>
          <w:rFonts w:ascii="Arial" w:cs="Arial" w:eastAsia="Arial" w:hAnsi="Arial"/>
          <w:sz w:val="16"/>
          <w:szCs w:val="16"/>
          <w:color w:val="auto"/>
        </w:rPr>
        <w:t>The functional currency of the Company’s foreign subsidiaries is generally their local currency. All assets and liabilities of its foreign subsidiaries are translated at exchange rates in effect at period-end. Income and expenses are translated at rates which approximate those in effect on the transaction dates. The resulting translation adjustment is recorded as a separate component of stockholders’ equity in accumulated other comprehensive (loss) income (AOCI) in the consolidated balance sheets. Gains and losses resulting from foreign currency transactions are included in net (loss) income.</w:t>
      </w:r>
    </w:p>
    <w:p>
      <w:pPr>
        <w:spacing w:after="0" w:line="163" w:lineRule="exact"/>
        <w:rPr>
          <w:sz w:val="20"/>
          <w:szCs w:val="20"/>
          <w:color w:val="auto"/>
        </w:rPr>
      </w:pPr>
    </w:p>
    <w:p>
      <w:pPr>
        <w:ind w:left="600" w:hanging="599"/>
        <w:spacing w:after="0"/>
        <w:tabs>
          <w:tab w:leader="none" w:pos="600" w:val="left"/>
        </w:tabs>
        <w:numPr>
          <w:ilvl w:val="0"/>
          <w:numId w:val="3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Earnings per Share</w:t>
      </w:r>
    </w:p>
    <w:p>
      <w:pPr>
        <w:spacing w:after="0" w:line="209" w:lineRule="exact"/>
        <w:rPr>
          <w:sz w:val="20"/>
          <w:szCs w:val="20"/>
          <w:color w:val="auto"/>
        </w:rPr>
      </w:pPr>
    </w:p>
    <w:p>
      <w:pPr>
        <w:ind w:right="480" w:firstLine="456"/>
        <w:spacing w:after="0" w:line="310" w:lineRule="auto"/>
        <w:rPr>
          <w:sz w:val="20"/>
          <w:szCs w:val="20"/>
          <w:color w:val="auto"/>
        </w:rPr>
      </w:pPr>
      <w:r>
        <w:rPr>
          <w:rFonts w:ascii="Arial" w:cs="Arial" w:eastAsia="Arial" w:hAnsi="Arial"/>
          <w:sz w:val="15"/>
          <w:szCs w:val="15"/>
          <w:color w:val="auto"/>
        </w:rPr>
        <w:t>Basic earnings per share is computed by dividing net income by the weighted average number of shares of common stock outstanding during the periods presented. The computation of diluted earnings per share is similar to the computation of basic earnings per share, except that the denominator is increased for the assumed exercise of dilutive options and other potentially dilutive securities using the treasury stock method unless the effect is antidilutive.</w:t>
      </w:r>
    </w:p>
    <w:p>
      <w:pPr>
        <w:spacing w:after="0" w:line="141" w:lineRule="exact"/>
        <w:rPr>
          <w:sz w:val="20"/>
          <w:szCs w:val="20"/>
          <w:color w:val="auto"/>
        </w:rPr>
      </w:pPr>
    </w:p>
    <w:p>
      <w:pPr>
        <w:ind w:left="600" w:hanging="599"/>
        <w:spacing w:after="0"/>
        <w:tabs>
          <w:tab w:leader="none" w:pos="600" w:val="left"/>
        </w:tabs>
        <w:numPr>
          <w:ilvl w:val="0"/>
          <w:numId w:val="3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Comprehensive Income (Loss)</w:t>
      </w:r>
    </w:p>
    <w:p>
      <w:pPr>
        <w:spacing w:after="0" w:line="20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6"/>
          <w:szCs w:val="16"/>
          <w:color w:val="auto"/>
        </w:rPr>
        <w:t>The Company follows the provisions of Financial Accounting Standards Board (FASB) Accounting Standards Codification (ASC) 220, “Comprehensive Income”. FASB ASC 220 requires companies to report all changes in equity during a period, resulting from net (loss) income and transactions from non-owner sources, in a financial statement in the period in which they are recognized. The Company has chosen to disclose comprehensive income (loss), which encompasses net loss, foreign currency translation adjustments, gains and losses on derivatives, the underfunded status of its pension plans, and pension minimum additional liability adjustments, net of tax, in the consolidated statements of comprehensive income (loss).</w:t>
      </w:r>
    </w:p>
    <w:p>
      <w:pPr>
        <w:spacing w:after="0" w:line="168" w:lineRule="exact"/>
        <w:rPr>
          <w:sz w:val="20"/>
          <w:szCs w:val="20"/>
          <w:color w:val="auto"/>
        </w:rPr>
      </w:pPr>
    </w:p>
    <w:p>
      <w:pPr>
        <w:ind w:left="600" w:hanging="599"/>
        <w:spacing w:after="0"/>
        <w:tabs>
          <w:tab w:leader="none" w:pos="600" w:val="left"/>
        </w:tabs>
        <w:numPr>
          <w:ilvl w:val="0"/>
          <w:numId w:val="3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Revenue Recognition</w:t>
      </w:r>
    </w:p>
    <w:p>
      <w:pPr>
        <w:spacing w:after="0" w:line="209" w:lineRule="exact"/>
        <w:rPr>
          <w:sz w:val="20"/>
          <w:szCs w:val="20"/>
          <w:color w:val="auto"/>
        </w:rPr>
      </w:pPr>
    </w:p>
    <w:p>
      <w:pPr>
        <w:ind w:firstLine="456"/>
        <w:spacing w:after="0" w:line="271" w:lineRule="auto"/>
        <w:rPr>
          <w:sz w:val="20"/>
          <w:szCs w:val="20"/>
          <w:color w:val="auto"/>
        </w:rPr>
      </w:pPr>
      <w:r>
        <w:rPr>
          <w:rFonts w:ascii="Arial" w:cs="Arial" w:eastAsia="Arial" w:hAnsi="Arial"/>
          <w:sz w:val="16"/>
          <w:szCs w:val="16"/>
          <w:color w:val="auto"/>
        </w:rPr>
        <w:t>The Company follows the provisions of FASB ASC 605, “Revenue Recognition”. The Company recognizes product revenues when persuasive evidence of a sales arrangement exists, the price to the buyer is fixed or determinable, delivery has occurred, and collectability of the sales price is reasonably assured. Sales of some of its products include provisions to provide additional services such as installation and training. Revenues on these products are recognized when the additional services have been performed. Service agreements on its equipment are typically sold separately from the sale of the equipment. Cash received prior to rendering of the service on these contracts is recorded as deferred revenue and the revenues are recognized ratably over the life of the agreement, typically one year, in accordance with the provisions of FASB ASC 605-20, “Revenue Recognition—Services”.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100" w:firstLine="456"/>
        <w:spacing w:after="0" w:line="296" w:lineRule="auto"/>
        <w:rPr>
          <w:sz w:val="20"/>
          <w:szCs w:val="20"/>
          <w:color w:val="auto"/>
        </w:rPr>
      </w:pPr>
      <w:r>
        <w:rPr>
          <w:rFonts w:ascii="Arial" w:cs="Arial" w:eastAsia="Arial" w:hAnsi="Arial"/>
          <w:sz w:val="15"/>
          <w:szCs w:val="15"/>
          <w:color w:val="auto"/>
        </w:rPr>
        <w:t>The Company accounts for shipping and handling fees and costs in accordance with the provisions of FASB ASC 605-45-45, “Revenue Recognition—Principal Agent Considerations”, which requires all amounts charged to customers for shipping and handling to be classified as revenues. The costs incurred related to shipping and handling is classified as cost of product revenues. Warranties and product returns are estimated and accrued for at the time sales are recorded. The Company has no obligations to customers after the date products are shipped or installed, if applicable, other than pursuant to warranty obligations and service or maintenance contracts. The Company provides for the estimated amount of future returns upon shipment of products or installation, if applicable, based on historical experience.</w:t>
      </w:r>
    </w:p>
    <w:p>
      <w:pPr>
        <w:spacing w:after="0" w:line="151" w:lineRule="exact"/>
        <w:rPr>
          <w:sz w:val="20"/>
          <w:szCs w:val="20"/>
          <w:color w:val="auto"/>
        </w:rPr>
      </w:pPr>
    </w:p>
    <w:p>
      <w:pPr>
        <w:ind w:right="200" w:firstLine="456"/>
        <w:spacing w:after="0" w:line="271" w:lineRule="auto"/>
        <w:rPr>
          <w:sz w:val="20"/>
          <w:szCs w:val="20"/>
          <w:color w:val="auto"/>
        </w:rPr>
      </w:pPr>
      <w:r>
        <w:rPr>
          <w:rFonts w:ascii="Arial" w:cs="Arial" w:eastAsia="Arial" w:hAnsi="Arial"/>
          <w:sz w:val="17"/>
          <w:szCs w:val="17"/>
          <w:color w:val="auto"/>
        </w:rPr>
        <w:t>Sales taxes, value added taxes, and certain excise taxes collected from customers and remitted to governmental authorities are accounted for on a net basis, and are therefore excluded from revenues.</w:t>
      </w:r>
    </w:p>
    <w:p>
      <w:pPr>
        <w:spacing w:after="0" w:line="166" w:lineRule="exact"/>
        <w:rPr>
          <w:sz w:val="20"/>
          <w:szCs w:val="20"/>
          <w:color w:val="auto"/>
        </w:rPr>
      </w:pPr>
    </w:p>
    <w:p>
      <w:pPr>
        <w:ind w:left="600" w:hanging="599"/>
        <w:spacing w:after="0"/>
        <w:tabs>
          <w:tab w:leader="none" w:pos="600" w:val="left"/>
        </w:tabs>
        <w:numPr>
          <w:ilvl w:val="0"/>
          <w:numId w:val="3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Valuation of Identifiable Intangible Assets Acquired in Business Combinations</w:t>
      </w:r>
    </w:p>
    <w:p>
      <w:pPr>
        <w:spacing w:after="0" w:line="209" w:lineRule="exact"/>
        <w:rPr>
          <w:sz w:val="20"/>
          <w:szCs w:val="20"/>
          <w:color w:val="auto"/>
        </w:rPr>
      </w:pPr>
    </w:p>
    <w:p>
      <w:pPr>
        <w:ind w:right="20" w:firstLine="456"/>
        <w:spacing w:after="0" w:line="252" w:lineRule="auto"/>
        <w:rPr>
          <w:sz w:val="20"/>
          <w:szCs w:val="20"/>
          <w:color w:val="auto"/>
        </w:rPr>
      </w:pPr>
      <w:r>
        <w:rPr>
          <w:rFonts w:ascii="Arial" w:cs="Arial" w:eastAsia="Arial" w:hAnsi="Arial"/>
          <w:sz w:val="17"/>
          <w:szCs w:val="17"/>
          <w:color w:val="auto"/>
        </w:rPr>
        <w:t>The determination of the fair value of intangible assets, which represents a significant portion of the purchase price in the Company’s acquisitions, requires the use of significant judgment with regard to (i) the fair value; and (ii) whether such intangibles are amortizable or not amortizable and, if the former, the period and the method by which the intangibles asset will be amortized. The Company estimates the fair value of acquisition-related intangible assets principally based on projections of cash flows that will arise from identifiable assets of acquired businesses. The projected cash flows are discounted to determine the present value of the assets at the dates of acquisitions. At December 31, 2017, amortizable intangible assets include existing technology, trade names, distribution agreements, customer relationships and patents. These amortizable intangible assets are amortized on a straight-line basis over 7 to 15 years, 10 to 15 years, 4 to 5 years, 5 to 15 years and 5 to 15 years, respectively.</w:t>
      </w:r>
    </w:p>
    <w:p>
      <w:pPr>
        <w:spacing w:after="0" w:line="183" w:lineRule="exact"/>
        <w:rPr>
          <w:sz w:val="20"/>
          <w:szCs w:val="20"/>
          <w:color w:val="auto"/>
        </w:rPr>
      </w:pPr>
    </w:p>
    <w:p>
      <w:pPr>
        <w:ind w:left="600" w:hanging="599"/>
        <w:spacing w:after="0"/>
        <w:tabs>
          <w:tab w:leader="none" w:pos="600" w:val="left"/>
        </w:tabs>
        <w:numPr>
          <w:ilvl w:val="0"/>
          <w:numId w:val="3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Goodwill and Other Intangible Assets</w:t>
      </w:r>
    </w:p>
    <w:p>
      <w:pPr>
        <w:spacing w:after="0" w:line="209" w:lineRule="exact"/>
        <w:rPr>
          <w:sz w:val="20"/>
          <w:szCs w:val="20"/>
          <w:color w:val="auto"/>
        </w:rPr>
      </w:pPr>
    </w:p>
    <w:p>
      <w:pPr>
        <w:jc w:val="both"/>
        <w:ind w:right="100" w:firstLine="456"/>
        <w:spacing w:after="0" w:line="260" w:lineRule="auto"/>
        <w:rPr>
          <w:sz w:val="20"/>
          <w:szCs w:val="20"/>
          <w:color w:val="auto"/>
        </w:rPr>
      </w:pPr>
      <w:r>
        <w:rPr>
          <w:rFonts w:ascii="Arial" w:cs="Arial" w:eastAsia="Arial" w:hAnsi="Arial"/>
          <w:sz w:val="17"/>
          <w:szCs w:val="17"/>
          <w:color w:val="auto"/>
        </w:rPr>
        <w:t>Goodwill and unamortizable intangible assets acquired in a business combination and determined to have an indefinite useful life are not amortized, but instead are tested for impairment annually or more frequently if events or changes in circumstances indicate that the asset might be impaired, in accordance with the provisions of FASB ASC 350, “Intangibles—Goodwill and Other”.</w:t>
      </w:r>
    </w:p>
    <w:p>
      <w:pPr>
        <w:spacing w:after="0" w:line="174" w:lineRule="exact"/>
        <w:rPr>
          <w:sz w:val="20"/>
          <w:szCs w:val="20"/>
          <w:color w:val="auto"/>
        </w:rPr>
      </w:pPr>
    </w:p>
    <w:p>
      <w:pPr>
        <w:ind w:firstLine="456"/>
        <w:spacing w:after="0" w:line="253" w:lineRule="auto"/>
        <w:rPr>
          <w:sz w:val="20"/>
          <w:szCs w:val="20"/>
          <w:color w:val="auto"/>
        </w:rPr>
      </w:pPr>
      <w:r>
        <w:rPr>
          <w:rFonts w:ascii="Arial" w:cs="Arial" w:eastAsia="Arial" w:hAnsi="Arial"/>
          <w:sz w:val="17"/>
          <w:szCs w:val="17"/>
          <w:color w:val="auto"/>
        </w:rPr>
        <w:t>For the purpose of its goodwill analysis, the Company has one reporting unit. The Company conducted its annual impairment analysis in the fourth quarter of fiscal year 2017. The goodwill impairment test is a two-step process. The first step of the impairment analysis compares the Company’s fair value to its carrying value to determine if there is any indication of impairment. Step two of the analysis compares the implied fair value of goodwill to its carrying amount in a manner similar to a purchase price allocation for business combination. If the carrying amount of goodwill exceeds its implied fair value, an impairment loss is recognized equal to that excess. For indefinite-lived intangible assets if the carrying amount exceeds the fair value of the asset, the Company would write down the indefinite-lived intangible asset to fair value.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At December 31, 2017, the fair value of the Company significantly exceeded the carrying value. The Company concluded that none of its goodwill was impaired.</w:t>
      </w:r>
    </w:p>
    <w:p>
      <w:pPr>
        <w:spacing w:after="0" w:line="2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7"/>
          <w:szCs w:val="17"/>
          <w:color w:val="auto"/>
        </w:rPr>
        <w:t>The Company evaluates indefinite-lived intangible assets for impairment annually and when events occur or circumstances change that may reduce the fair value of the asset below its carrying amount. Events or circumstances that might require an interim evaluation include unexpected adverse business conditions, economic factors, unanticipated technological changes or competitive activities, loss of key personnel and acts by governments and courts. At December 31, 2017, the Company concluded that none of its indefinite-lived intangible assets were impaired.</w:t>
      </w:r>
    </w:p>
    <w:p>
      <w:pPr>
        <w:spacing w:after="0" w:line="178" w:lineRule="exact"/>
        <w:rPr>
          <w:sz w:val="20"/>
          <w:szCs w:val="20"/>
          <w:color w:val="auto"/>
        </w:rPr>
      </w:pPr>
    </w:p>
    <w:p>
      <w:pPr>
        <w:ind w:left="600" w:hanging="599"/>
        <w:spacing w:after="0"/>
        <w:tabs>
          <w:tab w:leader="none" w:pos="600" w:val="left"/>
        </w:tabs>
        <w:numPr>
          <w:ilvl w:val="0"/>
          <w:numId w:val="3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Impairment of Long-Lived Assets</w:t>
      </w:r>
    </w:p>
    <w:p>
      <w:pPr>
        <w:spacing w:after="0" w:line="209" w:lineRule="exact"/>
        <w:rPr>
          <w:sz w:val="20"/>
          <w:szCs w:val="20"/>
          <w:color w:val="auto"/>
        </w:rPr>
      </w:pPr>
    </w:p>
    <w:p>
      <w:pPr>
        <w:ind w:firstLine="456"/>
        <w:spacing w:after="0" w:line="270" w:lineRule="auto"/>
        <w:rPr>
          <w:sz w:val="20"/>
          <w:szCs w:val="20"/>
          <w:color w:val="auto"/>
        </w:rPr>
      </w:pPr>
      <w:r>
        <w:rPr>
          <w:rFonts w:ascii="Arial" w:cs="Arial" w:eastAsia="Arial" w:hAnsi="Arial"/>
          <w:sz w:val="16"/>
          <w:szCs w:val="16"/>
          <w:color w:val="auto"/>
        </w:rPr>
        <w:t>The Company assesses recoverability of its long-lived assets that are held for use, such as property, plant and equipment and amortizable intangible assets in accordance with FASB ASC 360, “Property, Plant and Equipment” when events or changes in circumstances indicate that the carrying amount of an asset or asset group may not be recoverable. Recoverability of assets or an asset group to be held and used is measured by a comparison of the carrying amount of an asset or asset group to estimated undiscounted future cash flows expected to be generated by the asset or the asset group. Cash flow projections are based on trends of historical performance and management’s estimate of future performance. If the carrying amount of the asset or asset group exceeds the estimated future cash flows, an impairment charge is recognized by the amount by which the carrying amount of the asset or asset group exceeds its estimated fair value. At December 31, 2017, the Company concluded that none of its long-lived assets were impaired.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228" w:right="25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left="600" w:hanging="599"/>
        <w:spacing w:after="0"/>
        <w:tabs>
          <w:tab w:leader="none" w:pos="600" w:val="left"/>
        </w:tabs>
        <w:numPr>
          <w:ilvl w:val="0"/>
          <w:numId w:val="3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Derivatives</w:t>
      </w:r>
    </w:p>
    <w:p>
      <w:pPr>
        <w:spacing w:after="0" w:line="209" w:lineRule="exact"/>
        <w:rPr>
          <w:sz w:val="20"/>
          <w:szCs w:val="20"/>
          <w:color w:val="auto"/>
        </w:rPr>
      </w:pPr>
    </w:p>
    <w:p>
      <w:pPr>
        <w:ind w:right="20" w:firstLine="456"/>
        <w:spacing w:after="0" w:line="296" w:lineRule="auto"/>
        <w:rPr>
          <w:sz w:val="20"/>
          <w:szCs w:val="20"/>
          <w:color w:val="auto"/>
        </w:rPr>
      </w:pPr>
      <w:r>
        <w:rPr>
          <w:rFonts w:ascii="Arial" w:cs="Arial" w:eastAsia="Arial" w:hAnsi="Arial"/>
          <w:sz w:val="15"/>
          <w:szCs w:val="15"/>
          <w:color w:val="auto"/>
        </w:rPr>
        <w:t>The Company uses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 The Company recognizes all derivative instruments as either assets or liabilities in the balance sheet at their respective fair values. For derivatives designated in hedging relationships, changes in the fair value are either offset through earnings against the change in fair value of the hedged item attributable to the risk being hedged or recognized in AOCI, to the extent the derivative is effective at offsetting the changes in cash flows being hedged until the hedged item affects earnings.</w:t>
      </w:r>
    </w:p>
    <w:p>
      <w:pPr>
        <w:spacing w:after="0" w:line="1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5"/>
          <w:szCs w:val="15"/>
          <w:color w:val="auto"/>
        </w:rPr>
        <w:t>The Company only enters into derivative contracts that it intends to designate as a hedge of a forecasted transaction or the variability of cash flows to be received or paid related to a recognized asset or liability (cash flow hedge). For all hedging relationships, the Company formally documents the hedging relationship and its risk-management objective and strategy for undertaking the hedge, the hedging instrument, the hedged transaction, the nature of the risk being hedged, how the hedging instrument’s effectiveness in offsetting the hedged risk will be assessed prospectively and retrospectively, and a description of the method used to measure ineffectiveness. The Company also formally assesses, both at the inception of the hedging relationship and on an ongoing basis, whether the derivatives that are used in hedging relationships are highly effective in offsetting changes in cash flows of hedged transactions. For derivative instruments that are designated and qualify as part of a cash flow hedging relationship,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62" w:lineRule="exact"/>
        <w:rPr>
          <w:sz w:val="20"/>
          <w:szCs w:val="20"/>
          <w:color w:val="auto"/>
        </w:rPr>
      </w:pPr>
    </w:p>
    <w:p>
      <w:pPr>
        <w:jc w:val="both"/>
        <w:ind w:firstLine="456"/>
        <w:spacing w:after="0" w:line="260" w:lineRule="auto"/>
        <w:rPr>
          <w:sz w:val="20"/>
          <w:szCs w:val="20"/>
          <w:color w:val="auto"/>
        </w:rPr>
      </w:pPr>
      <w:r>
        <w:rPr>
          <w:rFonts w:ascii="Arial" w:cs="Arial" w:eastAsia="Arial" w:hAnsi="Arial"/>
          <w:sz w:val="17"/>
          <w:szCs w:val="17"/>
          <w:color w:val="auto"/>
        </w:rPr>
        <w:t>The Company discontinues hedge accounting prospectively when it determines that the derivative is no longer effective in offsetting cash flows attributable to the hedged risk, the derivative expires or is sold, terminated, or exercised, the cash flow hedge is de-designated because a forecasted transaction is not probable of occurring, or management determines to remove the designation of the cash flow hedge.</w:t>
      </w:r>
    </w:p>
    <w:p>
      <w:pPr>
        <w:spacing w:after="0" w:line="17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7"/>
          <w:szCs w:val="17"/>
          <w:color w:val="auto"/>
        </w:rPr>
        <w:t>In all situations in which hedge accounting is discontinued and the derivative remains outstanding, the Company continues to carry the derivative at its fair value on the balance sheet and recognizes any subsequent changes in its fair value in earnings. When it is probable that a forecasted transaction will not occur, the Company discontinues hedge accounting and recognizes immediately in earnings gains and losses that were accumulated in other comprehensive income related to the hedging relationship.</w:t>
      </w:r>
    </w:p>
    <w:p>
      <w:pPr>
        <w:spacing w:after="0" w:line="178" w:lineRule="exact"/>
        <w:rPr>
          <w:sz w:val="20"/>
          <w:szCs w:val="20"/>
          <w:color w:val="auto"/>
        </w:rPr>
      </w:pPr>
    </w:p>
    <w:p>
      <w:pPr>
        <w:ind w:left="600" w:hanging="599"/>
        <w:spacing w:after="0"/>
        <w:tabs>
          <w:tab w:leader="none" w:pos="600" w:val="left"/>
        </w:tabs>
        <w:numPr>
          <w:ilvl w:val="0"/>
          <w:numId w:val="3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Fair Value of Financial Instruments</w:t>
      </w:r>
    </w:p>
    <w:p>
      <w:pPr>
        <w:spacing w:after="0" w:line="209" w:lineRule="exact"/>
        <w:rPr>
          <w:sz w:val="20"/>
          <w:szCs w:val="20"/>
          <w:color w:val="auto"/>
        </w:rPr>
      </w:pPr>
    </w:p>
    <w:p>
      <w:pPr>
        <w:jc w:val="both"/>
        <w:ind w:right="80" w:firstLine="456"/>
        <w:spacing w:after="0" w:line="310" w:lineRule="auto"/>
        <w:rPr>
          <w:sz w:val="20"/>
          <w:szCs w:val="20"/>
          <w:color w:val="auto"/>
        </w:rPr>
      </w:pPr>
      <w:r>
        <w:rPr>
          <w:rFonts w:ascii="Arial" w:cs="Arial" w:eastAsia="Arial" w:hAnsi="Arial"/>
          <w:sz w:val="15"/>
          <w:szCs w:val="15"/>
          <w:color w:val="auto"/>
        </w:rPr>
        <w:t>The carrying values of the Company’s cash and cash equivalents, trade accounts receivable and trade accounts payable and short-term debt approximate their fair values because of the short maturities of those instruments. The fair value of the Company’s long-term debt approximates its carrying value and is based on the amount of future cash flows associated with the debt discounted using current borrowing rates for similar debt instruments of comparable maturity.</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Financial reporting standards define a fair value hierarchy that consists of three levels:</w:t>
      </w:r>
    </w:p>
    <w:p>
      <w:pPr>
        <w:spacing w:after="0" w:line="209" w:lineRule="exact"/>
        <w:rPr>
          <w:sz w:val="20"/>
          <w:szCs w:val="20"/>
          <w:color w:val="auto"/>
        </w:rPr>
      </w:pPr>
    </w:p>
    <w:p>
      <w:pPr>
        <w:ind w:left="920" w:hanging="463"/>
        <w:spacing w:after="0"/>
        <w:tabs>
          <w:tab w:leader="none" w:pos="920" w:val="left"/>
        </w:tabs>
        <w:numPr>
          <w:ilvl w:val="1"/>
          <w:numId w:val="38"/>
        </w:numPr>
        <w:rPr>
          <w:rFonts w:ascii="Arial" w:cs="Arial" w:eastAsia="Arial" w:hAnsi="Arial"/>
          <w:sz w:val="15"/>
          <w:szCs w:val="15"/>
          <w:color w:val="auto"/>
        </w:rPr>
      </w:pPr>
      <w:r>
        <w:rPr>
          <w:rFonts w:ascii="Arial" w:cs="Arial" w:eastAsia="Arial" w:hAnsi="Arial"/>
          <w:sz w:val="15"/>
          <w:szCs w:val="15"/>
          <w:color w:val="auto"/>
        </w:rPr>
        <w:t>Level 1 includes instruments for which quoted prices in active markets for identical assets or liabilities accessible to the Company at the measurement date.</w:t>
      </w:r>
    </w:p>
    <w:p>
      <w:pPr>
        <w:spacing w:after="0" w:line="232" w:lineRule="exact"/>
        <w:rPr>
          <w:rFonts w:ascii="Arial" w:cs="Arial" w:eastAsia="Arial" w:hAnsi="Arial"/>
          <w:sz w:val="15"/>
          <w:szCs w:val="15"/>
          <w:color w:val="auto"/>
        </w:rPr>
      </w:pPr>
    </w:p>
    <w:p>
      <w:pPr>
        <w:ind w:left="920" w:hanging="463"/>
        <w:spacing w:after="0" w:line="303" w:lineRule="auto"/>
        <w:tabs>
          <w:tab w:leader="none" w:pos="9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Level 2 includes instruments for which the valuations are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142" w:lineRule="exact"/>
        <w:rPr>
          <w:rFonts w:ascii="Arial" w:cs="Arial" w:eastAsia="Arial" w:hAnsi="Arial"/>
          <w:sz w:val="16"/>
          <w:szCs w:val="16"/>
          <w:color w:val="auto"/>
        </w:rPr>
      </w:pPr>
    </w:p>
    <w:p>
      <w:pPr>
        <w:ind w:left="920" w:hanging="463"/>
        <w:spacing w:after="0"/>
        <w:tabs>
          <w:tab w:leader="none" w:pos="9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Level 3 includes valuations based on inputs that are unobservable and significant to the overall fair value measurement.</w:t>
      </w:r>
    </w:p>
    <w:p>
      <w:pPr>
        <w:spacing w:after="0" w:line="209" w:lineRule="exact"/>
        <w:rPr>
          <w:rFonts w:ascii="Arial" w:cs="Arial" w:eastAsia="Arial" w:hAnsi="Arial"/>
          <w:sz w:val="17"/>
          <w:szCs w:val="17"/>
          <w:color w:val="auto"/>
        </w:rPr>
      </w:pPr>
    </w:p>
    <w:p>
      <w:pPr>
        <w:ind w:left="600" w:hanging="599"/>
        <w:spacing w:after="0"/>
        <w:tabs>
          <w:tab w:leader="none" w:pos="600" w:val="left"/>
        </w:tabs>
        <w:numPr>
          <w:ilvl w:val="0"/>
          <w:numId w:val="3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Stock-based Compensation</w:t>
      </w:r>
    </w:p>
    <w:p>
      <w:pPr>
        <w:spacing w:after="0" w:line="209" w:lineRule="exact"/>
        <w:rPr>
          <w:sz w:val="20"/>
          <w:szCs w:val="20"/>
          <w:color w:val="auto"/>
        </w:rPr>
      </w:pPr>
    </w:p>
    <w:p>
      <w:pPr>
        <w:ind w:right="20" w:firstLine="456"/>
        <w:spacing w:after="0" w:line="254" w:lineRule="auto"/>
        <w:rPr>
          <w:sz w:val="20"/>
          <w:szCs w:val="20"/>
          <w:color w:val="auto"/>
        </w:rPr>
      </w:pPr>
      <w:r>
        <w:rPr>
          <w:rFonts w:ascii="Arial" w:cs="Arial" w:eastAsia="Arial" w:hAnsi="Arial"/>
          <w:sz w:val="17"/>
          <w:szCs w:val="17"/>
          <w:color w:val="auto"/>
        </w:rPr>
        <w:t>The Company accounts for stock-based payment awards in accordance with the provisions of FASB ASC 718, “Compensation—Stock Compensation”, which requires it to recognize compensation expense for all stock-based payment awards made to employees and directors including stock options, restricted stock units, restricted stock units with a market condition and employee stock purchases (“employee stock purchases”) related to its Employee Stock Purchase Plan (as amended, the ESPP). The Company issues new shares upon stock option exercises, upon vesting of restricted stock units and restricted stock units with a market condition, and under the Company’s ESPP.</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160" w:firstLine="456"/>
        <w:spacing w:after="0" w:line="293" w:lineRule="auto"/>
        <w:rPr>
          <w:sz w:val="20"/>
          <w:szCs w:val="20"/>
          <w:color w:val="auto"/>
        </w:rPr>
      </w:pPr>
      <w:r>
        <w:rPr>
          <w:rFonts w:ascii="Arial" w:cs="Arial" w:eastAsia="Arial" w:hAnsi="Arial"/>
          <w:sz w:val="15"/>
          <w:szCs w:val="15"/>
          <w:color w:val="auto"/>
        </w:rPr>
        <w:t>Stock-based compensation expense recognized is based on the value of the portion of stock-based payment awards that is ultimately expected to vest. The value of the award is recognized as expense as it vests over the requisite service periods in its consolidated statements of operations. The Company values stock-based payment awards, except restricted stock units at grant date using the Black-Scholes option-pricing model (Black-Scholes model). The Company values restricted stock units with a market condition using a Monte-Carlo valuation simulation. The determination of fair value of stock-based payment awards on the date of grant using an option-pricing model or Monte-Carlo valuation simulation is affected by its stock price as well as assumptions regarding certain variables. These variables include, but are not limited to its expected stock price volatility over the term of the awards and actual and projected stock option exercise behaviors.</w:t>
      </w:r>
    </w:p>
    <w:p>
      <w:pPr>
        <w:spacing w:after="0" w:line="154" w:lineRule="exact"/>
        <w:rPr>
          <w:sz w:val="20"/>
          <w:szCs w:val="20"/>
          <w:color w:val="auto"/>
        </w:rPr>
      </w:pPr>
    </w:p>
    <w:p>
      <w:pPr>
        <w:ind w:right="180" w:firstLine="456"/>
        <w:spacing w:after="0" w:line="260" w:lineRule="auto"/>
        <w:rPr>
          <w:sz w:val="20"/>
          <w:szCs w:val="20"/>
          <w:color w:val="auto"/>
        </w:rPr>
      </w:pPr>
      <w:r>
        <w:rPr>
          <w:rFonts w:ascii="Arial" w:cs="Arial" w:eastAsia="Arial" w:hAnsi="Arial"/>
          <w:sz w:val="17"/>
          <w:szCs w:val="17"/>
          <w:color w:val="auto"/>
        </w:rPr>
        <w:t>The fair value of restricted stock units are based on the market price of the Company’s stock on the date of grant and are recorded as compensation expense ratably over the applicable service period, which ranges from one to four years. Unvested restricted stock units are forfeited in the event of termination of employment with the Company.</w:t>
      </w:r>
    </w:p>
    <w:p>
      <w:pPr>
        <w:spacing w:after="0" w:line="17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7"/>
          <w:szCs w:val="17"/>
          <w:color w:val="auto"/>
        </w:rPr>
        <w:t>Stock-based compensation expense recognized under FASB ASC 718 for the years ended December 31, 2017, 2016 and 2015 consisted of stock-based compensation expense related to stock options, the employee stock purchase plan, and the restricted stock units and was recorded as a component of cost of product revenues, sales and marketing expenses, general and administrative expenses, research and development expenses and discontinued operations. Refer to footnote 19 for further details.</w:t>
      </w:r>
    </w:p>
    <w:p>
      <w:pPr>
        <w:spacing w:after="0" w:line="178" w:lineRule="exact"/>
        <w:rPr>
          <w:sz w:val="20"/>
          <w:szCs w:val="20"/>
          <w:color w:val="auto"/>
        </w:rPr>
      </w:pPr>
    </w:p>
    <w:p>
      <w:pPr>
        <w:ind w:left="600" w:hanging="599"/>
        <w:spacing w:after="0"/>
        <w:tabs>
          <w:tab w:leader="none" w:pos="600" w:val="left"/>
        </w:tabs>
        <w:numPr>
          <w:ilvl w:val="0"/>
          <w:numId w:val="3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Recently Issued Accounting Pronouncements</w:t>
      </w:r>
    </w:p>
    <w:p>
      <w:pPr>
        <w:spacing w:after="0" w:line="209" w:lineRule="exact"/>
        <w:rPr>
          <w:sz w:val="20"/>
          <w:szCs w:val="20"/>
          <w:color w:val="auto"/>
        </w:rPr>
      </w:pPr>
    </w:p>
    <w:p>
      <w:pPr>
        <w:ind w:firstLine="380"/>
        <w:spacing w:after="0" w:line="25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is intended to improve financial reporting about leasing transactions. The update requires a lessee to record on the balance sheet the assets and liabilities for the rights and obligations created by lease terms of more than 12 months. The update is effective for fiscal years beginning after December 15, 2018. The Company has commenced the process of evaluating the requirements of the standard as well as collecting information on all its leases. The Company has not yet concluded on the impact of the adoption on its consolidated financial position, results of operations and cash flows, however, assets and liabilities will increase upon adoption for right-of-use assets and lease liabilities. The Company’s future commitments under lease obligations are summarized in Note 14.</w:t>
      </w:r>
    </w:p>
    <w:p>
      <w:pPr>
        <w:spacing w:after="0" w:line="181" w:lineRule="exact"/>
        <w:rPr>
          <w:sz w:val="20"/>
          <w:szCs w:val="20"/>
          <w:color w:val="auto"/>
        </w:rPr>
      </w:pPr>
    </w:p>
    <w:p>
      <w:pPr>
        <w:ind w:firstLine="380"/>
        <w:spacing w:after="0" w:line="296"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 – Credit Losses (Topic 326), Measurement of credit losses on Financial Instruments.</w:t>
      </w:r>
      <w:r>
        <w:rPr>
          <w:rFonts w:ascii="Arial" w:cs="Arial" w:eastAsia="Arial" w:hAnsi="Arial"/>
          <w:sz w:val="15"/>
          <w:szCs w:val="15"/>
          <w:color w:val="auto"/>
        </w:rPr>
        <w:t xml:space="preserve"> The update amends the FASB’s guidance on the impairment of financial instruments. The ASU adds to U.S. GAAP an impairment model (known as the current expected credit loss (CECL) model) that is based on expected losses rather than incurred losses. Under the new guidance, an entity recognizes as an allowance its estimate of expected credit losses, which the FASB believes will result in more timely recognition of such losses. The ASU is effective for fiscal years beginning after December 15, 2019, including interim periods within those fiscal years. The Company is evaluating the impact of ASU 2016-13 on its consolidated financial statements.</w:t>
      </w:r>
    </w:p>
    <w:p>
      <w:pPr>
        <w:spacing w:after="0" w:line="151" w:lineRule="exact"/>
        <w:rPr>
          <w:sz w:val="20"/>
          <w:szCs w:val="20"/>
          <w:color w:val="auto"/>
        </w:rPr>
      </w:pPr>
    </w:p>
    <w:p>
      <w:pPr>
        <w:ind w:right="180" w:firstLine="413"/>
        <w:spacing w:after="0" w:line="252"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 (Topic 815)</w:t>
      </w:r>
      <w:r>
        <w:rPr>
          <w:rFonts w:ascii="Arial" w:cs="Arial" w:eastAsia="Arial" w:hAnsi="Arial"/>
          <w:sz w:val="17"/>
          <w:szCs w:val="17"/>
          <w:color w:val="auto"/>
        </w:rPr>
        <w:t xml:space="preserve"> which amends the hedge accounting recognition and presentation requirements in ASC 815. The Board’s objectives in issuing the ASU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The ASU is effective for annual reporting periods, including interim periods within those annual reporting periods, beginning after December 15, 2018. Early adoption is permitted, including adoption in any interim period. The Company is evaluating the requirements of this guidance and has not yet determined the impact of the adoption on its consolidated financial position, results of operations and cash flows.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Adopted in 2017</w:t>
      </w:r>
    </w:p>
    <w:p>
      <w:pPr>
        <w:spacing w:after="0" w:line="209" w:lineRule="exact"/>
        <w:rPr>
          <w:sz w:val="20"/>
          <w:szCs w:val="20"/>
          <w:color w:val="auto"/>
        </w:rPr>
      </w:pPr>
    </w:p>
    <w:p>
      <w:pPr>
        <w:jc w:val="both"/>
        <w:ind w:right="60" w:firstLine="413"/>
        <w:spacing w:after="0" w:line="260" w:lineRule="auto"/>
        <w:rPr>
          <w:sz w:val="20"/>
          <w:szCs w:val="20"/>
          <w:color w:val="auto"/>
        </w:rPr>
      </w:pPr>
      <w:r>
        <w:rPr>
          <w:rFonts w:ascii="Arial" w:cs="Arial" w:eastAsia="Arial" w:hAnsi="Arial"/>
          <w:sz w:val="17"/>
          <w:szCs w:val="17"/>
          <w:color w:val="auto"/>
        </w:rPr>
        <w:t xml:space="preserve">In March 2016, the FASB issued ASU 2016-09, Compensation – Stock Compensation (Topic 718):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which simplifies the accounting for share-based payment transactions, including the income tax consequences, classification of awards as either equity or liabilities and classification on the statement of cash flows.</w:t>
      </w:r>
    </w:p>
    <w:p>
      <w:pPr>
        <w:spacing w:after="0" w:line="174" w:lineRule="exact"/>
        <w:rPr>
          <w:sz w:val="20"/>
          <w:szCs w:val="20"/>
          <w:color w:val="auto"/>
        </w:rPr>
      </w:pPr>
    </w:p>
    <w:p>
      <w:pPr>
        <w:ind w:firstLine="413"/>
        <w:spacing w:after="0" w:line="269" w:lineRule="auto"/>
        <w:rPr>
          <w:sz w:val="20"/>
          <w:szCs w:val="20"/>
          <w:color w:val="auto"/>
        </w:rPr>
      </w:pPr>
      <w:r>
        <w:rPr>
          <w:rFonts w:ascii="Arial" w:cs="Arial" w:eastAsia="Arial" w:hAnsi="Arial"/>
          <w:sz w:val="16"/>
          <w:szCs w:val="16"/>
          <w:color w:val="auto"/>
        </w:rPr>
        <w:t>The standard requires an entity to recognize all excess tax benefits and tax deficiencies as income tax benefit or expense in the income statement as discrete items in the reporting period in which they occur, and such tax benefits and tax deficiencies are not included in the estimate of an entity’s annual effective tax rate, applied on a prospective basis. Further, the standard eliminates the requirement to defer the recognition of excess tax benefits until the benefit is realized through a reduction to taxes payable. All excess tax benefits previously unrecognized, along with any valuation allowance, should be recognized on a modified retrospective basis as a cumulative adjustment to retained earnings as of the date of adoption. Under ASU 2016-09, an entity that applies the treasury stock method in calculating diluted earnings per share is required to exclude excess tax benefits and deficiencies from the calculation of assumed proceeds since such amounts are recognized in the income statement. Excess tax benefits should also be classified as operating activities in the same manner as other cash flows related to income taxes on the statement of cash flows, as such excess tax benefits no longer represent financing activities since they are recognized in the income statement, and should be applied prospectively or retrospectively to all periods presented.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100" w:firstLine="413"/>
        <w:spacing w:after="0" w:line="254" w:lineRule="auto"/>
        <w:rPr>
          <w:sz w:val="20"/>
          <w:szCs w:val="20"/>
          <w:color w:val="auto"/>
        </w:rPr>
      </w:pPr>
      <w:r>
        <w:rPr>
          <w:rFonts w:ascii="Arial" w:cs="Arial" w:eastAsia="Arial" w:hAnsi="Arial"/>
          <w:sz w:val="17"/>
          <w:szCs w:val="17"/>
          <w:color w:val="auto"/>
        </w:rPr>
        <w:t>The Company adopted ASU 2016-09 as of January 1, 2017. The Company recorded a cumulative increase in retained earnings of $0.5 million at the beginning of the first quarter of 2017 with a corresponding increase in deferred tax assets related to the prior years’ unrecognized excess tax benefits. An equal amount of valuation allowance was also recorded against these deferred tax assets with a corresponding decrease to retained earnings resulting in no net impact to retained earnings and deferred tax assets. In addition, tax deficiencies related to vested restricted stock units and canceled stock options during the year ended December 31, 2017 have been recognized in the current period’s income statement.</w:t>
      </w:r>
    </w:p>
    <w:p>
      <w:pPr>
        <w:spacing w:after="0" w:line="180" w:lineRule="exact"/>
        <w:rPr>
          <w:sz w:val="20"/>
          <w:szCs w:val="20"/>
          <w:color w:val="auto"/>
        </w:rPr>
      </w:pPr>
    </w:p>
    <w:p>
      <w:pPr>
        <w:ind w:right="40" w:firstLine="413"/>
        <w:spacing w:after="0" w:line="293" w:lineRule="auto"/>
        <w:rPr>
          <w:sz w:val="20"/>
          <w:szCs w:val="20"/>
          <w:color w:val="auto"/>
        </w:rPr>
      </w:pPr>
      <w:r>
        <w:rPr>
          <w:rFonts w:ascii="Arial" w:cs="Arial" w:eastAsia="Arial" w:hAnsi="Arial"/>
          <w:sz w:val="15"/>
          <w:szCs w:val="15"/>
          <w:color w:val="auto"/>
        </w:rPr>
        <w:t>ASU 2016-09 also allows an entity to elect as an accounting policy either to continue to estimate the total number of awards for which the requisite service period will not be rendered or to account for forfeitures for service based awards as they occur. An entity that elects to account for forfeitures as they occur should apply the accounting change on a modified retrospective basis as a cumulative effect adjustment to retained earnings as of the date of adoption. The Company elected as an accounting policy to account for forfeitures for service based awards as they occur, and as a result, the Company recorded a cumulative effect adjustment of $0.1 million to reduce retained earnings with a corresponding increase in additional paid in capital related to the prior years’ stock-based compensation expense as required under the modified retrospective approach. The tax effect of this adjustment, which included the impact of a valuation allowance was immaterial.</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Adopted in 2018</w:t>
      </w:r>
    </w:p>
    <w:p>
      <w:pPr>
        <w:spacing w:after="0" w:line="209" w:lineRule="exact"/>
        <w:rPr>
          <w:sz w:val="20"/>
          <w:szCs w:val="20"/>
          <w:color w:val="auto"/>
        </w:rPr>
      </w:pPr>
    </w:p>
    <w:p>
      <w:pPr>
        <w:ind w:firstLine="413"/>
        <w:spacing w:after="0" w:line="254"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 new accounting standard that provides for a comprehensive model to use in the accounting for revenue arising from contracts with customers that will replace most existing revenue recognition guidance within generally accepted accounting principles in the United States. Under this standard, revenue will be recognized to depict the transfer of promised goods or services to customers in an amount that reflects the consideration to which the Company expects to be entitled in exchange for those goods or services.</w:t>
      </w:r>
    </w:p>
    <w:p>
      <w:pPr>
        <w:spacing w:after="0" w:line="180" w:lineRule="exact"/>
        <w:rPr>
          <w:sz w:val="20"/>
          <w:szCs w:val="20"/>
          <w:color w:val="auto"/>
        </w:rPr>
      </w:pPr>
    </w:p>
    <w:p>
      <w:pPr>
        <w:ind w:right="140" w:firstLine="413"/>
        <w:spacing w:after="0" w:line="271" w:lineRule="auto"/>
        <w:rPr>
          <w:sz w:val="20"/>
          <w:szCs w:val="20"/>
          <w:color w:val="auto"/>
        </w:rPr>
      </w:pPr>
      <w:r>
        <w:rPr>
          <w:rFonts w:ascii="Arial" w:cs="Arial" w:eastAsia="Arial" w:hAnsi="Arial"/>
          <w:sz w:val="16"/>
          <w:szCs w:val="16"/>
          <w:color w:val="auto"/>
        </w:rPr>
        <w:t>The Company has completed the process of evaluating the impact of the new standard on its consolidated financial position, results of operations and cash flows. The Company adopted this standard as of January 1, 2018 using the modified retrospective approach. As part of the implementation of the standard, the Company identified its significant revenue streams, which currently consist primarily of product revenue transactions, and to a lesser extent, extended warranty transactions on certain product sales, and revenues from government contracts. The timing of recognizing revenues for these revenue streams is not expected to materially change. Additionally, no material changes to business processes, systems and controls are expected. The Company is drafting enhanced revenue disclosures which will be presented prospectively starting in the first quarter of 2018.</w:t>
      </w:r>
    </w:p>
    <w:p>
      <w:pPr>
        <w:spacing w:after="0" w:line="171" w:lineRule="exact"/>
        <w:rPr>
          <w:sz w:val="20"/>
          <w:szCs w:val="20"/>
          <w:color w:val="auto"/>
        </w:rPr>
      </w:pPr>
    </w:p>
    <w:p>
      <w:pPr>
        <w:ind w:right="220" w:firstLine="380"/>
        <w:spacing w:after="0" w:line="293" w:lineRule="auto"/>
        <w:rPr>
          <w:sz w:val="20"/>
          <w:szCs w:val="20"/>
          <w:color w:val="auto"/>
        </w:rPr>
      </w:pPr>
      <w:r>
        <w:rPr>
          <w:rFonts w:ascii="Arial" w:cs="Arial" w:eastAsia="Arial" w:hAnsi="Arial"/>
          <w:sz w:val="15"/>
          <w:szCs w:val="15"/>
          <w:color w:val="auto"/>
        </w:rPr>
        <w:t>In May 2017, the FASB issued ASU 2017-09, Stock compensation (Topic 718): Scope of modification accounting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ASU is effective for annual reporting periods, including interim periods within those annual reporting periods, beginning after December 15, 2017. The Company adopted this guidance on January 1, 2018, and the new standard did not have a material impact on its consolidated financial position, results of operations and cash flows..</w:t>
      </w:r>
    </w:p>
    <w:p>
      <w:pPr>
        <w:spacing w:after="0" w:line="150" w:lineRule="exact"/>
        <w:rPr>
          <w:sz w:val="20"/>
          <w:szCs w:val="20"/>
          <w:color w:val="auto"/>
        </w:rPr>
      </w:pPr>
    </w:p>
    <w:p>
      <w:pPr>
        <w:ind w:left="340" w:hanging="339"/>
        <w:spacing w:after="0"/>
        <w:tabs>
          <w:tab w:leader="none" w:pos="34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Concentrations</w:t>
      </w:r>
    </w:p>
    <w:p>
      <w:pPr>
        <w:spacing w:after="0" w:line="315" w:lineRule="exact"/>
        <w:rPr>
          <w:sz w:val="20"/>
          <w:szCs w:val="20"/>
          <w:color w:val="auto"/>
        </w:rPr>
      </w:pPr>
    </w:p>
    <w:p>
      <w:pPr>
        <w:ind w:right="300" w:firstLine="413"/>
        <w:spacing w:after="0" w:line="271" w:lineRule="auto"/>
        <w:rPr>
          <w:sz w:val="20"/>
          <w:szCs w:val="20"/>
          <w:color w:val="auto"/>
        </w:rPr>
      </w:pPr>
      <w:r>
        <w:rPr>
          <w:rFonts w:ascii="Arial" w:cs="Arial" w:eastAsia="Arial" w:hAnsi="Arial"/>
          <w:sz w:val="17"/>
          <w:szCs w:val="17"/>
          <w:color w:val="auto"/>
        </w:rPr>
        <w:t>No customer accounted for more than 10% of revenues for the years ended December 31, 2017, 2016 and 2015. At December 31, 2017 and 2016, no customer accounted for more than 10% of net accounts receivable.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ind w:left="340" w:hanging="339"/>
        <w:spacing w:after="0"/>
        <w:tabs>
          <w:tab w:leader="none" w:pos="34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Accumulated Other Comprehensive Loss</w:t>
      </w:r>
    </w:p>
    <w:p>
      <w:pPr>
        <w:spacing w:after="0" w:line="31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Changes in each component of accumulated other comprehensive loss, net of tax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76"/>
              <w:spacing w:after="0"/>
              <w:rPr>
                <w:sz w:val="20"/>
                <w:szCs w:val="20"/>
                <w:color w:val="auto"/>
              </w:rPr>
            </w:pPr>
            <w:r>
              <w:rPr>
                <w:rFonts w:ascii="Arial" w:cs="Arial" w:eastAsia="Arial" w:hAnsi="Arial"/>
                <w:sz w:val="17"/>
                <w:szCs w:val="17"/>
                <w:color w:val="auto"/>
                <w:w w:val="90"/>
              </w:rPr>
              <w:t>Foreign currency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7"/>
                <w:szCs w:val="17"/>
                <w:color w:val="auto"/>
                <w:w w:val="92"/>
              </w:rPr>
              <w:t>Derivatives</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60" w:type="dxa"/>
            <w:vAlign w:val="bottom"/>
            <w:gridSpan w:val="2"/>
            <w:vMerge w:val="restart"/>
          </w:tcPr>
          <w:p>
            <w:pPr>
              <w:spacing w:after="0"/>
              <w:rPr>
                <w:sz w:val="20"/>
                <w:szCs w:val="20"/>
                <w:color w:val="auto"/>
              </w:rPr>
            </w:pPr>
            <w:r>
              <w:rPr>
                <w:rFonts w:ascii="Arial" w:cs="Arial" w:eastAsia="Arial" w:hAnsi="Arial"/>
                <w:sz w:val="17"/>
                <w:szCs w:val="17"/>
                <w:color w:val="auto"/>
              </w:rPr>
              <w:t>(in thousands)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76"/>
              <w:spacing w:after="0"/>
              <w:rPr>
                <w:sz w:val="20"/>
                <w:szCs w:val="20"/>
                <w:color w:val="auto"/>
              </w:rPr>
            </w:pPr>
            <w:r>
              <w:rPr>
                <w:rFonts w:ascii="Arial" w:cs="Arial" w:eastAsia="Arial" w:hAnsi="Arial"/>
                <w:sz w:val="17"/>
                <w:szCs w:val="17"/>
                <w:color w:val="auto"/>
                <w:w w:val="91"/>
              </w:rPr>
              <w:t>translation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7"/>
                <w:szCs w:val="17"/>
                <w:color w:val="auto"/>
                <w:w w:val="93"/>
              </w:rPr>
              <w:t>qualifying as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Defined benefit</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76"/>
              <w:spacing w:after="0"/>
              <w:rPr>
                <w:sz w:val="20"/>
                <w:szCs w:val="20"/>
                <w:color w:val="auto"/>
              </w:rPr>
            </w:pPr>
            <w:r>
              <w:rPr>
                <w:rFonts w:ascii="Arial" w:cs="Arial" w:eastAsia="Arial" w:hAnsi="Arial"/>
                <w:sz w:val="17"/>
                <w:szCs w:val="17"/>
                <w:color w:val="auto"/>
                <w:w w:val="87"/>
              </w:rPr>
              <w:t>adjustments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7"/>
                <w:szCs w:val="17"/>
                <w:color w:val="auto"/>
                <w:w w:val="82"/>
              </w:rPr>
              <w:t>hedges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7"/>
                <w:szCs w:val="17"/>
                <w:color w:val="auto"/>
                <w:w w:val="87"/>
              </w:rPr>
              <w:t>pension plans</w:t>
            </w:r>
          </w:p>
        </w:tc>
        <w:tc>
          <w:tcPr>
            <w:tcW w:w="340" w:type="dxa"/>
            <w:vAlign w:val="bottom"/>
          </w:tcPr>
          <w:p>
            <w:pPr>
              <w:spacing w:after="0"/>
              <w:rPr>
                <w:sz w:val="18"/>
                <w:szCs w:val="18"/>
                <w:color w:val="auto"/>
              </w:rPr>
            </w:pPr>
          </w:p>
        </w:tc>
        <w:tc>
          <w:tcPr>
            <w:tcW w:w="1240" w:type="dxa"/>
            <w:vAlign w:val="bottom"/>
          </w:tcPr>
          <w:p>
            <w:pPr>
              <w:jc w:val="right"/>
              <w:ind w:right="536"/>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2015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w w:val="96"/>
              </w:rPr>
              <w:t>Other comprehensive (loss) income before reclassifications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Amounts reclassified from AOCI</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252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other comprehensive (loss) income</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(4,774)</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7"/>
                <w:szCs w:val="17"/>
                <w:b w:val="1"/>
                <w:bCs w:val="1"/>
                <w:color w:val="auto"/>
              </w:rPr>
              <w:t>Balance at December 31, 2016</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(14,200)</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(2,458)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(16,658)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7"/>
                <w:szCs w:val="17"/>
                <w:color w:val="auto"/>
                <w:w w:val="96"/>
              </w:rPr>
              <w:t>Other comprehensive (loss) income before reclassifications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ind w:right="36"/>
              <w:spacing w:after="0"/>
              <w:rPr>
                <w:sz w:val="20"/>
                <w:szCs w:val="20"/>
                <w:color w:val="auto"/>
              </w:rPr>
            </w:pPr>
            <w:r>
              <w:rPr>
                <w:rFonts w:ascii="Arial" w:cs="Arial" w:eastAsia="Arial" w:hAnsi="Arial"/>
                <w:sz w:val="17"/>
                <w:szCs w:val="17"/>
                <w:color w:val="auto"/>
              </w:rPr>
              <w:t>4,445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1,200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5,621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Amounts reclassified from AOCI</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300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361</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(loss) income</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4,445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1,500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5,982</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2017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amounts reclassified out of accumulated other comprehensive (loss) income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7"/>
                <w:szCs w:val="17"/>
                <w:b w:val="1"/>
                <w:bCs w:val="1"/>
                <w:color w:val="auto"/>
                <w:w w:val="89"/>
              </w:rPr>
              <w:t>Affected line item in the</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right"/>
              <w:ind w:right="206"/>
              <w:spacing w:after="0"/>
              <w:rPr>
                <w:sz w:val="20"/>
                <w:szCs w:val="20"/>
                <w:color w:val="auto"/>
              </w:rPr>
            </w:pPr>
            <w:r>
              <w:rPr>
                <w:rFonts w:ascii="Arial" w:cs="Arial" w:eastAsia="Arial" w:hAnsi="Arial"/>
                <w:sz w:val="17"/>
                <w:szCs w:val="17"/>
                <w:b w:val="1"/>
                <w:bCs w:val="1"/>
                <w:color w:val="auto"/>
                <w:w w:val="89"/>
              </w:rPr>
              <w:t>Year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480" w:type="dxa"/>
            <w:vAlign w:val="bottom"/>
            <w:gridSpan w:val="2"/>
          </w:tcPr>
          <w:p>
            <w:pPr>
              <w:spacing w:after="0"/>
              <w:rPr>
                <w:sz w:val="20"/>
                <w:szCs w:val="20"/>
                <w:color w:val="auto"/>
              </w:rPr>
            </w:pPr>
            <w:r>
              <w:rPr>
                <w:rFonts w:ascii="Arial" w:cs="Arial" w:eastAsia="Arial" w:hAnsi="Arial"/>
                <w:sz w:val="17"/>
                <w:szCs w:val="17"/>
                <w:color w:val="auto"/>
              </w:rPr>
              <w:t>(in thousands)</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Statements of Operations</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2017</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2016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4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Amounts Reclassified From AOCI</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ind w:left="140"/>
              <w:spacing w:after="0"/>
              <w:rPr>
                <w:sz w:val="20"/>
                <w:szCs w:val="20"/>
                <w:color w:val="auto"/>
              </w:rPr>
            </w:pPr>
            <w:r>
              <w:rPr>
                <w:rFonts w:ascii="Arial" w:cs="Arial" w:eastAsia="Arial" w:hAnsi="Arial"/>
                <w:sz w:val="17"/>
                <w:szCs w:val="17"/>
                <w:color w:val="auto"/>
              </w:rPr>
              <w:t>Derivatives qualifying as hedges</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Realized loss on derivatives qualifying as hedges</w:t>
            </w: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Interest expense</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Income tax</w:t>
            </w:r>
          </w:p>
        </w:tc>
        <w:tc>
          <w:tcPr>
            <w:tcW w:w="198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89"/>
              </w:rPr>
              <w:t>Income tax (benefit) expense</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6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60" w:type="dxa"/>
            <w:vAlign w:val="bottom"/>
          </w:tcPr>
          <w:p>
            <w:pPr>
              <w:ind w:left="140"/>
              <w:spacing w:after="0"/>
              <w:rPr>
                <w:sz w:val="20"/>
                <w:szCs w:val="20"/>
                <w:color w:val="auto"/>
              </w:rPr>
            </w:pPr>
            <w:r>
              <w:rPr>
                <w:rFonts w:ascii="Arial" w:cs="Arial" w:eastAsia="Arial" w:hAnsi="Arial"/>
                <w:sz w:val="17"/>
                <w:szCs w:val="17"/>
                <w:color w:val="auto"/>
              </w:rPr>
              <w:t>Defined benefit pension plans</w:t>
            </w: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shd w:val="clear" w:color="auto" w:fill="CCEEFF"/>
          </w:tcPr>
          <w:p>
            <w:pPr>
              <w:ind w:left="320"/>
              <w:spacing w:after="0" w:line="190" w:lineRule="exact"/>
              <w:rPr>
                <w:sz w:val="20"/>
                <w:szCs w:val="20"/>
                <w:color w:val="auto"/>
              </w:rPr>
            </w:pPr>
            <w:r>
              <w:rPr>
                <w:rFonts w:ascii="Arial" w:cs="Arial" w:eastAsia="Arial" w:hAnsi="Arial"/>
                <w:sz w:val="17"/>
                <w:szCs w:val="17"/>
                <w:color w:val="auto"/>
                <w:w w:val="94"/>
              </w:rPr>
              <w:t>Amortization of net losses included in net periodic pension</w:t>
            </w:r>
          </w:p>
        </w:tc>
        <w:tc>
          <w:tcPr>
            <w:tcW w:w="198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auto"/>
                <w:w w:val="89"/>
              </w:rPr>
              <w:t>General and administrative</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costs</w:t>
            </w: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expenses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Income tax</w:t>
            </w:r>
          </w:p>
        </w:tc>
        <w:tc>
          <w:tcPr>
            <w:tcW w:w="198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89"/>
              </w:rPr>
              <w:t>Income tax (benefit) expense</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6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252</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reclassifications</w:t>
            </w:r>
          </w:p>
        </w:tc>
        <w:tc>
          <w:tcPr>
            <w:tcW w:w="19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1">
            <w:col w:w="11420"/>
          </w:cols>
          <w:pgMar w:left="240" w:top="228" w:right="239" w:bottom="1440" w:gutter="0" w:footer="0" w:header="0"/>
        </w:sectPr>
      </w:pPr>
    </w:p>
    <w:p>
      <w:pPr>
        <w:ind w:left="340" w:hanging="339"/>
        <w:spacing w:after="0"/>
        <w:tabs>
          <w:tab w:leader="none" w:pos="34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315" w:lineRule="exact"/>
        <w:rPr>
          <w:sz w:val="20"/>
          <w:szCs w:val="20"/>
          <w:color w:val="auto"/>
        </w:rPr>
      </w:pPr>
    </w:p>
    <w:p>
      <w:pPr>
        <w:jc w:val="right"/>
        <w:ind w:right="4540"/>
        <w:spacing w:after="0"/>
        <w:rPr>
          <w:sz w:val="20"/>
          <w:szCs w:val="20"/>
          <w:color w:val="auto"/>
        </w:rPr>
      </w:pPr>
      <w:r>
        <w:rPr>
          <w:rFonts w:ascii="Arial" w:cs="Arial" w:eastAsia="Arial" w:hAnsi="Arial"/>
          <w:sz w:val="17"/>
          <w:szCs w:val="17"/>
          <w:color w:val="auto"/>
        </w:rPr>
        <w:t>Inventories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Finished goods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Work in process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Raw materials</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18"/>
                <w:szCs w:val="18"/>
                <w:color w:val="auto"/>
              </w:rPr>
            </w:pPr>
          </w:p>
        </w:tc>
        <w:tc>
          <w:tcPr>
            <w:tcW w:w="1400" w:type="dxa"/>
            <w:vAlign w:val="bottom"/>
          </w:tcPr>
          <w:p>
            <w:pPr>
              <w:jc w:val="right"/>
              <w:ind w:right="216"/>
              <w:spacing w:after="0"/>
              <w:rPr>
                <w:sz w:val="20"/>
                <w:szCs w:val="20"/>
                <w:color w:val="auto"/>
              </w:rPr>
            </w:pPr>
            <w:r>
              <w:rPr>
                <w:rFonts w:ascii="Arial" w:cs="Arial" w:eastAsia="Arial" w:hAnsi="Arial"/>
                <w:sz w:val="17"/>
                <w:szCs w:val="17"/>
                <w:b w:val="1"/>
                <w:bCs w:val="1"/>
                <w:color w:val="auto"/>
                <w:w w:val="97"/>
              </w:rPr>
              <w:t>December 31,</w:t>
            </w:r>
          </w:p>
        </w:tc>
      </w:tr>
      <w:tr>
        <w:trPr>
          <w:trHeight w:val="219"/>
        </w:trPr>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2016</w:t>
            </w:r>
          </w:p>
        </w:tc>
      </w:tr>
      <w:tr>
        <w:trPr>
          <w:trHeight w:val="183"/>
        </w:trPr>
        <w:tc>
          <w:tcPr>
            <w:tcW w:w="200" w:type="dxa"/>
            <w:vAlign w:val="bottom"/>
          </w:tcPr>
          <w:p>
            <w:pPr>
              <w:spacing w:after="0"/>
              <w:rPr>
                <w:sz w:val="15"/>
                <w:szCs w:val="15"/>
                <w:color w:val="auto"/>
              </w:rPr>
            </w:pPr>
          </w:p>
        </w:tc>
        <w:tc>
          <w:tcPr>
            <w:tcW w:w="3100" w:type="dxa"/>
            <w:vAlign w:val="bottom"/>
            <w:gridSpan w:val="4"/>
          </w:tcPr>
          <w:p>
            <w:pPr>
              <w:jc w:val="right"/>
              <w:ind w:right="1076"/>
              <w:spacing w:after="0" w:line="183" w:lineRule="exact"/>
              <w:rPr>
                <w:sz w:val="20"/>
                <w:szCs w:val="20"/>
                <w:color w:val="auto"/>
              </w:rPr>
            </w:pPr>
            <w:r>
              <w:rPr>
                <w:rFonts w:ascii="Arial" w:cs="Arial" w:eastAsia="Arial" w:hAnsi="Arial"/>
                <w:sz w:val="17"/>
                <w:szCs w:val="17"/>
                <w:color w:val="auto"/>
              </w:rPr>
              <w:t>(in thousands)</w:t>
            </w:r>
          </w:p>
        </w:tc>
      </w:tr>
      <w:tr>
        <w:trPr>
          <w:trHeight w:val="202"/>
        </w:trPr>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10,284</w:t>
            </w:r>
          </w:p>
        </w:tc>
        <w:tc>
          <w:tcPr>
            <w:tcW w:w="12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9,340</w:t>
            </w:r>
          </w:p>
        </w:tc>
      </w:tr>
      <w:tr>
        <w:trPr>
          <w:trHeight w:val="214"/>
        </w:trPr>
        <w:tc>
          <w:tcPr>
            <w:tcW w:w="20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1,042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823</w:t>
            </w:r>
          </w:p>
        </w:tc>
      </w:tr>
      <w:tr>
        <w:trPr>
          <w:trHeight w:val="215"/>
        </w:trPr>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10,027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9,792</w:t>
            </w:r>
          </w:p>
        </w:tc>
      </w:tr>
      <w:tr>
        <w:trPr>
          <w:trHeight w:val="208"/>
        </w:trPr>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21,353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19,955</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-561975</wp:posOffset>
            </wp:positionV>
            <wp:extent cx="7255510" cy="1282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5510" cy="12827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-304800</wp:posOffset>
            </wp:positionV>
            <wp:extent cx="7255510" cy="136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5510" cy="136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228" w:right="239" w:bottom="1440" w:gutter="0" w:footer="0" w:header="0"/>
          <w:type w:val="continuous"/>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7255510"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EE"/>
            </w:tcBorders>
          </w:tcPr>
          <w:p>
            <w:pPr>
              <w:spacing w:after="0"/>
              <w:rPr>
                <w:rFonts w:ascii="Arial" w:cs="Arial" w:eastAsia="Arial" w:hAnsi="Arial"/>
                <w:sz w:val="17"/>
                <w:szCs w:val="17"/>
                <w:color w:val="0000EE"/>
                <w:w w:val="87"/>
              </w:rPr>
            </w:pPr>
            <w:hyperlink w:anchor="page2">
              <w:r>
                <w:rPr>
                  <w:rFonts w:ascii="Arial" w:cs="Arial" w:eastAsia="Arial" w:hAnsi="Arial"/>
                  <w:sz w:val="17"/>
                  <w:szCs w:val="17"/>
                  <w:color w:val="0000EE"/>
                  <w:w w:val="87"/>
                </w:rPr>
                <w:t>Table of Contents</w:t>
              </w:r>
            </w:hyperlink>
          </w:p>
        </w:tc>
        <w:tc>
          <w:tcPr>
            <w:tcW w:w="6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422"/>
        </w:trPr>
        <w:tc>
          <w:tcPr>
            <w:tcW w:w="8120" w:type="dxa"/>
            <w:vAlign w:val="bottom"/>
            <w:gridSpan w:val="2"/>
          </w:tcPr>
          <w:p>
            <w:pPr>
              <w:spacing w:after="0"/>
              <w:rPr>
                <w:sz w:val="20"/>
                <w:szCs w:val="20"/>
                <w:color w:val="auto"/>
              </w:rPr>
            </w:pPr>
            <w:r>
              <w:rPr>
                <w:rFonts w:ascii="Arial" w:cs="Arial" w:eastAsia="Arial" w:hAnsi="Arial"/>
                <w:sz w:val="17"/>
                <w:szCs w:val="17"/>
                <w:b w:val="1"/>
                <w:bCs w:val="1"/>
                <w:color w:val="auto"/>
              </w:rPr>
              <w:t>6.  Property, Plant and Equipment</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06"/>
        </w:trPr>
        <w:tc>
          <w:tcPr>
            <w:tcW w:w="8120" w:type="dxa"/>
            <w:vAlign w:val="bottom"/>
            <w:gridSpan w:val="2"/>
          </w:tcPr>
          <w:p>
            <w:pPr>
              <w:ind w:left="600"/>
              <w:spacing w:after="0"/>
              <w:rPr>
                <w:sz w:val="20"/>
                <w:szCs w:val="20"/>
                <w:color w:val="auto"/>
              </w:rPr>
            </w:pPr>
            <w:r>
              <w:rPr>
                <w:rFonts w:ascii="Arial" w:cs="Arial" w:eastAsia="Arial" w:hAnsi="Arial"/>
                <w:sz w:val="17"/>
                <w:szCs w:val="17"/>
                <w:color w:val="auto"/>
              </w:rPr>
              <w:t>Property, plant and equipment consist of the following:</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2"/>
        </w:trPr>
        <w:tc>
          <w:tcPr>
            <w:tcW w:w="12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24"/>
                <w:szCs w:val="24"/>
                <w:color w:val="auto"/>
              </w:rPr>
            </w:pPr>
          </w:p>
        </w:tc>
        <w:tc>
          <w:tcPr>
            <w:tcW w:w="1400" w:type="dxa"/>
            <w:vAlign w:val="bottom"/>
          </w:tcPr>
          <w:p>
            <w:pPr>
              <w:jc w:val="right"/>
              <w:ind w:right="216"/>
              <w:spacing w:after="0"/>
              <w:rPr>
                <w:sz w:val="20"/>
                <w:szCs w:val="20"/>
                <w:color w:val="auto"/>
              </w:rPr>
            </w:pPr>
            <w:r>
              <w:rPr>
                <w:rFonts w:ascii="Arial" w:cs="Arial" w:eastAsia="Arial" w:hAnsi="Arial"/>
                <w:sz w:val="17"/>
                <w:szCs w:val="17"/>
                <w:b w:val="1"/>
                <w:bCs w:val="1"/>
                <w:color w:val="auto"/>
                <w:w w:val="97"/>
              </w:rPr>
              <w:t>December 31,</w:t>
            </w:r>
          </w:p>
        </w:tc>
      </w:tr>
      <w:tr>
        <w:trPr>
          <w:trHeight w:val="219"/>
        </w:trPr>
        <w:tc>
          <w:tcPr>
            <w:tcW w:w="120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2016</w:t>
            </w:r>
          </w:p>
        </w:tc>
      </w:tr>
      <w:tr>
        <w:trPr>
          <w:trHeight w:val="195"/>
        </w:trPr>
        <w:tc>
          <w:tcPr>
            <w:tcW w:w="12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4"/>
          </w:tcPr>
          <w:p>
            <w:pPr>
              <w:jc w:val="right"/>
              <w:ind w:right="1076"/>
              <w:spacing w:after="0"/>
              <w:rPr>
                <w:sz w:val="20"/>
                <w:szCs w:val="20"/>
                <w:color w:val="auto"/>
              </w:rPr>
            </w:pPr>
            <w:r>
              <w:rPr>
                <w:rFonts w:ascii="Arial" w:cs="Arial" w:eastAsia="Arial" w:hAnsi="Arial"/>
                <w:sz w:val="17"/>
                <w:szCs w:val="17"/>
                <w:color w:val="auto"/>
              </w:rPr>
              <w:t>(in thousands)</w:t>
            </w:r>
          </w:p>
        </w:tc>
      </w:tr>
      <w:tr>
        <w:trPr>
          <w:trHeight w:val="202"/>
        </w:trPr>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Land, buildings and leasehold improvements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2,220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2,095</w:t>
            </w:r>
          </w:p>
        </w:tc>
      </w:tr>
      <w:tr>
        <w:trPr>
          <w:trHeight w:val="202"/>
        </w:trPr>
        <w:tc>
          <w:tcPr>
            <w:tcW w:w="8120" w:type="dxa"/>
            <w:vAlign w:val="bottom"/>
            <w:gridSpan w:val="2"/>
          </w:tcPr>
          <w:p>
            <w:pPr>
              <w:spacing w:after="0"/>
              <w:rPr>
                <w:sz w:val="20"/>
                <w:szCs w:val="20"/>
                <w:color w:val="auto"/>
              </w:rPr>
            </w:pPr>
            <w:r>
              <w:rPr>
                <w:rFonts w:ascii="Arial" w:cs="Arial" w:eastAsia="Arial" w:hAnsi="Arial"/>
                <w:sz w:val="17"/>
                <w:szCs w:val="17"/>
                <w:color w:val="auto"/>
              </w:rPr>
              <w:t>Machinery and equipment</w:t>
            </w: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7,758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7,224</w:t>
            </w:r>
          </w:p>
        </w:tc>
      </w:tr>
      <w:tr>
        <w:trPr>
          <w:trHeight w:val="202"/>
        </w:trPr>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Computer equipment and software</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9,149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8,115</w:t>
            </w:r>
          </w:p>
        </w:tc>
      </w:tr>
      <w:tr>
        <w:trPr>
          <w:trHeight w:val="202"/>
        </w:trPr>
        <w:tc>
          <w:tcPr>
            <w:tcW w:w="8120" w:type="dxa"/>
            <w:vAlign w:val="bottom"/>
            <w:gridSpan w:val="2"/>
          </w:tcPr>
          <w:p>
            <w:pPr>
              <w:spacing w:after="0"/>
              <w:rPr>
                <w:sz w:val="20"/>
                <w:szCs w:val="20"/>
                <w:color w:val="auto"/>
              </w:rPr>
            </w:pPr>
            <w:r>
              <w:rPr>
                <w:rFonts w:ascii="Arial" w:cs="Arial" w:eastAsia="Arial" w:hAnsi="Arial"/>
                <w:sz w:val="17"/>
                <w:szCs w:val="17"/>
                <w:color w:val="auto"/>
              </w:rPr>
              <w:t>Furniture and fixtures</w:t>
            </w: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1,243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1,274</w:t>
            </w:r>
          </w:p>
        </w:tc>
      </w:tr>
      <w:tr>
        <w:trPr>
          <w:trHeight w:val="215"/>
        </w:trPr>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Automobiles</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196</w:t>
            </w:r>
          </w:p>
        </w:tc>
      </w:tr>
      <w:tr>
        <w:trPr>
          <w:trHeight w:val="195"/>
        </w:trPr>
        <w:tc>
          <w:tcPr>
            <w:tcW w:w="12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20,490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18,904</w:t>
            </w:r>
          </w:p>
        </w:tc>
      </w:tr>
      <w:tr>
        <w:trPr>
          <w:trHeight w:val="215"/>
        </w:trPr>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(16,350)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(14,608)</w:t>
            </w:r>
          </w:p>
        </w:tc>
      </w:tr>
      <w:tr>
        <w:trPr>
          <w:trHeight w:val="207"/>
        </w:trPr>
        <w:tc>
          <w:tcPr>
            <w:tcW w:w="8120" w:type="dxa"/>
            <w:vAlign w:val="bottom"/>
            <w:gridSpan w:val="2"/>
          </w:tcPr>
          <w:p>
            <w:pPr>
              <w:spacing w:after="0" w:line="194" w:lineRule="exact"/>
              <w:rPr>
                <w:sz w:val="20"/>
                <w:szCs w:val="20"/>
                <w:color w:val="auto"/>
              </w:rPr>
            </w:pPr>
            <w:r>
              <w:rPr>
                <w:rFonts w:ascii="Arial" w:cs="Arial" w:eastAsia="Arial" w:hAnsi="Arial"/>
                <w:sz w:val="17"/>
                <w:szCs w:val="17"/>
                <w:color w:val="auto"/>
              </w:rPr>
              <w:t>Property, plant and equipment, net</w:t>
            </w: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4,140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4,296</w:t>
            </w:r>
          </w:p>
        </w:tc>
      </w:tr>
      <w:tr>
        <w:trPr>
          <w:trHeight w:val="20"/>
        </w:trPr>
        <w:tc>
          <w:tcPr>
            <w:tcW w:w="12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7.</w:t>
        <w:tab/>
        <w:t>Acquisitions</w:t>
      </w:r>
    </w:p>
    <w:p>
      <w:pPr>
        <w:spacing w:after="0" w:line="31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further discussed in Note 25 (Subsequent Events) on January 31, 2018, the Company completed the acquisition of Data Sciences International, Inc.</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HEKA Elektronik</w:t>
      </w:r>
    </w:p>
    <w:p>
      <w:pPr>
        <w:spacing w:after="0" w:line="209" w:lineRule="exact"/>
        <w:rPr>
          <w:sz w:val="20"/>
          <w:szCs w:val="20"/>
          <w:color w:val="auto"/>
        </w:rPr>
      </w:pPr>
    </w:p>
    <w:p>
      <w:pPr>
        <w:ind w:right="80" w:firstLine="413"/>
        <w:spacing w:after="0" w:line="301" w:lineRule="auto"/>
        <w:rPr>
          <w:sz w:val="20"/>
          <w:szCs w:val="20"/>
          <w:color w:val="auto"/>
        </w:rPr>
      </w:pPr>
      <w:r>
        <w:rPr>
          <w:rFonts w:ascii="Arial" w:cs="Arial" w:eastAsia="Arial" w:hAnsi="Arial"/>
          <w:sz w:val="15"/>
          <w:szCs w:val="15"/>
          <w:color w:val="auto"/>
        </w:rPr>
        <w:t>On January 8, 2015, the Company, through its wholly-owned Ealing Scientific Limited and Multi-Channel Systems MCS GmbH (MCS) subsidiaries, acquired all of the issued and outstanding shares of HEKA Elektronik (HEKA) for approximately $5.9 million, or $4.5 million, net of cash acquired. Included in the acquisition of HEKA were: HEKA Electronik Dr. Schulze GmbH, based in Lambrecht, Germany (HEKA Germany); HEKA Electronics Incorporated, based in Chester, Nova Scotia, Canada (HEKA Canada); and HEKA Instruments Incorporated, based in Bellmore, New York. The Company funded the acquisition from its existing cash balances.</w:t>
      </w:r>
    </w:p>
    <w:p>
      <w:pPr>
        <w:spacing w:after="0" w:line="147" w:lineRule="exact"/>
        <w:rPr>
          <w:sz w:val="20"/>
          <w:szCs w:val="20"/>
          <w:color w:val="auto"/>
        </w:rPr>
      </w:pPr>
    </w:p>
    <w:p>
      <w:pPr>
        <w:jc w:val="both"/>
        <w:ind w:right="700" w:firstLine="413"/>
        <w:spacing w:after="0" w:line="260" w:lineRule="auto"/>
        <w:rPr>
          <w:sz w:val="20"/>
          <w:szCs w:val="20"/>
          <w:color w:val="auto"/>
        </w:rPr>
      </w:pPr>
      <w:r>
        <w:rPr>
          <w:rFonts w:ascii="Arial" w:cs="Arial" w:eastAsia="Arial" w:hAnsi="Arial"/>
          <w:sz w:val="17"/>
          <w:szCs w:val="17"/>
          <w:color w:val="auto"/>
        </w:rPr>
        <w:t>HEKA is a developer, manufacturer and marketer of sophisticated electrophysiology instrumentation and software for biomedical and industrial research applications. This acquisition is complementary to the electrophysiology line currently offered by the Company’s wholly-owned Warner Instruments and MCS subsidiaries.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aggregate purchase price for this acquisition was allocated to tangible and intangible assets acquired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36"/>
              <w:spacing w:after="0"/>
              <w:rPr>
                <w:sz w:val="20"/>
                <w:szCs w:val="20"/>
                <w:color w:val="auto"/>
              </w:rPr>
            </w:pPr>
            <w:r>
              <w:rPr>
                <w:rFonts w:ascii="Arial" w:cs="Arial" w:eastAsia="Arial" w:hAnsi="Arial"/>
                <w:sz w:val="17"/>
                <w:szCs w:val="17"/>
                <w:color w:val="auto"/>
                <w:w w:val="96"/>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Tangible assets</w:t>
            </w:r>
          </w:p>
        </w:tc>
        <w:tc>
          <w:tcPr>
            <w:tcW w:w="5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4,165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Liabilities assumed</w:t>
            </w:r>
          </w:p>
        </w:tc>
        <w:tc>
          <w:tcPr>
            <w:tcW w:w="5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Net assets</w:t>
            </w:r>
          </w:p>
        </w:tc>
        <w:tc>
          <w:tcPr>
            <w:tcW w:w="5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1,739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Goodwill and intangible assets:</w:t>
            </w:r>
          </w:p>
        </w:tc>
        <w:tc>
          <w:tcPr>
            <w:tcW w:w="5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Goodwill</w:t>
            </w:r>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1,668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Trade name</w:t>
            </w:r>
          </w:p>
        </w:tc>
        <w:tc>
          <w:tcPr>
            <w:tcW w:w="5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Customer relationships</w:t>
            </w:r>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1,627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5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Non-compete agreements</w:t>
            </w:r>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5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4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color w:val="auto"/>
              </w:rPr>
              <w:t>Total goodwill and intangible assets, net of tax</w:t>
            </w:r>
          </w:p>
        </w:tc>
        <w:tc>
          <w:tcPr>
            <w:tcW w:w="5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4,189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Acquisition purchase price</w:t>
            </w:r>
          </w:p>
        </w:tc>
        <w:tc>
          <w:tcPr>
            <w:tcW w:w="5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680" w:type="dxa"/>
            <w:vAlign w:val="bottom"/>
            <w:gridSpan w:val="2"/>
          </w:tcPr>
          <w:p>
            <w:pPr>
              <w:jc w:val="right"/>
              <w:ind w:right="4160"/>
              <w:spacing w:after="0"/>
              <w:rPr>
                <w:sz w:val="20"/>
                <w:szCs w:val="20"/>
                <w:color w:val="auto"/>
              </w:rPr>
            </w:pPr>
            <w:r>
              <w:rPr>
                <w:rFonts w:ascii="Arial" w:cs="Arial" w:eastAsia="Arial" w:hAnsi="Arial"/>
                <w:sz w:val="17"/>
                <w:szCs w:val="17"/>
                <w:color w:val="auto"/>
              </w:rPr>
              <w:t>F-16</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340" w:type="dxa"/>
            <w:vAlign w:val="bottom"/>
            <w:shd w:val="clear" w:color="auto" w:fill="000000"/>
          </w:tcPr>
          <w:p>
            <w:pPr>
              <w:spacing w:after="0"/>
              <w:rPr>
                <w:sz w:val="5"/>
                <w:szCs w:val="5"/>
                <w:color w:val="auto"/>
              </w:rPr>
            </w:pPr>
          </w:p>
        </w:tc>
        <w:tc>
          <w:tcPr>
            <w:tcW w:w="54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0"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Goodwill recorded as a result of the acquisition of HEKA is not deductible for tax purposes.</w:t>
      </w:r>
    </w:p>
    <w:p>
      <w:pPr>
        <w:spacing w:after="0" w:line="209" w:lineRule="exact"/>
        <w:rPr>
          <w:sz w:val="20"/>
          <w:szCs w:val="20"/>
          <w:color w:val="auto"/>
        </w:rPr>
      </w:pPr>
    </w:p>
    <w:p>
      <w:pPr>
        <w:ind w:right="60" w:firstLine="413"/>
        <w:spacing w:after="0" w:line="271" w:lineRule="auto"/>
        <w:rPr>
          <w:sz w:val="20"/>
          <w:szCs w:val="20"/>
          <w:color w:val="auto"/>
        </w:rPr>
      </w:pPr>
      <w:r>
        <w:rPr>
          <w:rFonts w:ascii="Arial" w:cs="Arial" w:eastAsia="Arial" w:hAnsi="Arial"/>
          <w:sz w:val="17"/>
          <w:szCs w:val="17"/>
          <w:color w:val="auto"/>
        </w:rPr>
        <w:t>In the second quarter of 2016, an immaterial correction was made to the allocation of the aggregate purchase price to the tangible and intangible assets acquired to increase both accrued liabilities and goodwill by $50,000 as of June 30, 2016. This correction has been reflected in the table above.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results of operations for HEKA have been included in the Company’s consolidated financial statements from the date of acquisition.</w:t>
      </w:r>
    </w:p>
    <w:p>
      <w:pPr>
        <w:spacing w:after="0" w:line="209" w:lineRule="exact"/>
        <w:rPr>
          <w:sz w:val="20"/>
          <w:szCs w:val="20"/>
          <w:color w:val="auto"/>
        </w:rPr>
      </w:pPr>
    </w:p>
    <w:p>
      <w:pPr>
        <w:ind w:right="80" w:firstLine="413"/>
        <w:spacing w:after="0" w:line="256" w:lineRule="auto"/>
        <w:rPr>
          <w:sz w:val="20"/>
          <w:szCs w:val="20"/>
          <w:color w:val="auto"/>
        </w:rPr>
      </w:pPr>
      <w:r>
        <w:rPr>
          <w:rFonts w:ascii="Arial" w:cs="Arial" w:eastAsia="Arial" w:hAnsi="Arial"/>
          <w:sz w:val="17"/>
          <w:szCs w:val="17"/>
          <w:color w:val="auto"/>
        </w:rPr>
        <w:t>The following consolidated pro forma information is based on the assumption that the acquisition of HEKA occurred on January 1, 2015. Accordingly, the historical results have been adjusted to reflect amortization expense that would have been recognized on such a pro forma basis. The pro forma information is presented for comparative purposes only and is not necessarily indicative of the financial position or results of operations which would have been reported had we completed the acquisition during these periods or which might be reported in the future.</w:t>
      </w:r>
    </w:p>
    <w:p>
      <w:pPr>
        <w:spacing w:after="0" w:line="174" w:lineRule="exact"/>
        <w:rPr>
          <w:sz w:val="20"/>
          <w:szCs w:val="20"/>
          <w:color w:val="auto"/>
        </w:rPr>
      </w:pPr>
    </w:p>
    <w:p>
      <w:pPr>
        <w:ind w:left="10040"/>
        <w:spacing w:after="0"/>
        <w:rPr>
          <w:sz w:val="20"/>
          <w:szCs w:val="20"/>
          <w:color w:val="auto"/>
        </w:rPr>
      </w:pPr>
      <w:r>
        <w:rPr>
          <w:rFonts w:ascii="Arial" w:cs="Arial" w:eastAsia="Arial" w:hAnsi="Arial"/>
          <w:sz w:val="17"/>
          <w:szCs w:val="17"/>
          <w:b w:val="1"/>
          <w:bCs w:val="1"/>
          <w:color w:val="auto"/>
        </w:rPr>
        <w:t>Year Ended</w:t>
      </w:r>
    </w:p>
    <w:p>
      <w:pPr>
        <w:spacing w:after="0" w:line="23" w:lineRule="exact"/>
        <w:rPr>
          <w:sz w:val="20"/>
          <w:szCs w:val="20"/>
          <w:color w:val="auto"/>
        </w:rPr>
      </w:pPr>
    </w:p>
    <w:p>
      <w:pPr>
        <w:ind w:left="10000"/>
        <w:spacing w:after="0"/>
        <w:rPr>
          <w:sz w:val="20"/>
          <w:szCs w:val="20"/>
          <w:color w:val="auto"/>
        </w:rPr>
      </w:pPr>
      <w:r>
        <w:rPr>
          <w:rFonts w:ascii="Arial" w:cs="Arial" w:eastAsia="Arial" w:hAnsi="Arial"/>
          <w:sz w:val="17"/>
          <w:szCs w:val="17"/>
          <w:b w:val="1"/>
          <w:bCs w:val="1"/>
          <w:color w:val="auto"/>
        </w:rPr>
        <w:t>December 31,</w:t>
      </w:r>
    </w:p>
    <w:p>
      <w:pPr>
        <w:spacing w:after="0" w:line="7" w:lineRule="exact"/>
        <w:rPr>
          <w:sz w:val="20"/>
          <w:szCs w:val="20"/>
          <w:color w:val="auto"/>
        </w:rPr>
      </w:pPr>
    </w:p>
    <w:p>
      <w:pPr>
        <w:ind w:left="10320"/>
        <w:spacing w:after="0"/>
        <w:rPr>
          <w:sz w:val="20"/>
          <w:szCs w:val="20"/>
          <w:color w:val="auto"/>
        </w:rPr>
      </w:pPr>
      <w:r>
        <w:rPr>
          <w:rFonts w:ascii="Arial" w:cs="Arial" w:eastAsia="Arial" w:hAnsi="Arial"/>
          <w:sz w:val="17"/>
          <w:szCs w:val="17"/>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6058535</wp:posOffset>
            </wp:positionH>
            <wp:positionV relativeFrom="paragraph">
              <wp:posOffset>-123190</wp:posOffset>
            </wp:positionV>
            <wp:extent cx="11969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9697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54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76"/>
              <w:spacing w:after="0"/>
              <w:rPr>
                <w:sz w:val="20"/>
                <w:szCs w:val="20"/>
                <w:color w:val="auto"/>
              </w:rPr>
            </w:pPr>
            <w:r>
              <w:rPr>
                <w:rFonts w:ascii="Arial" w:cs="Arial" w:eastAsia="Arial" w:hAnsi="Arial"/>
                <w:sz w:val="17"/>
                <w:szCs w:val="17"/>
                <w:color w:val="auto"/>
              </w:rPr>
              <w:t>(in thousands)</w:t>
            </w:r>
          </w:p>
        </w:tc>
      </w:tr>
      <w:tr>
        <w:trPr>
          <w:trHeight w:val="202"/>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Pro Forma</w:t>
            </w:r>
          </w:p>
        </w:tc>
        <w:tc>
          <w:tcPr>
            <w:tcW w:w="4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02"/>
        </w:trPr>
        <w:tc>
          <w:tcPr>
            <w:tcW w:w="5460" w:type="dxa"/>
            <w:vAlign w:val="bottom"/>
          </w:tcPr>
          <w:p>
            <w:pPr>
              <w:ind w:left="160"/>
              <w:spacing w:after="0"/>
              <w:rPr>
                <w:sz w:val="20"/>
                <w:szCs w:val="20"/>
                <w:color w:val="auto"/>
              </w:rPr>
            </w:pPr>
            <w:r>
              <w:rPr>
                <w:rFonts w:ascii="Arial" w:cs="Arial" w:eastAsia="Arial" w:hAnsi="Arial"/>
                <w:sz w:val="17"/>
                <w:szCs w:val="17"/>
                <w:color w:val="auto"/>
              </w:rPr>
              <w:t>Revenues</w:t>
            </w:r>
          </w:p>
        </w:tc>
        <w:tc>
          <w:tcPr>
            <w:tcW w:w="4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56"/>
              <w:spacing w:after="0"/>
              <w:rPr>
                <w:sz w:val="20"/>
                <w:szCs w:val="20"/>
                <w:color w:val="auto"/>
              </w:rPr>
            </w:pPr>
            <w:r>
              <w:rPr>
                <w:rFonts w:ascii="Arial" w:cs="Arial" w:eastAsia="Arial" w:hAnsi="Arial"/>
                <w:sz w:val="17"/>
                <w:szCs w:val="17"/>
                <w:color w:val="auto"/>
              </w:rPr>
              <w:t>108,761</w:t>
            </w:r>
          </w:p>
        </w:tc>
      </w:tr>
      <w:tr>
        <w:trPr>
          <w:trHeight w:val="202"/>
        </w:trPr>
        <w:tc>
          <w:tcPr>
            <w:tcW w:w="5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(loss) income</w:t>
            </w:r>
          </w:p>
        </w:tc>
        <w:tc>
          <w:tcPr>
            <w:tcW w:w="4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(19,027)</w:t>
            </w:r>
          </w:p>
        </w:tc>
      </w:tr>
    </w:tbl>
    <w:p>
      <w:pPr>
        <w:spacing w:after="0" w:line="190" w:lineRule="exact"/>
        <w:rPr>
          <w:sz w:val="20"/>
          <w:szCs w:val="20"/>
          <w:color w:val="auto"/>
        </w:rPr>
      </w:pPr>
    </w:p>
    <w:p>
      <w:pPr>
        <w:jc w:val="both"/>
        <w:ind w:right="20" w:firstLine="413"/>
        <w:spacing w:after="0" w:line="271" w:lineRule="auto"/>
        <w:rPr>
          <w:sz w:val="20"/>
          <w:szCs w:val="20"/>
          <w:color w:val="auto"/>
        </w:rPr>
      </w:pPr>
      <w:r>
        <w:rPr>
          <w:rFonts w:ascii="Arial" w:cs="Arial" w:eastAsia="Arial" w:hAnsi="Arial"/>
          <w:sz w:val="17"/>
          <w:szCs w:val="17"/>
          <w:color w:val="auto"/>
        </w:rPr>
        <w:t>Direct transaction costs recorded in other expense, net, in relation to all current or prospective acquisitions in the Company’s consolidated statements of operations were $0.5 million, $0.1 million and $1.2 million for the years ended December 31, 2017, 2016 and 2015, respectively.</w:t>
      </w:r>
    </w:p>
    <w:p>
      <w:pPr>
        <w:spacing w:after="0" w:line="162" w:lineRule="exact"/>
        <w:rPr>
          <w:sz w:val="20"/>
          <w:szCs w:val="20"/>
          <w:color w:val="auto"/>
        </w:rPr>
      </w:pPr>
    </w:p>
    <w:p>
      <w:pPr>
        <w:ind w:left="340" w:hanging="339"/>
        <w:spacing w:after="0"/>
        <w:tabs>
          <w:tab w:leader="none" w:pos="34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Dispositions</w:t>
      </w:r>
    </w:p>
    <w:p>
      <w:pPr>
        <w:spacing w:after="0" w:line="315" w:lineRule="exact"/>
        <w:rPr>
          <w:sz w:val="20"/>
          <w:szCs w:val="20"/>
          <w:color w:val="auto"/>
        </w:rPr>
      </w:pPr>
    </w:p>
    <w:p>
      <w:pPr>
        <w:ind w:right="160" w:firstLine="413"/>
        <w:spacing w:after="0" w:line="271" w:lineRule="auto"/>
        <w:rPr>
          <w:sz w:val="20"/>
          <w:szCs w:val="20"/>
          <w:color w:val="auto"/>
        </w:rPr>
      </w:pPr>
      <w:r>
        <w:rPr>
          <w:rFonts w:ascii="Arial" w:cs="Arial" w:eastAsia="Arial" w:hAnsi="Arial"/>
          <w:sz w:val="17"/>
          <w:szCs w:val="17"/>
          <w:color w:val="auto"/>
        </w:rPr>
        <w:t>As further discussed in Note 25 (Subsequent Events) on January 22, 2018, the Company sold substantially all the assets of its wholly owned subsidiary, Denville Scientific, Inc.</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AHN Biotechnologie GmbH</w:t>
      </w:r>
    </w:p>
    <w:p>
      <w:pPr>
        <w:spacing w:after="0" w:line="209" w:lineRule="exact"/>
        <w:rPr>
          <w:sz w:val="20"/>
          <w:szCs w:val="20"/>
          <w:color w:val="auto"/>
        </w:rPr>
      </w:pPr>
    </w:p>
    <w:p>
      <w:pPr>
        <w:ind w:firstLine="413"/>
        <w:spacing w:after="0" w:line="310" w:lineRule="auto"/>
        <w:rPr>
          <w:sz w:val="20"/>
          <w:szCs w:val="20"/>
          <w:color w:val="auto"/>
        </w:rPr>
      </w:pPr>
      <w:r>
        <w:rPr>
          <w:rFonts w:ascii="Arial" w:cs="Arial" w:eastAsia="Arial" w:hAnsi="Arial"/>
          <w:sz w:val="15"/>
          <w:szCs w:val="15"/>
          <w:color w:val="auto"/>
        </w:rPr>
        <w:t>On October 26, 2016, the Company sold the operations of its AHN Biotechnologie GmbH subsidiary (AHN), a manufacturer of liquid handling products, located in Nordhausen, Germany for gross cash proceeds of approximately $1.7 million. Proceeds received at closing, net of cash on hand, were approximately $1.4 million. The results of operations of AHN, through the date of sale, were reported in the Company’s consolidated statements of operations for the year ended December 31, 2016.</w:t>
      </w:r>
    </w:p>
    <w:p>
      <w:pPr>
        <w:spacing w:after="0" w:line="141" w:lineRule="exact"/>
        <w:rPr>
          <w:sz w:val="20"/>
          <w:szCs w:val="20"/>
          <w:color w:val="auto"/>
        </w:rPr>
      </w:pPr>
    </w:p>
    <w:p>
      <w:pPr>
        <w:ind w:right="100" w:firstLine="413"/>
        <w:spacing w:after="0" w:line="296" w:lineRule="auto"/>
        <w:rPr>
          <w:sz w:val="20"/>
          <w:szCs w:val="20"/>
          <w:color w:val="auto"/>
        </w:rPr>
      </w:pPr>
      <w:r>
        <w:rPr>
          <w:rFonts w:ascii="Arial" w:cs="Arial" w:eastAsia="Arial" w:hAnsi="Arial"/>
          <w:sz w:val="15"/>
          <w:szCs w:val="15"/>
          <w:color w:val="auto"/>
        </w:rPr>
        <w:t>As a result of the initiation of plans to sell the operations of AHN, during the third quarter of 2016, the Company evaluated the long-lived assets of AHN for impairment, pursuant to ASC 360-10. Based on the impairment analysis, the carrying amount of the long-lived assets exceeded the fair value of the long-lived assets as determined using the probability weighted present value of future cash flows. Consequently, the Company recognized an impairment charge of $0.7 million for the year ended December 31, 2016 in operating expenses within its statements of operations. Of the overall charge, approximately $0.1 million was allocated to AHN’s intangible assets (trade name and customer relationships), while $0.6 million was allocated to its property, plant and equipment (machinery and equipment).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20" w:firstLine="413"/>
        <w:spacing w:after="0" w:line="260" w:lineRule="auto"/>
        <w:rPr>
          <w:sz w:val="20"/>
          <w:szCs w:val="20"/>
          <w:color w:val="auto"/>
        </w:rPr>
      </w:pPr>
      <w:r>
        <w:rPr>
          <w:rFonts w:ascii="Arial" w:cs="Arial" w:eastAsia="Arial" w:hAnsi="Arial"/>
          <w:sz w:val="17"/>
          <w:szCs w:val="17"/>
          <w:color w:val="auto"/>
        </w:rPr>
        <w:t>Upon the closing of the transaction, the Company recorded a loss on sale of $1.2 million for the year ended December 31, 2016 in operating expenses within the statements of operations. On October 26, 2016, the major classes of assets and liabilities of AHN disposed of, including an allocation of goodwill, were comprised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8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Assets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7"/>
                <w:szCs w:val="17"/>
                <w:b w:val="1"/>
                <w:bCs w:val="1"/>
                <w:color w:val="auto"/>
              </w:rPr>
              <w:t>(in thousands)</w:t>
            </w:r>
          </w:p>
        </w:tc>
        <w:tc>
          <w:tcPr>
            <w:tcW w:w="0" w:type="dxa"/>
            <w:vAlign w:val="bottom"/>
          </w:tcPr>
          <w:p>
            <w:pPr>
              <w:spacing w:after="0"/>
              <w:rPr>
                <w:sz w:val="1"/>
                <w:szCs w:val="1"/>
                <w:color w:val="auto"/>
              </w:rPr>
            </w:pPr>
          </w:p>
        </w:tc>
      </w:tr>
      <w:tr>
        <w:trPr>
          <w:trHeight w:val="195"/>
        </w:trPr>
        <w:tc>
          <w:tcPr>
            <w:tcW w:w="4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receivable, net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140"/>
              <w:spacing w:after="0"/>
              <w:rPr>
                <w:sz w:val="20"/>
                <w:szCs w:val="20"/>
                <w:color w:val="auto"/>
              </w:rPr>
            </w:pPr>
            <w:r>
              <w:rPr>
                <w:rFonts w:ascii="Arial" w:cs="Arial" w:eastAsia="Arial" w:hAnsi="Arial"/>
                <w:sz w:val="17"/>
                <w:szCs w:val="17"/>
                <w:color w:val="auto"/>
              </w:rPr>
              <w:t>Inventory</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plant and equipment, net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140"/>
              <w:spacing w:after="0"/>
              <w:rPr>
                <w:sz w:val="20"/>
                <w:szCs w:val="20"/>
                <w:color w:val="auto"/>
              </w:rPr>
            </w:pPr>
            <w:r>
              <w:rPr>
                <w:rFonts w:ascii="Arial" w:cs="Arial" w:eastAsia="Arial" w:hAnsi="Arial"/>
                <w:sz w:val="17"/>
                <w:szCs w:val="17"/>
                <w:color w:val="auto"/>
              </w:rPr>
              <w:t>Amortizable intangibles, net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Allocation of goodwill</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484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7"/>
                <w:szCs w:val="17"/>
                <w:color w:val="auto"/>
              </w:rPr>
              <w:t>Accounts payable and accrued expenses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gridSpan w:val="3"/>
          </w:tcPr>
          <w:p>
            <w:pPr>
              <w:jc w:val="right"/>
              <w:ind w:right="27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392"/>
        </w:trPr>
        <w:tc>
          <w:tcPr>
            <w:tcW w:w="4820" w:type="dxa"/>
            <w:vAlign w:val="bottom"/>
            <w:gridSpan w:val="2"/>
          </w:tcPr>
          <w:p>
            <w:pPr>
              <w:spacing w:after="0"/>
              <w:rPr>
                <w:sz w:val="20"/>
                <w:szCs w:val="20"/>
                <w:color w:val="auto"/>
              </w:rPr>
            </w:pPr>
            <w:r>
              <w:rPr>
                <w:rFonts w:ascii="Arial" w:cs="Arial" w:eastAsia="Arial" w:hAnsi="Arial"/>
                <w:sz w:val="17"/>
                <w:szCs w:val="17"/>
                <w:b w:val="1"/>
                <w:bCs w:val="1"/>
                <w:color w:val="auto"/>
              </w:rPr>
              <w:t>9.  Goodwill and Other Intangible Assets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4800" w:type="dxa"/>
            <w:vAlign w:val="bottom"/>
          </w:tcPr>
          <w:p>
            <w:pPr>
              <w:ind w:left="400"/>
              <w:spacing w:after="0"/>
              <w:rPr>
                <w:sz w:val="20"/>
                <w:szCs w:val="20"/>
                <w:color w:val="auto"/>
              </w:rPr>
            </w:pPr>
            <w:r>
              <w:rPr>
                <w:rFonts w:ascii="Arial" w:cs="Arial" w:eastAsia="Arial" w:hAnsi="Arial"/>
                <w:sz w:val="17"/>
                <w:szCs w:val="17"/>
                <w:color w:val="auto"/>
              </w:rPr>
              <w:t>Intangible assets consist of the following:</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Weighted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b w:val="1"/>
                <w:bCs w:val="1"/>
                <w:color w:val="auto"/>
                <w:w w:val="86"/>
              </w:rPr>
              <w:t>Average</w:t>
            </w:r>
          </w:p>
        </w:tc>
        <w:tc>
          <w:tcPr>
            <w:tcW w:w="1140" w:type="dxa"/>
            <w:vAlign w:val="bottom"/>
            <w:vMerge w:val="restart"/>
          </w:tcPr>
          <w:p>
            <w:pPr>
              <w:jc w:val="right"/>
              <w:ind w:right="276"/>
              <w:spacing w:after="0"/>
              <w:rPr>
                <w:sz w:val="20"/>
                <w:szCs w:val="20"/>
                <w:color w:val="auto"/>
              </w:rPr>
            </w:pPr>
            <w:r>
              <w:rPr>
                <w:rFonts w:ascii="Arial" w:cs="Arial" w:eastAsia="Arial" w:hAnsi="Arial"/>
                <w:sz w:val="17"/>
                <w:szCs w:val="17"/>
                <w:b w:val="1"/>
                <w:bCs w:val="1"/>
                <w:color w:val="auto"/>
              </w:rPr>
              <w:t>(a)</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7"/>
                <w:szCs w:val="17"/>
                <w:b w:val="1"/>
                <w:bCs w:val="1"/>
                <w:color w:val="auto"/>
                <w:w w:val="97"/>
              </w:rPr>
              <w:t>December 31, 2017</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7"/>
                <w:szCs w:val="17"/>
                <w:b w:val="1"/>
                <w:bCs w:val="1"/>
                <w:color w:val="auto"/>
                <w:w w:val="97"/>
              </w:rPr>
              <w:t>December 31, 2016</w:t>
            </w:r>
          </w:p>
        </w:tc>
        <w:tc>
          <w:tcPr>
            <w:tcW w:w="240" w:type="dxa"/>
            <w:vAlign w:val="bottom"/>
          </w:tcPr>
          <w:p>
            <w:pPr>
              <w:spacing w:after="0"/>
              <w:rPr>
                <w:sz w:val="19"/>
                <w:szCs w:val="19"/>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Life</w:t>
            </w: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4"/>
          </w:tcPr>
          <w:p>
            <w:pPr>
              <w:jc w:val="right"/>
              <w:ind w:right="476"/>
              <w:spacing w:after="0" w:line="183" w:lineRule="exact"/>
              <w:rPr>
                <w:sz w:val="20"/>
                <w:szCs w:val="20"/>
                <w:color w:val="auto"/>
              </w:rPr>
            </w:pPr>
            <w:r>
              <w:rPr>
                <w:rFonts w:ascii="Arial" w:cs="Arial" w:eastAsia="Arial" w:hAnsi="Arial"/>
                <w:sz w:val="17"/>
                <w:szCs w:val="17"/>
                <w:color w:val="auto"/>
              </w:rPr>
              <w:t>(in thousands)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820" w:type="dxa"/>
            <w:vAlign w:val="bottom"/>
            <w:gridSpan w:val="2"/>
            <w:vMerge w:val="restart"/>
          </w:tcPr>
          <w:p>
            <w:pPr>
              <w:spacing w:after="0"/>
              <w:rPr>
                <w:sz w:val="20"/>
                <w:szCs w:val="20"/>
                <w:color w:val="auto"/>
              </w:rPr>
            </w:pPr>
            <w:r>
              <w:rPr>
                <w:rFonts w:ascii="Arial" w:cs="Arial" w:eastAsia="Arial" w:hAnsi="Arial"/>
                <w:sz w:val="17"/>
                <w:szCs w:val="17"/>
                <w:color w:val="auto"/>
              </w:rPr>
              <w:t>Amortizable intangible assets: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7"/>
                <w:szCs w:val="17"/>
                <w:color w:val="auto"/>
                <w:w w:val="91"/>
              </w:rPr>
              <w:t>Accumulated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auto"/>
                <w:w w:val="89"/>
              </w:rPr>
              <w:t>Accumulated</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76"/>
              <w:spacing w:after="0"/>
              <w:rPr>
                <w:sz w:val="20"/>
                <w:szCs w:val="20"/>
                <w:color w:val="auto"/>
              </w:rPr>
            </w:pPr>
            <w:r>
              <w:rPr>
                <w:rFonts w:ascii="Arial" w:cs="Arial" w:eastAsia="Arial" w:hAnsi="Arial"/>
                <w:sz w:val="17"/>
                <w:szCs w:val="17"/>
                <w:color w:val="auto"/>
              </w:rPr>
              <w:t>Gross</w:t>
            </w:r>
          </w:p>
        </w:tc>
        <w:tc>
          <w:tcPr>
            <w:tcW w:w="2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color w:val="auto"/>
                <w:w w:val="95"/>
              </w:rPr>
              <w:t>Amortization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76"/>
              <w:spacing w:after="0"/>
              <w:rPr>
                <w:sz w:val="20"/>
                <w:szCs w:val="20"/>
                <w:color w:val="auto"/>
              </w:rPr>
            </w:pPr>
            <w:r>
              <w:rPr>
                <w:rFonts w:ascii="Arial" w:cs="Arial" w:eastAsia="Arial" w:hAnsi="Arial"/>
                <w:sz w:val="17"/>
                <w:szCs w:val="17"/>
                <w:color w:val="auto"/>
              </w:rPr>
              <w:t>Gross</w:t>
            </w:r>
          </w:p>
        </w:tc>
        <w:tc>
          <w:tcPr>
            <w:tcW w:w="22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auto"/>
                <w:w w:val="93"/>
              </w:rPr>
              <w:t>Amortization</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Existing technology</w:t>
            </w: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16,173</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(13,179)</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15,082</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(11,710)</w:t>
            </w:r>
          </w:p>
        </w:tc>
        <w:tc>
          <w:tcPr>
            <w:tcW w:w="1140" w:type="dxa"/>
            <w:vAlign w:val="bottom"/>
            <w:tcBorders>
              <w:top w:val="single" w:sz="8" w:color="CCEEFF"/>
            </w:tcBorders>
            <w:gridSpan w:val="3"/>
            <w:shd w:val="clear" w:color="auto" w:fill="CCEEFF"/>
          </w:tcPr>
          <w:p>
            <w:pPr>
              <w:jc w:val="center"/>
              <w:ind w:left="156"/>
              <w:spacing w:after="0"/>
              <w:rPr>
                <w:sz w:val="20"/>
                <w:szCs w:val="20"/>
                <w:color w:val="auto"/>
              </w:rPr>
            </w:pPr>
            <w:r>
              <w:rPr>
                <w:rFonts w:ascii="Arial" w:cs="Arial" w:eastAsia="Arial" w:hAnsi="Arial"/>
                <w:sz w:val="17"/>
                <w:szCs w:val="17"/>
                <w:color w:val="auto"/>
                <w:w w:val="92"/>
              </w:rPr>
              <w:t>6.5</w:t>
            </w:r>
          </w:p>
        </w:tc>
        <w:tc>
          <w:tcPr>
            <w:tcW w:w="1140" w:type="dxa"/>
            <w:vAlign w:val="bottom"/>
            <w:tcBorders>
              <w:top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Years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Trade names</w:t>
            </w:r>
          </w:p>
        </w:tc>
        <w:tc>
          <w:tcPr>
            <w:tcW w:w="180" w:type="dxa"/>
            <w:vAlign w:val="bottom"/>
          </w:tcPr>
          <w:p>
            <w:pPr>
              <w:spacing w:after="0"/>
              <w:rPr>
                <w:sz w:val="17"/>
                <w:szCs w:val="17"/>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auto"/>
              </w:rPr>
              <w:t>7,646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(4,060)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auto"/>
              </w:rPr>
              <w:t>7,379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(3,479)</w:t>
            </w:r>
          </w:p>
        </w:tc>
        <w:tc>
          <w:tcPr>
            <w:tcW w:w="1140" w:type="dxa"/>
            <w:vAlign w:val="bottom"/>
            <w:gridSpan w:val="3"/>
          </w:tcPr>
          <w:p>
            <w:pPr>
              <w:jc w:val="center"/>
              <w:ind w:left="156"/>
              <w:spacing w:after="0"/>
              <w:rPr>
                <w:sz w:val="20"/>
                <w:szCs w:val="20"/>
                <w:color w:val="auto"/>
              </w:rPr>
            </w:pPr>
            <w:r>
              <w:rPr>
                <w:rFonts w:ascii="Arial" w:cs="Arial" w:eastAsia="Arial" w:hAnsi="Arial"/>
                <w:sz w:val="17"/>
                <w:szCs w:val="17"/>
                <w:color w:val="auto"/>
                <w:w w:val="92"/>
              </w:rPr>
              <w:t>7.1</w:t>
            </w:r>
          </w:p>
        </w:tc>
        <w:tc>
          <w:tcPr>
            <w:tcW w:w="1140" w:type="dxa"/>
            <w:vAlign w:val="bottom"/>
          </w:tcPr>
          <w:p>
            <w:pPr>
              <w:jc w:val="right"/>
              <w:ind w:right="176"/>
              <w:spacing w:after="0"/>
              <w:rPr>
                <w:sz w:val="20"/>
                <w:szCs w:val="20"/>
                <w:color w:val="auto"/>
              </w:rPr>
            </w:pPr>
            <w:r>
              <w:rPr>
                <w:rFonts w:ascii="Arial" w:cs="Arial" w:eastAsia="Arial" w:hAnsi="Arial"/>
                <w:sz w:val="17"/>
                <w:szCs w:val="17"/>
                <w:color w:val="auto"/>
              </w:rPr>
              <w:t>Years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Distribution agreements/customer relationships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23,744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(14,413)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22,976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(12,862)</w:t>
            </w:r>
          </w:p>
        </w:tc>
        <w:tc>
          <w:tcPr>
            <w:tcW w:w="1140" w:type="dxa"/>
            <w:vAlign w:val="bottom"/>
            <w:gridSpan w:val="3"/>
            <w:shd w:val="clear" w:color="auto" w:fill="CCEEFF"/>
          </w:tcPr>
          <w:p>
            <w:pPr>
              <w:jc w:val="center"/>
              <w:ind w:left="156"/>
              <w:spacing w:after="0"/>
              <w:rPr>
                <w:sz w:val="20"/>
                <w:szCs w:val="20"/>
                <w:color w:val="auto"/>
              </w:rPr>
            </w:pPr>
            <w:r>
              <w:rPr>
                <w:rFonts w:ascii="Arial" w:cs="Arial" w:eastAsia="Arial" w:hAnsi="Arial"/>
                <w:sz w:val="17"/>
                <w:szCs w:val="17"/>
                <w:color w:val="auto"/>
                <w:w w:val="92"/>
              </w:rPr>
              <w:t>8.1</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Years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Patents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223</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204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1140" w:type="dxa"/>
            <w:vAlign w:val="bottom"/>
            <w:tcBorders>
              <w:bottom w:val="single" w:sz="8" w:color="CCEEFF"/>
            </w:tcBorders>
            <w:gridSpan w:val="3"/>
          </w:tcPr>
          <w:p>
            <w:pPr>
              <w:jc w:val="center"/>
              <w:ind w:left="156"/>
              <w:spacing w:after="0"/>
              <w:rPr>
                <w:sz w:val="20"/>
                <w:szCs w:val="20"/>
                <w:color w:val="auto"/>
              </w:rPr>
            </w:pPr>
            <w:r>
              <w:rPr>
                <w:rFonts w:ascii="Arial" w:cs="Arial" w:eastAsia="Arial" w:hAnsi="Arial"/>
                <w:sz w:val="17"/>
                <w:szCs w:val="17"/>
                <w:color w:val="auto"/>
                <w:w w:val="92"/>
              </w:rPr>
              <w:t>1.2</w:t>
            </w:r>
          </w:p>
        </w:tc>
        <w:tc>
          <w:tcPr>
            <w:tcW w:w="1140" w:type="dxa"/>
            <w:vAlign w:val="bottom"/>
            <w:tcBorders>
              <w:bottom w:val="single" w:sz="8" w:color="CCEEFF"/>
            </w:tcBorders>
          </w:tcPr>
          <w:p>
            <w:pPr>
              <w:jc w:val="right"/>
              <w:ind w:right="176"/>
              <w:spacing w:after="0"/>
              <w:rPr>
                <w:sz w:val="20"/>
                <w:szCs w:val="20"/>
                <w:color w:val="auto"/>
              </w:rPr>
            </w:pPr>
            <w:r>
              <w:rPr>
                <w:rFonts w:ascii="Arial" w:cs="Arial" w:eastAsia="Arial" w:hAnsi="Arial"/>
                <w:sz w:val="17"/>
                <w:szCs w:val="17"/>
                <w:color w:val="auto"/>
              </w:rPr>
              <w:t>Years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Total amortizable intangible assets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47,786</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45,641</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(28,170)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restart"/>
          </w:tcPr>
          <w:p>
            <w:pPr>
              <w:spacing w:after="0"/>
              <w:rPr>
                <w:sz w:val="15"/>
                <w:szCs w:val="15"/>
                <w:color w:val="auto"/>
              </w:rPr>
            </w:pPr>
          </w:p>
        </w:tc>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Indefinite-lived intangible assets: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17"/>
                <w:szCs w:val="17"/>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auto"/>
              </w:rPr>
              <w:t>39,969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auto"/>
              </w:rPr>
              <w:t>38,032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Other indefinite-lived intangible assets</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1,244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1,209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0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color w:val="auto"/>
              </w:rPr>
              <w:t>Total goodwill and other indefinite-lived intangible assets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41,213</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39,241</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Total intangible assets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6"/>
              <w:spacing w:after="0"/>
              <w:rPr>
                <w:sz w:val="20"/>
                <w:szCs w:val="20"/>
                <w:color w:val="auto"/>
              </w:rPr>
            </w:pPr>
            <w:r>
              <w:rPr>
                <w:rFonts w:ascii="Arial" w:cs="Arial" w:eastAsia="Arial" w:hAnsi="Arial"/>
                <w:sz w:val="17"/>
                <w:szCs w:val="17"/>
                <w:color w:val="auto"/>
              </w:rPr>
              <w:t>88,999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26"/>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6"/>
              <w:spacing w:after="0"/>
              <w:rPr>
                <w:sz w:val="20"/>
                <w:szCs w:val="20"/>
                <w:color w:val="auto"/>
              </w:rPr>
            </w:pPr>
            <w:r>
              <w:rPr>
                <w:rFonts w:ascii="Arial" w:cs="Arial" w:eastAsia="Arial" w:hAnsi="Arial"/>
                <w:sz w:val="17"/>
                <w:szCs w:val="17"/>
                <w:color w:val="auto"/>
              </w:rPr>
              <w:t>84,882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7"/>
                <w:szCs w:val="17"/>
                <w:color w:val="auto"/>
              </w:rPr>
              <w:t>(a) Weighted average life as of December 31, 2017.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8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change in the carrying amount of goodwill for the years ended December 31, 2017 and 2016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Borders>
              <w:bottom w:val="single" w:sz="8" w:color="CCEEFF"/>
            </w:tcBorders>
          </w:tcPr>
          <w:p>
            <w:pPr>
              <w:spacing w:after="0"/>
              <w:rPr>
                <w:sz w:val="18"/>
                <w:szCs w:val="18"/>
                <w:color w:val="auto"/>
              </w:rPr>
            </w:pPr>
          </w:p>
        </w:tc>
        <w:tc>
          <w:tcPr>
            <w:tcW w:w="5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92"/>
              </w:rPr>
              <w:t>(in thousands)</w:t>
            </w:r>
          </w:p>
        </w:tc>
      </w:tr>
      <w:tr>
        <w:trPr>
          <w:trHeight w:val="195"/>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2015</w:t>
            </w:r>
          </w:p>
        </w:tc>
        <w:tc>
          <w:tcPr>
            <w:tcW w:w="50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40,357</w:t>
            </w:r>
          </w:p>
        </w:tc>
      </w:tr>
      <w:tr>
        <w:trPr>
          <w:trHeight w:val="202"/>
        </w:trPr>
        <w:tc>
          <w:tcPr>
            <w:tcW w:w="5040" w:type="dxa"/>
            <w:vAlign w:val="bottom"/>
          </w:tcPr>
          <w:p>
            <w:pPr>
              <w:ind w:left="160"/>
              <w:spacing w:after="0"/>
              <w:rPr>
                <w:sz w:val="20"/>
                <w:szCs w:val="20"/>
                <w:color w:val="auto"/>
              </w:rPr>
            </w:pPr>
            <w:r>
              <w:rPr>
                <w:rFonts w:ascii="Arial" w:cs="Arial" w:eastAsia="Arial" w:hAnsi="Arial"/>
                <w:sz w:val="17"/>
                <w:szCs w:val="17"/>
                <w:color w:val="auto"/>
              </w:rPr>
              <w:t>Adjustment to purchase price allocation of prior year acquisition</w:t>
            </w:r>
          </w:p>
        </w:tc>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50</w:t>
            </w:r>
          </w:p>
        </w:tc>
      </w:tr>
      <w:tr>
        <w:trPr>
          <w:trHeight w:val="202"/>
        </w:trPr>
        <w:tc>
          <w:tcPr>
            <w:tcW w:w="5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Adjustment to goodwill for AHN disposition</w:t>
            </w:r>
          </w:p>
        </w:tc>
        <w:tc>
          <w:tcPr>
            <w:tcW w:w="5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r>
      <w:tr>
        <w:trPr>
          <w:trHeight w:val="215"/>
        </w:trPr>
        <w:tc>
          <w:tcPr>
            <w:tcW w:w="504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Effect of change in currency translation</w:t>
            </w:r>
          </w:p>
        </w:tc>
        <w:tc>
          <w:tcPr>
            <w:tcW w:w="5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(1,891)</w:t>
            </w:r>
          </w:p>
        </w:tc>
      </w:tr>
      <w:tr>
        <w:trPr>
          <w:trHeight w:val="195"/>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2016</w:t>
            </w:r>
          </w:p>
        </w:tc>
        <w:tc>
          <w:tcPr>
            <w:tcW w:w="5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38,032</w:t>
            </w:r>
          </w:p>
        </w:tc>
      </w:tr>
      <w:tr>
        <w:trPr>
          <w:trHeight w:val="214"/>
        </w:trPr>
        <w:tc>
          <w:tcPr>
            <w:tcW w:w="504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Effect of change in currency translation</w:t>
            </w:r>
          </w:p>
        </w:tc>
        <w:tc>
          <w:tcPr>
            <w:tcW w:w="5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1,937</w:t>
            </w:r>
          </w:p>
        </w:tc>
      </w:tr>
      <w:tr>
        <w:trPr>
          <w:trHeight w:val="208"/>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5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39,969</w:t>
            </w:r>
          </w:p>
        </w:tc>
      </w:tr>
      <w:tr>
        <w:trPr>
          <w:trHeight w:val="20"/>
        </w:trPr>
        <w:tc>
          <w:tcPr>
            <w:tcW w:w="50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88"/>
        </w:trPr>
        <w:tc>
          <w:tcPr>
            <w:tcW w:w="5040" w:type="dxa"/>
            <w:vAlign w:val="bottom"/>
          </w:tcPr>
          <w:p>
            <w:pPr>
              <w:spacing w:after="0"/>
              <w:rPr>
                <w:sz w:val="24"/>
                <w:szCs w:val="24"/>
                <w:color w:val="auto"/>
              </w:rPr>
            </w:pPr>
          </w:p>
        </w:tc>
        <w:tc>
          <w:tcPr>
            <w:tcW w:w="5160" w:type="dxa"/>
            <w:vAlign w:val="bottom"/>
            <w:gridSpan w:val="2"/>
          </w:tcPr>
          <w:p>
            <w:pPr>
              <w:jc w:val="right"/>
              <w:ind w:right="4246"/>
              <w:spacing w:after="0"/>
              <w:rPr>
                <w:sz w:val="20"/>
                <w:szCs w:val="20"/>
                <w:color w:val="auto"/>
              </w:rPr>
            </w:pPr>
            <w:r>
              <w:rPr>
                <w:rFonts w:ascii="Arial" w:cs="Arial" w:eastAsia="Arial" w:hAnsi="Arial"/>
                <w:sz w:val="17"/>
                <w:szCs w:val="17"/>
                <w:color w:val="auto"/>
              </w:rPr>
              <w:t>F-18</w:t>
            </w:r>
          </w:p>
        </w:tc>
        <w:tc>
          <w:tcPr>
            <w:tcW w:w="1220" w:type="dxa"/>
            <w:vAlign w:val="bottom"/>
          </w:tcPr>
          <w:p>
            <w:pPr>
              <w:spacing w:after="0"/>
              <w:rPr>
                <w:sz w:val="24"/>
                <w:szCs w:val="24"/>
                <w:color w:val="auto"/>
              </w:rPr>
            </w:pPr>
          </w:p>
        </w:tc>
      </w:tr>
      <w:tr>
        <w:trPr>
          <w:trHeight w:val="64"/>
        </w:trPr>
        <w:tc>
          <w:tcPr>
            <w:tcW w:w="5040" w:type="dxa"/>
            <w:vAlign w:val="bottom"/>
            <w:shd w:val="clear" w:color="auto" w:fill="000000"/>
          </w:tcPr>
          <w:p>
            <w:pPr>
              <w:spacing w:after="0"/>
              <w:rPr>
                <w:sz w:val="5"/>
                <w:szCs w:val="5"/>
                <w:color w:val="auto"/>
              </w:rPr>
            </w:pPr>
          </w:p>
        </w:tc>
        <w:tc>
          <w:tcPr>
            <w:tcW w:w="50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228"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40" w:firstLine="413"/>
        <w:spacing w:after="0" w:line="256" w:lineRule="auto"/>
        <w:rPr>
          <w:sz w:val="20"/>
          <w:szCs w:val="20"/>
          <w:color w:val="auto"/>
        </w:rPr>
      </w:pPr>
      <w:r>
        <w:rPr>
          <w:rFonts w:ascii="Arial" w:cs="Arial" w:eastAsia="Arial" w:hAnsi="Arial"/>
          <w:sz w:val="17"/>
          <w:szCs w:val="17"/>
          <w:color w:val="auto"/>
        </w:rPr>
        <w:t>Intangible asset amortization expense was $2.4 million, $2.7 million and $2.8 million for the years ended December 31, 2017, 2016 and 2015, respectively. Amortization expense of existing amortizable intangible assets is currently estimated to be $2.4 million for the year ending December 31, 2018, $2.2 million for the year ending December 31, 2019, $2.2 million for the year ending December 31, 2020, $2.2 million for the year ending December 31, 2021 and $2.1 million for the year ending December 31, 2022.</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Restructuring and Other Exit Costs</w:t>
      </w:r>
    </w:p>
    <w:p>
      <w:pPr>
        <w:spacing w:after="0" w:line="315" w:lineRule="exact"/>
        <w:rPr>
          <w:sz w:val="20"/>
          <w:szCs w:val="20"/>
          <w:color w:val="auto"/>
        </w:rPr>
      </w:pPr>
    </w:p>
    <w:p>
      <w:pPr>
        <w:ind w:right="20" w:firstLine="413"/>
        <w:spacing w:after="0" w:line="277" w:lineRule="auto"/>
        <w:rPr>
          <w:sz w:val="20"/>
          <w:szCs w:val="20"/>
          <w:color w:val="auto"/>
        </w:rPr>
      </w:pPr>
      <w:r>
        <w:rPr>
          <w:rFonts w:ascii="Arial" w:cs="Arial" w:eastAsia="Arial" w:hAnsi="Arial"/>
          <w:sz w:val="16"/>
          <w:szCs w:val="16"/>
          <w:color w:val="auto"/>
        </w:rPr>
        <w:t>During 2014 and 2015, the Company entered into various restructuring plans, which included eliminating certain positions made redundant as a result of its site consolidations, as well as a realignment of its commercial sales team. These restructuring plans also included the relocation of the distribution operations of the Company’s Denville Scientific subsidiary from New Jersey to North Carolina, as well as the consolidation of the manufacturing operations of its Biochrom subsidiary to its headquarters in Holliston, MA. Activity and liability balances related to these charges for the year ended December 31, 2016,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Severance Costs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96"/>
              </w:rPr>
              <w:t>Other</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Total</w:t>
            </w:r>
          </w:p>
        </w:tc>
      </w:tr>
      <w:tr>
        <w:trPr>
          <w:trHeight w:val="195"/>
        </w:trPr>
        <w:tc>
          <w:tcPr>
            <w:tcW w:w="4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(in thousands)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2"/>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Restructuring balance at December 31, 2015</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132</w:t>
            </w:r>
          </w:p>
        </w:tc>
      </w:tr>
      <w:tr>
        <w:trPr>
          <w:trHeight w:val="202"/>
        </w:trPr>
        <w:tc>
          <w:tcPr>
            <w:tcW w:w="4280" w:type="dxa"/>
            <w:vAlign w:val="bottom"/>
          </w:tcPr>
          <w:p>
            <w:pPr>
              <w:spacing w:after="0"/>
              <w:rPr>
                <w:sz w:val="20"/>
                <w:szCs w:val="20"/>
                <w:color w:val="auto"/>
              </w:rPr>
            </w:pPr>
            <w:r>
              <w:rPr>
                <w:rFonts w:ascii="Arial" w:cs="Arial" w:eastAsia="Arial" w:hAnsi="Arial"/>
                <w:sz w:val="17"/>
                <w:szCs w:val="17"/>
                <w:color w:val="auto"/>
              </w:rPr>
              <w:t>Restructuring charges</w:t>
            </w: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23</w:t>
            </w:r>
          </w:p>
        </w:tc>
      </w:tr>
      <w:tr>
        <w:trPr>
          <w:trHeight w:val="202"/>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Non-cash reversal of restructuring charges</w:t>
            </w:r>
          </w:p>
        </w:tc>
        <w:tc>
          <w:tcPr>
            <w:tcW w:w="2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02"/>
        </w:trPr>
        <w:tc>
          <w:tcPr>
            <w:tcW w:w="4280" w:type="dxa"/>
            <w:vAlign w:val="bottom"/>
          </w:tcPr>
          <w:p>
            <w:pPr>
              <w:spacing w:after="0"/>
              <w:rPr>
                <w:sz w:val="20"/>
                <w:szCs w:val="20"/>
                <w:color w:val="auto"/>
              </w:rPr>
            </w:pPr>
            <w:r>
              <w:rPr>
                <w:rFonts w:ascii="Arial" w:cs="Arial" w:eastAsia="Arial" w:hAnsi="Arial"/>
                <w:sz w:val="17"/>
                <w:szCs w:val="17"/>
                <w:color w:val="auto"/>
              </w:rPr>
              <w:t>Cash payments</w:t>
            </w: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15"/>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Effect of change in currency translation</w:t>
            </w:r>
          </w:p>
        </w:tc>
        <w:tc>
          <w:tcPr>
            <w:tcW w:w="2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w:t>
            </w:r>
          </w:p>
        </w:tc>
      </w:tr>
      <w:tr>
        <w:trPr>
          <w:trHeight w:val="207"/>
        </w:trPr>
        <w:tc>
          <w:tcPr>
            <w:tcW w:w="4280" w:type="dxa"/>
            <w:vAlign w:val="bottom"/>
          </w:tcPr>
          <w:p>
            <w:pPr>
              <w:spacing w:after="0" w:line="194" w:lineRule="exact"/>
              <w:rPr>
                <w:sz w:val="20"/>
                <w:szCs w:val="20"/>
                <w:color w:val="auto"/>
              </w:rPr>
            </w:pPr>
            <w:r>
              <w:rPr>
                <w:rFonts w:ascii="Arial" w:cs="Arial" w:eastAsia="Arial" w:hAnsi="Arial"/>
                <w:sz w:val="17"/>
                <w:szCs w:val="17"/>
                <w:color w:val="auto"/>
              </w:rPr>
              <w:t>Restructuring balance at December 31, 2016</w:t>
            </w:r>
          </w:p>
        </w:tc>
        <w:tc>
          <w:tcPr>
            <w:tcW w:w="2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0"/>
        </w:trPr>
        <w:tc>
          <w:tcPr>
            <w:tcW w:w="6420" w:type="dxa"/>
            <w:vAlign w:val="bottom"/>
            <w:gridSpan w:val="2"/>
          </w:tcPr>
          <w:p>
            <w:pPr>
              <w:spacing w:after="0" w:line="20" w:lineRule="exact"/>
              <w:rPr>
                <w:sz w:val="1"/>
                <w:szCs w:val="1"/>
                <w:color w:val="auto"/>
              </w:rPr>
            </w:pPr>
          </w:p>
        </w:tc>
        <w:tc>
          <w:tcPr>
            <w:tcW w:w="16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83"/>
        </w:trPr>
        <w:tc>
          <w:tcPr>
            <w:tcW w:w="8320" w:type="dxa"/>
            <w:vAlign w:val="bottom"/>
            <w:gridSpan w:val="7"/>
          </w:tcPr>
          <w:p>
            <w:pPr>
              <w:ind w:left="420"/>
              <w:spacing w:after="0"/>
              <w:rPr>
                <w:sz w:val="20"/>
                <w:szCs w:val="20"/>
                <w:color w:val="auto"/>
              </w:rPr>
            </w:pPr>
            <w:r>
              <w:rPr>
                <w:rFonts w:ascii="Arial" w:cs="Arial" w:eastAsia="Arial" w:hAnsi="Arial"/>
                <w:sz w:val="17"/>
                <w:szCs w:val="17"/>
                <w:color w:val="auto"/>
                <w:w w:val="91"/>
              </w:rPr>
              <w:t>For the year ended December 31, 2015, the activity and liability balances related to these charges were as follows:</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8"/>
        </w:trPr>
        <w:tc>
          <w:tcPr>
            <w:tcW w:w="4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Severance Costs</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96"/>
              </w:rPr>
              <w:t>Other</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Total</w:t>
            </w:r>
          </w:p>
        </w:tc>
      </w:tr>
      <w:tr>
        <w:trPr>
          <w:trHeight w:val="195"/>
        </w:trPr>
        <w:tc>
          <w:tcPr>
            <w:tcW w:w="4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(in thousands)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2"/>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Restructuring balance at December 31, 2014</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626</w:t>
            </w:r>
          </w:p>
        </w:tc>
      </w:tr>
      <w:tr>
        <w:trPr>
          <w:trHeight w:val="202"/>
        </w:trPr>
        <w:tc>
          <w:tcPr>
            <w:tcW w:w="4280" w:type="dxa"/>
            <w:vAlign w:val="bottom"/>
          </w:tcPr>
          <w:p>
            <w:pPr>
              <w:spacing w:after="0"/>
              <w:rPr>
                <w:sz w:val="20"/>
                <w:szCs w:val="20"/>
                <w:color w:val="auto"/>
              </w:rPr>
            </w:pPr>
            <w:r>
              <w:rPr>
                <w:rFonts w:ascii="Arial" w:cs="Arial" w:eastAsia="Arial" w:hAnsi="Arial"/>
                <w:sz w:val="17"/>
                <w:szCs w:val="17"/>
                <w:color w:val="auto"/>
              </w:rPr>
              <w:t>Restructuring charges</w:t>
            </w: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434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439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873</w:t>
            </w:r>
          </w:p>
        </w:tc>
      </w:tr>
      <w:tr>
        <w:trPr>
          <w:trHeight w:val="202"/>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Non-cash reversal of restructuring charges</w:t>
            </w:r>
          </w:p>
        </w:tc>
        <w:tc>
          <w:tcPr>
            <w:tcW w:w="2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02"/>
        </w:trPr>
        <w:tc>
          <w:tcPr>
            <w:tcW w:w="4280" w:type="dxa"/>
            <w:vAlign w:val="bottom"/>
          </w:tcPr>
          <w:p>
            <w:pPr>
              <w:spacing w:after="0"/>
              <w:rPr>
                <w:sz w:val="20"/>
                <w:szCs w:val="20"/>
                <w:color w:val="auto"/>
              </w:rPr>
            </w:pPr>
            <w:r>
              <w:rPr>
                <w:rFonts w:ascii="Arial" w:cs="Arial" w:eastAsia="Arial" w:hAnsi="Arial"/>
                <w:sz w:val="17"/>
                <w:szCs w:val="17"/>
                <w:color w:val="auto"/>
              </w:rPr>
              <w:t>Cash payments</w:t>
            </w: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(833)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(439)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(1,272)</w:t>
            </w:r>
          </w:p>
        </w:tc>
      </w:tr>
      <w:tr>
        <w:trPr>
          <w:trHeight w:val="215"/>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Effect of change in currency translation</w:t>
            </w:r>
          </w:p>
        </w:tc>
        <w:tc>
          <w:tcPr>
            <w:tcW w:w="2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07"/>
        </w:trPr>
        <w:tc>
          <w:tcPr>
            <w:tcW w:w="4280" w:type="dxa"/>
            <w:vAlign w:val="bottom"/>
          </w:tcPr>
          <w:p>
            <w:pPr>
              <w:spacing w:after="0" w:line="194" w:lineRule="exact"/>
              <w:rPr>
                <w:sz w:val="20"/>
                <w:szCs w:val="20"/>
                <w:color w:val="auto"/>
              </w:rPr>
            </w:pPr>
            <w:r>
              <w:rPr>
                <w:rFonts w:ascii="Arial" w:cs="Arial" w:eastAsia="Arial" w:hAnsi="Arial"/>
                <w:sz w:val="17"/>
                <w:szCs w:val="17"/>
                <w:color w:val="auto"/>
              </w:rPr>
              <w:t>Restructuring balance at December 31, 2015</w:t>
            </w:r>
          </w:p>
        </w:tc>
        <w:tc>
          <w:tcPr>
            <w:tcW w:w="2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132</w:t>
            </w:r>
          </w:p>
        </w:tc>
        <w:tc>
          <w:tcPr>
            <w:tcW w:w="3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132</w:t>
            </w:r>
          </w:p>
        </w:tc>
      </w:tr>
      <w:tr>
        <w:trPr>
          <w:trHeight w:val="20"/>
        </w:trPr>
        <w:tc>
          <w:tcPr>
            <w:tcW w:w="6420" w:type="dxa"/>
            <w:vAlign w:val="bottom"/>
            <w:gridSpan w:val="2"/>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83"/>
        </w:trPr>
        <w:tc>
          <w:tcPr>
            <w:tcW w:w="7960" w:type="dxa"/>
            <w:vAlign w:val="bottom"/>
            <w:gridSpan w:val="4"/>
          </w:tcPr>
          <w:p>
            <w:pPr>
              <w:ind w:left="420"/>
              <w:spacing w:after="0"/>
              <w:rPr>
                <w:sz w:val="20"/>
                <w:szCs w:val="20"/>
                <w:color w:val="auto"/>
              </w:rPr>
            </w:pPr>
            <w:r>
              <w:rPr>
                <w:rFonts w:ascii="Arial" w:cs="Arial" w:eastAsia="Arial" w:hAnsi="Arial"/>
                <w:sz w:val="17"/>
                <w:szCs w:val="17"/>
                <w:color w:val="auto"/>
                <w:w w:val="91"/>
              </w:rPr>
              <w:t>Aggregate net restructuring charges for the years ended December 31, 2017, 2016 and 2015 were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8"/>
        </w:trPr>
        <w:tc>
          <w:tcPr>
            <w:tcW w:w="4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ind w:right="226"/>
              <w:spacing w:after="0"/>
              <w:rPr>
                <w:sz w:val="20"/>
                <w:szCs w:val="20"/>
                <w:color w:val="auto"/>
              </w:rPr>
            </w:pPr>
            <w:r>
              <w:rPr>
                <w:rFonts w:ascii="Arial" w:cs="Arial" w:eastAsia="Arial" w:hAnsi="Arial"/>
                <w:sz w:val="17"/>
                <w:szCs w:val="17"/>
                <w:b w:val="1"/>
                <w:bCs w:val="1"/>
                <w:color w:val="auto"/>
                <w:w w:val="90"/>
              </w:rPr>
              <w:t>Year Ended December 31,</w:t>
            </w:r>
          </w:p>
        </w:tc>
        <w:tc>
          <w:tcPr>
            <w:tcW w:w="1240" w:type="dxa"/>
            <w:vAlign w:val="bottom"/>
            <w:tcBorders>
              <w:bottom w:val="single" w:sz="8" w:color="auto"/>
            </w:tcBorders>
          </w:tcPr>
          <w:p>
            <w:pPr>
              <w:spacing w:after="0"/>
              <w:rPr>
                <w:sz w:val="24"/>
                <w:szCs w:val="24"/>
                <w:color w:val="auto"/>
              </w:rPr>
            </w:pPr>
          </w:p>
        </w:tc>
      </w:tr>
      <w:tr>
        <w:trPr>
          <w:trHeight w:val="208"/>
        </w:trPr>
        <w:tc>
          <w:tcPr>
            <w:tcW w:w="4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2017</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b w:val="1"/>
                <w:bCs w:val="1"/>
                <w:color w:val="auto"/>
                <w:w w:val="89"/>
              </w:rPr>
              <w:t>2016</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2015</w:t>
            </w:r>
          </w:p>
        </w:tc>
      </w:tr>
      <w:tr>
        <w:trPr>
          <w:trHeight w:val="195"/>
        </w:trPr>
        <w:tc>
          <w:tcPr>
            <w:tcW w:w="4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(in thousands)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7"/>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(credits) charges</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788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788"/>
        </w:trPr>
        <w:tc>
          <w:tcPr>
            <w:tcW w:w="4280" w:type="dxa"/>
            <w:vAlign w:val="bottom"/>
          </w:tcPr>
          <w:p>
            <w:pPr>
              <w:spacing w:after="0"/>
              <w:rPr>
                <w:sz w:val="24"/>
                <w:szCs w:val="24"/>
                <w:color w:val="auto"/>
              </w:rPr>
            </w:pPr>
          </w:p>
        </w:tc>
        <w:tc>
          <w:tcPr>
            <w:tcW w:w="2280" w:type="dxa"/>
            <w:vAlign w:val="bottom"/>
            <w:gridSpan w:val="2"/>
          </w:tcPr>
          <w:p>
            <w:pPr>
              <w:jc w:val="right"/>
              <w:ind w:right="680"/>
              <w:spacing w:after="0"/>
              <w:rPr>
                <w:sz w:val="20"/>
                <w:szCs w:val="20"/>
                <w:color w:val="auto"/>
              </w:rPr>
            </w:pPr>
            <w:r>
              <w:rPr>
                <w:rFonts w:ascii="Arial" w:cs="Arial" w:eastAsia="Arial" w:hAnsi="Arial"/>
                <w:sz w:val="17"/>
                <w:szCs w:val="17"/>
                <w:color w:val="auto"/>
              </w:rPr>
              <w:t>F-19</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4"/>
        </w:trPr>
        <w:tc>
          <w:tcPr>
            <w:tcW w:w="428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228"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Long Term Debt</w:t>
      </w:r>
    </w:p>
    <w:p>
      <w:pPr>
        <w:spacing w:after="0" w:line="315" w:lineRule="exact"/>
        <w:rPr>
          <w:sz w:val="20"/>
          <w:szCs w:val="20"/>
          <w:color w:val="auto"/>
        </w:rPr>
      </w:pPr>
    </w:p>
    <w:p>
      <w:pPr>
        <w:ind w:right="20" w:firstLine="413"/>
        <w:spacing w:after="0" w:line="273" w:lineRule="auto"/>
        <w:rPr>
          <w:sz w:val="20"/>
          <w:szCs w:val="20"/>
          <w:color w:val="auto"/>
        </w:rPr>
      </w:pPr>
      <w:r>
        <w:rPr>
          <w:rFonts w:ascii="Arial" w:cs="Arial" w:eastAsia="Arial" w:hAnsi="Arial"/>
          <w:sz w:val="16"/>
          <w:szCs w:val="16"/>
          <w:color w:val="auto"/>
        </w:rPr>
        <w:t>On August 7, 2009, the Company entered into an Amended and Restated Revolving Credit Loan Agreement related to a $20.0 million revolving credit facility with Bank of America, as agent, and Bank of America and Brown Brothers Harriman &amp; Co as lenders (as amended, the 2009 Credit Agreement). On March 29, 2013, the Company entered into a Second Amended and Restated Revolving Credit Agreement (as amended, the 2013 Credit Agreement) with Bank of America, as agent, and Bank of America and Brown Brothers Harriman &amp; Co, as lenders that amended and restated the 2009 Credit Agreement. Between September 2011 and May 2017, the Company entered into a series of amendments that among other things did the following:</w:t>
      </w:r>
    </w:p>
    <w:p>
      <w:pPr>
        <w:spacing w:after="0" w:line="168" w:lineRule="exact"/>
        <w:rPr>
          <w:sz w:val="20"/>
          <w:szCs w:val="20"/>
          <w:color w:val="auto"/>
        </w:rPr>
      </w:pPr>
    </w:p>
    <w:p>
      <w:pPr>
        <w:ind w:left="1020" w:hanging="298"/>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 September 30, 2011, reduced interest rates to the London Interbank Offered Rate plus 3.0%;</w:t>
      </w:r>
    </w:p>
    <w:p>
      <w:pPr>
        <w:spacing w:after="0" w:line="209" w:lineRule="exact"/>
        <w:rPr>
          <w:rFonts w:ascii="Arial" w:cs="Arial" w:eastAsia="Arial" w:hAnsi="Arial"/>
          <w:sz w:val="17"/>
          <w:szCs w:val="17"/>
          <w:color w:val="auto"/>
        </w:rPr>
      </w:pPr>
    </w:p>
    <w:p>
      <w:pPr>
        <w:ind w:left="1020" w:right="20" w:hanging="298"/>
        <w:spacing w:after="0" w:line="260"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 March 29, 2013, converted existing loan advances into a term loan in the principal amount of $15.0 million (the 2013 Term Loan), provided a revolving credit facility in the maximum principal amount of $25.0 million (the 2013 Revolving Line) and a delayed draw term loan (the 2013 DDTL) of up to $15.0 million;</w:t>
      </w:r>
    </w:p>
    <w:p>
      <w:pPr>
        <w:spacing w:after="0" w:line="174" w:lineRule="exact"/>
        <w:rPr>
          <w:rFonts w:ascii="Arial" w:cs="Arial" w:eastAsia="Arial" w:hAnsi="Arial"/>
          <w:sz w:val="17"/>
          <w:szCs w:val="17"/>
          <w:color w:val="auto"/>
        </w:rPr>
      </w:pPr>
    </w:p>
    <w:p>
      <w:pPr>
        <w:ind w:left="1020" w:hanging="298"/>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 October 31, 2013, reduced the 2013 DDTL from up to $15.0 million to up to $10.0 million;</w:t>
      </w:r>
    </w:p>
    <w:p>
      <w:pPr>
        <w:spacing w:after="0" w:line="209" w:lineRule="exact"/>
        <w:rPr>
          <w:rFonts w:ascii="Arial" w:cs="Arial" w:eastAsia="Arial" w:hAnsi="Arial"/>
          <w:sz w:val="17"/>
          <w:szCs w:val="17"/>
          <w:color w:val="auto"/>
        </w:rPr>
      </w:pPr>
    </w:p>
    <w:p>
      <w:pPr>
        <w:ind w:left="1020" w:right="120" w:hanging="298"/>
        <w:spacing w:after="0" w:line="271"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 April 24, 2015, extended the maturity date of the 2013 Revolving Line to March 29, 2018 and reduced the interest rates on the 2013 Revolving Line, 2013 Term Loan and 2013 DDTL;</w:t>
      </w:r>
    </w:p>
    <w:p>
      <w:pPr>
        <w:spacing w:after="0" w:line="165" w:lineRule="exact"/>
        <w:rPr>
          <w:rFonts w:ascii="Arial" w:cs="Arial" w:eastAsia="Arial" w:hAnsi="Arial"/>
          <w:sz w:val="17"/>
          <w:szCs w:val="17"/>
          <w:color w:val="auto"/>
        </w:rPr>
      </w:pPr>
    </w:p>
    <w:p>
      <w:pPr>
        <w:ind w:left="1020" w:hanging="298"/>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 June 30, 2015, amended its quarterly minimum fixed charge coverage financial covenant;</w:t>
      </w:r>
    </w:p>
    <w:p>
      <w:pPr>
        <w:spacing w:after="0" w:line="209" w:lineRule="exact"/>
        <w:rPr>
          <w:rFonts w:ascii="Arial" w:cs="Arial" w:eastAsia="Arial" w:hAnsi="Arial"/>
          <w:sz w:val="17"/>
          <w:szCs w:val="17"/>
          <w:color w:val="auto"/>
        </w:rPr>
      </w:pPr>
    </w:p>
    <w:p>
      <w:pPr>
        <w:ind w:left="1020" w:right="200" w:hanging="298"/>
        <w:spacing w:after="0" w:line="271"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 March 9, 2016, amended the principal payment amortization of the 2013 Term Loan and 2013 DDTL to five years, as well as amended its quarterly minimum fixed charge coverage financial covenant; and</w:t>
      </w:r>
    </w:p>
    <w:p>
      <w:pPr>
        <w:spacing w:after="0" w:line="165" w:lineRule="exact"/>
        <w:rPr>
          <w:rFonts w:ascii="Arial" w:cs="Arial" w:eastAsia="Arial" w:hAnsi="Arial"/>
          <w:sz w:val="17"/>
          <w:szCs w:val="17"/>
          <w:color w:val="auto"/>
        </w:rPr>
      </w:pPr>
    </w:p>
    <w:p>
      <w:pPr>
        <w:ind w:left="1020" w:right="20" w:hanging="298"/>
        <w:spacing w:after="0" w:line="303"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May 2, 2017, entered into a Third Amended and Restated Revolving Credit Agreement (as amended, the Credit Agreement) with Bank of America, as agent, and Bank of America and Brown Brothers Harriman &amp; Co, as lenders that amended and restated the 2013 Credit Agreement.</w:t>
      </w:r>
    </w:p>
    <w:p>
      <w:pPr>
        <w:spacing w:after="0" w:line="143" w:lineRule="exact"/>
        <w:rPr>
          <w:sz w:val="20"/>
          <w:szCs w:val="20"/>
          <w:color w:val="auto"/>
        </w:rPr>
      </w:pPr>
    </w:p>
    <w:p>
      <w:pPr>
        <w:ind w:firstLine="413"/>
        <w:spacing w:after="0" w:line="293" w:lineRule="auto"/>
        <w:rPr>
          <w:sz w:val="20"/>
          <w:szCs w:val="20"/>
          <w:color w:val="auto"/>
        </w:rPr>
      </w:pPr>
      <w:r>
        <w:rPr>
          <w:rFonts w:ascii="Arial" w:cs="Arial" w:eastAsia="Arial" w:hAnsi="Arial"/>
          <w:sz w:val="15"/>
          <w:szCs w:val="15"/>
          <w:color w:val="auto"/>
        </w:rPr>
        <w:t>The Credit Agreement was entered into to, among other things, consolidate, combine and restate the outstanding indebtedness, on the date of the Credit Agreement, into a term loan (the Term Loan) in the principal amount of $14.0 million, and also provide for a $25.0 million revolving line of credit (the Revolving Line). The Term Loan and the Revolving Line each have a maturity date of May 1, 2022. Borrowings under the Term Loan accrue interest at a rate based on either the effective LIBOR for certain interest periods selected by the Company, or a daily floating rate based on the BBA LIBOR as published by Reuters (or other commercially available source providing quotations of BBA LIBOR), plus in either case, a margin of 2.75%. Additionally, the Revolving Line accrues interest at a rate based on either the effective LIBOR for certain interest periods selected by the Company, or a daily floating rate based on the BBA LIBOR, plus in either case, a margin of 2.25%.</w:t>
      </w:r>
    </w:p>
    <w:p>
      <w:pPr>
        <w:spacing w:after="0" w:line="154" w:lineRule="exact"/>
        <w:rPr>
          <w:sz w:val="20"/>
          <w:szCs w:val="20"/>
          <w:color w:val="auto"/>
        </w:rPr>
      </w:pPr>
    </w:p>
    <w:p>
      <w:pPr>
        <w:ind w:right="100" w:firstLine="413"/>
        <w:spacing w:after="0" w:line="293" w:lineRule="auto"/>
        <w:rPr>
          <w:sz w:val="20"/>
          <w:szCs w:val="20"/>
          <w:color w:val="auto"/>
        </w:rPr>
      </w:pPr>
      <w:r>
        <w:rPr>
          <w:rFonts w:ascii="Arial" w:cs="Arial" w:eastAsia="Arial" w:hAnsi="Arial"/>
          <w:sz w:val="15"/>
          <w:szCs w:val="15"/>
          <w:color w:val="auto"/>
        </w:rPr>
        <w:t>The Term Loan and loans under the Revolving Line evidenced by the Credit Agreement, or the Loans, are guaranteed by all of the Company’s direct and indirect domestic subsidiaries, and secured by substantially all of the assets of the Company and the guarantors. The Loans are subject to restrictive covenants under the Credit Agreement, and financial covenants that require the Company and its subsidiaries to maintain certain financial ratios on a consolidated basis, including a maximum leverage, minimum fixed charge coverage and minimum working capital. Prepayment of the Loans is allowed by the Credit Agreement at any time during the terms of the Loans. The Loans also contain limitations on the Company’s ability to incur additional indebtedness and requires lender approval for acquisitions funded with cash, promissory notes and/or other consideration in excess of $6.0 million and for acquisitions funded solely with equity in excess of $10.0 million.</w:t>
      </w:r>
    </w:p>
    <w:p>
      <w:pPr>
        <w:spacing w:after="0" w:line="154" w:lineRule="exact"/>
        <w:rPr>
          <w:sz w:val="20"/>
          <w:szCs w:val="20"/>
          <w:color w:val="auto"/>
        </w:rPr>
      </w:pPr>
    </w:p>
    <w:p>
      <w:pPr>
        <w:jc w:val="both"/>
        <w:ind w:right="80" w:firstLine="413"/>
        <w:spacing w:after="0" w:line="260" w:lineRule="auto"/>
        <w:rPr>
          <w:sz w:val="20"/>
          <w:szCs w:val="20"/>
          <w:color w:val="auto"/>
        </w:rPr>
      </w:pPr>
      <w:r>
        <w:rPr>
          <w:rFonts w:ascii="Arial" w:cs="Arial" w:eastAsia="Arial" w:hAnsi="Arial"/>
          <w:sz w:val="17"/>
          <w:szCs w:val="17"/>
          <w:color w:val="auto"/>
        </w:rPr>
        <w:t>As of December 31, 2017 and December 31, 2016, the Company had borrowings of $11.7 million and $13.7 million, net of deferred financing costs, respectively, outstanding under its Credit Agreement. The carrying value of the debt approximates fair value because the interest rate under the obligation approximates market rates of interest available to the Company for similar instruments.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December 31, 2017, the weighted effective interest rates, net of the impact of the Company’s interest rate swaps, on its Term Loan was 4.61%.</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228" w:right="2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5"/>
        </w:trPr>
        <w:tc>
          <w:tcPr>
            <w:tcW w:w="8120" w:type="dxa"/>
            <w:vAlign w:val="bottom"/>
            <w:gridSpan w:val="3"/>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20" w:type="dxa"/>
            <w:vAlign w:val="bottom"/>
          </w:tcPr>
          <w:p>
            <w:pPr>
              <w:spacing w:after="0"/>
              <w:rPr>
                <w:sz w:val="24"/>
                <w:szCs w:val="24"/>
                <w:color w:val="auto"/>
              </w:rPr>
            </w:pPr>
          </w:p>
        </w:tc>
        <w:tc>
          <w:tcPr>
            <w:tcW w:w="8100" w:type="dxa"/>
            <w:vAlign w:val="bottom"/>
            <w:gridSpan w:val="2"/>
          </w:tcPr>
          <w:p>
            <w:pPr>
              <w:ind w:left="400"/>
              <w:spacing w:after="0"/>
              <w:rPr>
                <w:sz w:val="20"/>
                <w:szCs w:val="20"/>
                <w:color w:val="auto"/>
              </w:rPr>
            </w:pPr>
            <w:r>
              <w:rPr>
                <w:rFonts w:ascii="Arial" w:cs="Arial" w:eastAsia="Arial" w:hAnsi="Arial"/>
                <w:sz w:val="17"/>
                <w:szCs w:val="17"/>
                <w:color w:val="auto"/>
              </w:rPr>
              <w:t>As of December 31, 2017 and December 31, 2016, the Company’s borrowings were comprised of:</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24"/>
                <w:szCs w:val="24"/>
                <w:color w:val="auto"/>
              </w:rPr>
            </w:pPr>
          </w:p>
        </w:tc>
        <w:tc>
          <w:tcPr>
            <w:tcW w:w="1400" w:type="dxa"/>
            <w:vAlign w:val="bottom"/>
          </w:tcPr>
          <w:p>
            <w:pPr>
              <w:jc w:val="center"/>
              <w:ind w:right="96"/>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b w:val="1"/>
                <w:bCs w:val="1"/>
                <w:color w:val="auto"/>
                <w:w w:val="89"/>
              </w:rPr>
              <w:t>2016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4"/>
          </w:tcPr>
          <w:p>
            <w:pPr>
              <w:jc w:val="right"/>
              <w:ind w:right="1076"/>
              <w:spacing w:after="0"/>
              <w:rPr>
                <w:sz w:val="20"/>
                <w:szCs w:val="20"/>
                <w:color w:val="auto"/>
              </w:rPr>
            </w:pPr>
            <w:r>
              <w:rPr>
                <w:rFonts w:ascii="Arial" w:cs="Arial" w:eastAsia="Arial" w:hAnsi="Arial"/>
                <w:sz w:val="17"/>
                <w:szCs w:val="17"/>
                <w:color w:val="auto"/>
              </w:rPr>
              <w:t>(in thousands)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2"/>
          </w:tcPr>
          <w:p>
            <w:pPr>
              <w:ind w:left="140"/>
              <w:spacing w:after="0"/>
              <w:rPr>
                <w:sz w:val="20"/>
                <w:szCs w:val="20"/>
                <w:color w:val="auto"/>
              </w:rPr>
            </w:pPr>
            <w:r>
              <w:rPr>
                <w:rFonts w:ascii="Arial" w:cs="Arial" w:eastAsia="Arial" w:hAnsi="Arial"/>
                <w:sz w:val="17"/>
                <w:szCs w:val="17"/>
                <w:color w:val="auto"/>
              </w:rPr>
              <w:t>Term loan</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11,899</w:t>
            </w:r>
          </w:p>
        </w:tc>
        <w:tc>
          <w:tcPr>
            <w:tcW w:w="12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5,400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DDTL</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2"/>
          </w:tcPr>
          <w:p>
            <w:pPr>
              <w:ind w:left="140"/>
              <w:spacing w:after="0"/>
              <w:rPr>
                <w:sz w:val="20"/>
                <w:szCs w:val="20"/>
                <w:color w:val="auto"/>
              </w:rPr>
            </w:pPr>
            <w:r>
              <w:rPr>
                <w:rFonts w:ascii="Arial" w:cs="Arial" w:eastAsia="Arial" w:hAnsi="Arial"/>
                <w:sz w:val="17"/>
                <w:szCs w:val="17"/>
                <w:color w:val="auto"/>
              </w:rPr>
              <w:t>Revolving line</w:t>
            </w: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4,050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 unamortized deferred financing costs</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195"/>
        </w:trPr>
        <w:tc>
          <w:tcPr>
            <w:tcW w:w="8120" w:type="dxa"/>
            <w:vAlign w:val="bottom"/>
            <w:gridSpan w:val="3"/>
          </w:tcPr>
          <w:p>
            <w:pPr>
              <w:spacing w:after="0"/>
              <w:rPr>
                <w:sz w:val="20"/>
                <w:szCs w:val="20"/>
                <w:color w:val="auto"/>
              </w:rPr>
            </w:pPr>
            <w:r>
              <w:rPr>
                <w:rFonts w:ascii="Arial" w:cs="Arial" w:eastAsia="Arial" w:hAnsi="Arial"/>
                <w:sz w:val="17"/>
                <w:szCs w:val="17"/>
                <w:color w:val="auto"/>
              </w:rPr>
              <w:t>Total debt</w:t>
            </w:r>
          </w:p>
        </w:tc>
        <w:tc>
          <w:tcPr>
            <w:tcW w:w="200" w:type="dxa"/>
            <w:vAlign w:val="bottom"/>
          </w:tcPr>
          <w:p>
            <w:pPr>
              <w:spacing w:after="0"/>
              <w:rPr>
                <w:sz w:val="16"/>
                <w:szCs w:val="16"/>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11,748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13,746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Less: current installments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Current unamortized deferred financing costs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8,983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gridSpan w:val="2"/>
            <w:vMerge w:val="restart"/>
          </w:tcPr>
          <w:p>
            <w:pPr>
              <w:ind w:left="400"/>
              <w:spacing w:after="0"/>
              <w:rPr>
                <w:sz w:val="20"/>
                <w:szCs w:val="20"/>
                <w:color w:val="auto"/>
              </w:rPr>
            </w:pPr>
            <w:r>
              <w:rPr>
                <w:rFonts w:ascii="Arial" w:cs="Arial" w:eastAsia="Arial" w:hAnsi="Arial"/>
                <w:sz w:val="17"/>
                <w:szCs w:val="17"/>
                <w:color w:val="auto"/>
              </w:rPr>
              <w:t>The aggregate amounts of debt maturing during the next five years are as follows:</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81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ind w:right="116"/>
              <w:spacing w:after="0"/>
              <w:rPr>
                <w:sz w:val="20"/>
                <w:szCs w:val="20"/>
                <w:color w:val="auto"/>
              </w:rPr>
            </w:pPr>
            <w:r>
              <w:rPr>
                <w:rFonts w:ascii="Arial" w:cs="Arial" w:eastAsia="Arial" w:hAnsi="Arial"/>
                <w:sz w:val="17"/>
                <w:szCs w:val="17"/>
                <w:color w:val="auto"/>
                <w:w w:val="89"/>
              </w:rPr>
              <w:t>(in thousands)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18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6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11,899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2019</w:t>
            </w:r>
          </w:p>
        </w:tc>
        <w:tc>
          <w:tcPr>
            <w:tcW w:w="6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6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2021</w:t>
            </w:r>
          </w:p>
        </w:tc>
        <w:tc>
          <w:tcPr>
            <w:tcW w:w="6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6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100" w:type="dxa"/>
            <w:vAlign w:val="bottom"/>
            <w:gridSpan w:val="2"/>
          </w:tcPr>
          <w:p>
            <w:pPr>
              <w:spacing w:after="0" w:line="194" w:lineRule="exact"/>
              <w:rPr>
                <w:sz w:val="20"/>
                <w:szCs w:val="20"/>
                <w:color w:val="auto"/>
              </w:rPr>
            </w:pPr>
            <w:r>
              <w:rPr>
                <w:rFonts w:ascii="Arial" w:cs="Arial" w:eastAsia="Arial" w:hAnsi="Arial"/>
                <w:sz w:val="17"/>
                <w:szCs w:val="17"/>
                <w:color w:val="auto"/>
              </w:rPr>
              <w:t>Total</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11,899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20" w:firstLine="413"/>
        <w:spacing w:after="0" w:line="254" w:lineRule="auto"/>
        <w:rPr>
          <w:sz w:val="20"/>
          <w:szCs w:val="20"/>
          <w:color w:val="auto"/>
        </w:rPr>
      </w:pPr>
      <w:r>
        <w:rPr>
          <w:rFonts w:ascii="Arial" w:cs="Arial" w:eastAsia="Arial" w:hAnsi="Arial"/>
          <w:sz w:val="17"/>
          <w:szCs w:val="17"/>
          <w:color w:val="auto"/>
        </w:rPr>
        <w:t>As further discussed in Note 25, on January 22, 2018, the Company terminated the Credit Agreement and all outstanding amounts under the agreement were repaid in full. At the time of repayment, there was approximately $11.9 million of debt balances outstanding. Accordingly, the table above reflects the repayment of the debt in 2018. Additionally, as further disclosed in Note 25, on January 31, 2018, the Company entered into a financing agreement with Cerberus Business Finance, LLC, which provided for a $64.0 million term loan and up to a $25.0 million revolving line of credit. The $64.0 million term loan has a maturity of five years. The payment schedule of this financing agreement is detailed in Note 25.</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Derivatives</w:t>
      </w:r>
    </w:p>
    <w:p>
      <w:pPr>
        <w:spacing w:after="0" w:line="315" w:lineRule="exact"/>
        <w:rPr>
          <w:sz w:val="20"/>
          <w:szCs w:val="20"/>
          <w:color w:val="auto"/>
        </w:rPr>
      </w:pPr>
    </w:p>
    <w:p>
      <w:pPr>
        <w:ind w:right="60" w:firstLine="413"/>
        <w:spacing w:after="0" w:line="339" w:lineRule="auto"/>
        <w:rPr>
          <w:sz w:val="20"/>
          <w:szCs w:val="20"/>
          <w:color w:val="auto"/>
        </w:rPr>
      </w:pPr>
      <w:r>
        <w:rPr>
          <w:rFonts w:ascii="Arial" w:cs="Arial" w:eastAsia="Arial" w:hAnsi="Arial"/>
          <w:sz w:val="15"/>
          <w:szCs w:val="15"/>
          <w:color w:val="auto"/>
        </w:rPr>
        <w:t>The Company uses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w:t>
      </w:r>
    </w:p>
    <w:p>
      <w:pPr>
        <w:spacing w:after="0" w:line="120" w:lineRule="exact"/>
        <w:rPr>
          <w:sz w:val="20"/>
          <w:szCs w:val="20"/>
          <w:color w:val="auto"/>
        </w:rPr>
      </w:pPr>
    </w:p>
    <w:p>
      <w:pPr>
        <w:ind w:right="120" w:firstLine="413"/>
        <w:spacing w:after="0" w:line="273" w:lineRule="auto"/>
        <w:rPr>
          <w:sz w:val="20"/>
          <w:szCs w:val="20"/>
          <w:color w:val="auto"/>
        </w:rPr>
      </w:pPr>
      <w:r>
        <w:rPr>
          <w:rFonts w:ascii="Arial" w:cs="Arial" w:eastAsia="Arial" w:hAnsi="Arial"/>
          <w:sz w:val="16"/>
          <w:szCs w:val="16"/>
          <w:color w:val="auto"/>
        </w:rPr>
        <w:t>By using derivative financial instruments to hedge exposures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minimizes counterparty credit risk in derivative instruments by entering into transactions with carefully selected major financial institutions based upon their credit profile.</w:t>
      </w:r>
    </w:p>
    <w:p>
      <w:pPr>
        <w:spacing w:after="0" w:line="168" w:lineRule="exact"/>
        <w:rPr>
          <w:sz w:val="20"/>
          <w:szCs w:val="20"/>
          <w:color w:val="auto"/>
        </w:rPr>
      </w:pPr>
    </w:p>
    <w:p>
      <w:pPr>
        <w:ind w:right="260" w:firstLine="413"/>
        <w:spacing w:after="0" w:line="303" w:lineRule="auto"/>
        <w:rPr>
          <w:sz w:val="20"/>
          <w:szCs w:val="20"/>
          <w:color w:val="auto"/>
        </w:rPr>
      </w:pPr>
      <w:r>
        <w:rPr>
          <w:rFonts w:ascii="Arial" w:cs="Arial" w:eastAsia="Arial" w:hAnsi="Arial"/>
          <w:sz w:val="16"/>
          <w:szCs w:val="16"/>
          <w:color w:val="auto"/>
        </w:rPr>
        <w:t>Market risk is the adverse effect on the value of a derivative instrument that results from a change in interest rates. The market risk associated with interest-rate contracts is managed by establishing and monitoring parameters that limit the types and degree of market risk that may be undertaken.</w:t>
      </w:r>
    </w:p>
    <w:p>
      <w:pPr>
        <w:spacing w:after="0" w:line="143" w:lineRule="exact"/>
        <w:rPr>
          <w:sz w:val="20"/>
          <w:szCs w:val="20"/>
          <w:color w:val="auto"/>
        </w:rPr>
      </w:pPr>
    </w:p>
    <w:p>
      <w:pPr>
        <w:ind w:right="240" w:firstLine="413"/>
        <w:spacing w:after="0" w:line="301" w:lineRule="auto"/>
        <w:rPr>
          <w:sz w:val="20"/>
          <w:szCs w:val="20"/>
          <w:color w:val="auto"/>
        </w:rPr>
      </w:pPr>
      <w:r>
        <w:rPr>
          <w:rFonts w:ascii="Arial" w:cs="Arial" w:eastAsia="Arial" w:hAnsi="Arial"/>
          <w:sz w:val="15"/>
          <w:szCs w:val="15"/>
          <w:color w:val="auto"/>
        </w:rPr>
        <w:t>The Company assesses interest rate risk by continually identifying and monitoring changes in interest rate exposures that may adversely impact expected future cash flows and by evaluating hedging opportunities. The Company maintains risk management control systems to monitor interest rate risk attributable to both the Company’s outstanding or forecasted debt obligations as well as the Company’s offsetting hedge positions. The risk management control systems involve the use of analytical techniques, including cash flow sensitivity analysis, to estimate the expected impact of changes in interest rates on the Company’s future cash flows.</w:t>
      </w:r>
    </w:p>
    <w:p>
      <w:pPr>
        <w:spacing w:after="0" w:line="147" w:lineRule="exact"/>
        <w:rPr>
          <w:sz w:val="20"/>
          <w:szCs w:val="20"/>
          <w:color w:val="auto"/>
        </w:rPr>
      </w:pPr>
    </w:p>
    <w:p>
      <w:pPr>
        <w:ind w:right="160" w:firstLine="413"/>
        <w:spacing w:after="0" w:line="253" w:lineRule="auto"/>
        <w:rPr>
          <w:sz w:val="20"/>
          <w:szCs w:val="20"/>
          <w:color w:val="auto"/>
        </w:rPr>
      </w:pPr>
      <w:r>
        <w:rPr>
          <w:rFonts w:ascii="Arial" w:cs="Arial" w:eastAsia="Arial" w:hAnsi="Arial"/>
          <w:sz w:val="17"/>
          <w:szCs w:val="17"/>
          <w:color w:val="auto"/>
        </w:rPr>
        <w:t>The Company uses variable-rate London Interbank Offered Rate (LIBOR) debt to finance its operations. The debt obligations expose the Company to variability in interest payments due to changes in interest rates. Management believes that it is prudent to limit the variability of a portion of its interest payments. To meet this objective, management enters into LIBOR based interest rate swap agreements to manage fluctuations in cash flows resulting from changes in the benchmark interest rate of LIBOR. These swaps change the variable-rate cash flow exposure on the debt obligations to fixed cash flows. Under the terms of the interest rate swaps, the Company receives LIBOR based variable interest rate payments and makes fixed interest rate payments, thereby creating the equivalent of fixed-rate debt for the notional amount of its debt hedged.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10"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20" w:firstLine="413"/>
        <w:spacing w:after="0" w:line="253" w:lineRule="auto"/>
        <w:rPr>
          <w:sz w:val="20"/>
          <w:szCs w:val="20"/>
          <w:color w:val="auto"/>
        </w:rPr>
      </w:pPr>
      <w:r>
        <w:rPr>
          <w:rFonts w:ascii="Arial" w:cs="Arial" w:eastAsia="Arial" w:hAnsi="Arial"/>
          <w:sz w:val="17"/>
          <w:szCs w:val="17"/>
          <w:color w:val="auto"/>
        </w:rPr>
        <w:t>As disclosed in Note 11, on May 2, 2017, the Company entered into a Credit Agreement that amended its then existing credit facility with Bank of America, as agent, and Bank of America and Brown Brothers Harriman &amp; Co. as lenders. Immediately after entering into this Credit Agreement, the Company entered into an interest rate swap contract with Bank of America with a notional amount of $14.0 million and a termination date of March 30, 2022 in order to hedge the risk of changes in the effective benchmark interest rate (LIBOR) associated with the Company’s Term Loan. The swap contract converted specific variable-rate debt into fixed-rate debt and fixed the LIBOR rate associated with the Term Loan at 1.86% plus a bank margin of 2.75%. The interest rate swap was designated as a cash flow hedge instrument in accordance with ASC 815 “Derivatives and Hedging”.</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notional amount of the Company’s derivative instruments as of December 31, 2017 was $11.9 million.</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notional amount and fair value of the Company’s derivative instruments as of December 31, 2017 and December 31,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0" w:type="dxa"/>
            <w:vAlign w:val="bottom"/>
            <w:gridSpan w:val="2"/>
          </w:tcPr>
          <w:p>
            <w:pPr>
              <w:jc w:val="center"/>
              <w:ind w:right="36"/>
              <w:spacing w:after="0"/>
              <w:rPr>
                <w:sz w:val="20"/>
                <w:szCs w:val="20"/>
                <w:color w:val="auto"/>
              </w:rPr>
            </w:pPr>
            <w:r>
              <w:rPr>
                <w:rFonts w:ascii="Arial" w:cs="Arial" w:eastAsia="Arial" w:hAnsi="Arial"/>
                <w:sz w:val="17"/>
                <w:szCs w:val="17"/>
                <w:b w:val="1"/>
                <w:bCs w:val="1"/>
                <w:color w:val="auto"/>
                <w:w w:val="88"/>
              </w:rPr>
              <w:t>December 31, 2017</w:t>
            </w:r>
          </w:p>
        </w:tc>
        <w:tc>
          <w:tcPr>
            <w:tcW w:w="100" w:type="dxa"/>
            <w:vAlign w:val="bottom"/>
          </w:tcPr>
          <w:p>
            <w:pPr>
              <w:spacing w:after="0"/>
              <w:rPr>
                <w:sz w:val="18"/>
                <w:szCs w:val="18"/>
                <w:color w:val="auto"/>
              </w:rPr>
            </w:pPr>
          </w:p>
        </w:tc>
        <w:tc>
          <w:tcPr>
            <w:tcW w:w="1480" w:type="dxa"/>
            <w:vAlign w:val="bottom"/>
          </w:tcPr>
          <w:p>
            <w:pPr>
              <w:jc w:val="center"/>
              <w:ind w:right="16"/>
              <w:spacing w:after="0"/>
              <w:rPr>
                <w:sz w:val="20"/>
                <w:szCs w:val="20"/>
                <w:color w:val="auto"/>
              </w:rPr>
            </w:pPr>
            <w:r>
              <w:rPr>
                <w:rFonts w:ascii="Arial" w:cs="Arial" w:eastAsia="Arial" w:hAnsi="Arial"/>
                <w:sz w:val="17"/>
                <w:szCs w:val="17"/>
                <w:b w:val="1"/>
                <w:bCs w:val="1"/>
                <w:color w:val="auto"/>
                <w:w w:val="90"/>
              </w:rPr>
              <w:t>December 31, 2017</w:t>
            </w:r>
          </w:p>
        </w:tc>
        <w:tc>
          <w:tcPr>
            <w:tcW w:w="0" w:type="dxa"/>
            <w:vAlign w:val="bottom"/>
          </w:tcPr>
          <w:p>
            <w:pPr>
              <w:spacing w:after="0"/>
              <w:rPr>
                <w:sz w:val="1"/>
                <w:szCs w:val="1"/>
                <w:color w:val="auto"/>
              </w:rPr>
            </w:pPr>
          </w:p>
        </w:tc>
      </w:tr>
      <w:tr>
        <w:trPr>
          <w:trHeight w:val="219"/>
        </w:trPr>
        <w:tc>
          <w:tcPr>
            <w:tcW w:w="5340" w:type="dxa"/>
            <w:vAlign w:val="bottom"/>
            <w:vMerge w:val="restart"/>
          </w:tcPr>
          <w:p>
            <w:pPr>
              <w:spacing w:after="0"/>
              <w:rPr>
                <w:sz w:val="20"/>
                <w:szCs w:val="20"/>
                <w:color w:val="auto"/>
              </w:rPr>
            </w:pPr>
            <w:r>
              <w:rPr>
                <w:rFonts w:ascii="Arial" w:cs="Arial" w:eastAsia="Arial" w:hAnsi="Arial"/>
                <w:sz w:val="17"/>
                <w:szCs w:val="17"/>
                <w:b w:val="1"/>
                <w:bCs w:val="1"/>
                <w:color w:val="auto"/>
              </w:rPr>
              <w:t>Derivatives designated as hedging instruments under ASC 815</w:t>
            </w:r>
          </w:p>
        </w:tc>
        <w:tc>
          <w:tcPr>
            <w:tcW w:w="2900" w:type="dxa"/>
            <w:vAlign w:val="bottom"/>
            <w:vMerge w:val="restart"/>
          </w:tcPr>
          <w:p>
            <w:pPr>
              <w:ind w:left="840"/>
              <w:spacing w:after="0"/>
              <w:rPr>
                <w:sz w:val="20"/>
                <w:szCs w:val="20"/>
                <w:color w:val="auto"/>
              </w:rPr>
            </w:pPr>
            <w:r>
              <w:rPr>
                <w:rFonts w:ascii="Arial" w:cs="Arial" w:eastAsia="Arial" w:hAnsi="Arial"/>
                <w:sz w:val="17"/>
                <w:szCs w:val="17"/>
                <w:b w:val="1"/>
                <w:bCs w:val="1"/>
                <w:color w:val="auto"/>
                <w:w w:val="89"/>
              </w:rPr>
              <w:t>Balance sheet classification</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90"/>
              </w:rPr>
              <w:t>Notional Amount</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91"/>
              </w:rPr>
              <w:t>Fair Value (a)</w:t>
            </w:r>
          </w:p>
        </w:tc>
        <w:tc>
          <w:tcPr>
            <w:tcW w:w="0" w:type="dxa"/>
            <w:vAlign w:val="bottom"/>
          </w:tcPr>
          <w:p>
            <w:pPr>
              <w:spacing w:after="0"/>
              <w:rPr>
                <w:sz w:val="1"/>
                <w:szCs w:val="1"/>
                <w:color w:val="auto"/>
              </w:rPr>
            </w:pPr>
          </w:p>
        </w:tc>
      </w:tr>
      <w:tr>
        <w:trPr>
          <w:trHeight w:val="195"/>
        </w:trPr>
        <w:tc>
          <w:tcPr>
            <w:tcW w:w="5340" w:type="dxa"/>
            <w:vAlign w:val="bottom"/>
            <w:vMerge w:val="continue"/>
          </w:tcPr>
          <w:p>
            <w:pPr>
              <w:spacing w:after="0"/>
              <w:rPr>
                <w:sz w:val="16"/>
                <w:szCs w:val="16"/>
                <w:color w:val="auto"/>
              </w:rPr>
            </w:pPr>
          </w:p>
        </w:tc>
        <w:tc>
          <w:tcPr>
            <w:tcW w:w="2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3"/>
          </w:tcPr>
          <w:p>
            <w:pPr>
              <w:jc w:val="right"/>
              <w:ind w:right="1016"/>
              <w:spacing w:after="0"/>
              <w:rPr>
                <w:sz w:val="20"/>
                <w:szCs w:val="20"/>
                <w:color w:val="auto"/>
              </w:rPr>
            </w:pPr>
            <w:r>
              <w:rPr>
                <w:rFonts w:ascii="Arial" w:cs="Arial" w:eastAsia="Arial" w:hAnsi="Arial"/>
                <w:sz w:val="17"/>
                <w:szCs w:val="17"/>
                <w:color w:val="auto"/>
              </w:rPr>
              <w:t>(in thousands)</w:t>
            </w:r>
          </w:p>
        </w:tc>
        <w:tc>
          <w:tcPr>
            <w:tcW w:w="0" w:type="dxa"/>
            <w:vAlign w:val="bottom"/>
          </w:tcPr>
          <w:p>
            <w:pPr>
              <w:spacing w:after="0"/>
              <w:rPr>
                <w:sz w:val="1"/>
                <w:szCs w:val="1"/>
                <w:color w:val="auto"/>
              </w:rPr>
            </w:pPr>
          </w:p>
        </w:tc>
      </w:tr>
      <w:tr>
        <w:trPr>
          <w:trHeight w:val="227"/>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 rate swaps</w:t>
            </w:r>
          </w:p>
        </w:tc>
        <w:tc>
          <w:tcPr>
            <w:tcW w:w="29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Other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11,900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00" w:type="dxa"/>
            <w:vAlign w:val="bottom"/>
            <w:gridSpan w:val="2"/>
          </w:tcPr>
          <w:p>
            <w:pPr>
              <w:jc w:val="center"/>
              <w:ind w:right="36"/>
              <w:spacing w:after="0"/>
              <w:rPr>
                <w:sz w:val="20"/>
                <w:szCs w:val="20"/>
                <w:color w:val="auto"/>
              </w:rPr>
            </w:pPr>
            <w:r>
              <w:rPr>
                <w:rFonts w:ascii="Arial" w:cs="Arial" w:eastAsia="Arial" w:hAnsi="Arial"/>
                <w:sz w:val="17"/>
                <w:szCs w:val="17"/>
                <w:b w:val="1"/>
                <w:bCs w:val="1"/>
                <w:color w:val="auto"/>
                <w:w w:val="88"/>
              </w:rPr>
              <w:t>December 31, 2016</w:t>
            </w:r>
          </w:p>
        </w:tc>
        <w:tc>
          <w:tcPr>
            <w:tcW w:w="100" w:type="dxa"/>
            <w:vAlign w:val="bottom"/>
          </w:tcPr>
          <w:p>
            <w:pPr>
              <w:spacing w:after="0"/>
              <w:rPr>
                <w:sz w:val="24"/>
                <w:szCs w:val="24"/>
                <w:color w:val="auto"/>
              </w:rPr>
            </w:pPr>
          </w:p>
        </w:tc>
        <w:tc>
          <w:tcPr>
            <w:tcW w:w="1480" w:type="dxa"/>
            <w:vAlign w:val="bottom"/>
          </w:tcPr>
          <w:p>
            <w:pPr>
              <w:jc w:val="center"/>
              <w:ind w:right="16"/>
              <w:spacing w:after="0"/>
              <w:rPr>
                <w:sz w:val="20"/>
                <w:szCs w:val="20"/>
                <w:color w:val="auto"/>
              </w:rPr>
            </w:pPr>
            <w:r>
              <w:rPr>
                <w:rFonts w:ascii="Arial" w:cs="Arial" w:eastAsia="Arial" w:hAnsi="Arial"/>
                <w:sz w:val="17"/>
                <w:szCs w:val="17"/>
                <w:b w:val="1"/>
                <w:bCs w:val="1"/>
                <w:color w:val="auto"/>
                <w:w w:val="90"/>
              </w:rPr>
              <w:t>December 31, 2016</w:t>
            </w:r>
          </w:p>
        </w:tc>
        <w:tc>
          <w:tcPr>
            <w:tcW w:w="0" w:type="dxa"/>
            <w:vAlign w:val="bottom"/>
          </w:tcPr>
          <w:p>
            <w:pPr>
              <w:spacing w:after="0"/>
              <w:rPr>
                <w:sz w:val="1"/>
                <w:szCs w:val="1"/>
                <w:color w:val="auto"/>
              </w:rPr>
            </w:pPr>
          </w:p>
        </w:tc>
      </w:tr>
      <w:tr>
        <w:trPr>
          <w:trHeight w:val="219"/>
        </w:trPr>
        <w:tc>
          <w:tcPr>
            <w:tcW w:w="5340" w:type="dxa"/>
            <w:vAlign w:val="bottom"/>
            <w:vMerge w:val="restart"/>
          </w:tcPr>
          <w:p>
            <w:pPr>
              <w:spacing w:after="0"/>
              <w:rPr>
                <w:sz w:val="20"/>
                <w:szCs w:val="20"/>
                <w:color w:val="auto"/>
              </w:rPr>
            </w:pPr>
            <w:r>
              <w:rPr>
                <w:rFonts w:ascii="Arial" w:cs="Arial" w:eastAsia="Arial" w:hAnsi="Arial"/>
                <w:sz w:val="17"/>
                <w:szCs w:val="17"/>
                <w:b w:val="1"/>
                <w:bCs w:val="1"/>
                <w:color w:val="auto"/>
              </w:rPr>
              <w:t>Derivatives designated as hedging instruments under ASC 815</w:t>
            </w:r>
          </w:p>
        </w:tc>
        <w:tc>
          <w:tcPr>
            <w:tcW w:w="2900" w:type="dxa"/>
            <w:vAlign w:val="bottom"/>
            <w:vMerge w:val="restart"/>
          </w:tcPr>
          <w:p>
            <w:pPr>
              <w:ind w:left="840"/>
              <w:spacing w:after="0"/>
              <w:rPr>
                <w:sz w:val="20"/>
                <w:szCs w:val="20"/>
                <w:color w:val="auto"/>
              </w:rPr>
            </w:pPr>
            <w:r>
              <w:rPr>
                <w:rFonts w:ascii="Arial" w:cs="Arial" w:eastAsia="Arial" w:hAnsi="Arial"/>
                <w:sz w:val="17"/>
                <w:szCs w:val="17"/>
                <w:b w:val="1"/>
                <w:bCs w:val="1"/>
                <w:color w:val="auto"/>
                <w:w w:val="89"/>
              </w:rPr>
              <w:t>Balance sheet classification</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90"/>
              </w:rPr>
              <w:t>Notional Amount</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91"/>
              </w:rPr>
              <w:t>Fair Value (a)</w:t>
            </w:r>
          </w:p>
        </w:tc>
        <w:tc>
          <w:tcPr>
            <w:tcW w:w="0" w:type="dxa"/>
            <w:vAlign w:val="bottom"/>
          </w:tcPr>
          <w:p>
            <w:pPr>
              <w:spacing w:after="0"/>
              <w:rPr>
                <w:sz w:val="1"/>
                <w:szCs w:val="1"/>
                <w:color w:val="auto"/>
              </w:rPr>
            </w:pPr>
          </w:p>
        </w:tc>
      </w:tr>
      <w:tr>
        <w:trPr>
          <w:trHeight w:val="195"/>
        </w:trPr>
        <w:tc>
          <w:tcPr>
            <w:tcW w:w="5340" w:type="dxa"/>
            <w:vAlign w:val="bottom"/>
            <w:vMerge w:val="continue"/>
          </w:tcPr>
          <w:p>
            <w:pPr>
              <w:spacing w:after="0"/>
              <w:rPr>
                <w:sz w:val="16"/>
                <w:szCs w:val="16"/>
                <w:color w:val="auto"/>
              </w:rPr>
            </w:pPr>
          </w:p>
        </w:tc>
        <w:tc>
          <w:tcPr>
            <w:tcW w:w="2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3"/>
          </w:tcPr>
          <w:p>
            <w:pPr>
              <w:jc w:val="right"/>
              <w:ind w:right="1016"/>
              <w:spacing w:after="0"/>
              <w:rPr>
                <w:sz w:val="20"/>
                <w:szCs w:val="20"/>
                <w:color w:val="auto"/>
              </w:rPr>
            </w:pPr>
            <w:r>
              <w:rPr>
                <w:rFonts w:ascii="Arial" w:cs="Arial" w:eastAsia="Arial" w:hAnsi="Arial"/>
                <w:sz w:val="17"/>
                <w:szCs w:val="17"/>
                <w:color w:val="auto"/>
              </w:rPr>
              <w:t>(in thousands)</w:t>
            </w:r>
          </w:p>
        </w:tc>
        <w:tc>
          <w:tcPr>
            <w:tcW w:w="0" w:type="dxa"/>
            <w:vAlign w:val="bottom"/>
          </w:tcPr>
          <w:p>
            <w:pPr>
              <w:spacing w:after="0"/>
              <w:rPr>
                <w:sz w:val="1"/>
                <w:szCs w:val="1"/>
                <w:color w:val="auto"/>
              </w:rPr>
            </w:pPr>
          </w:p>
        </w:tc>
      </w:tr>
      <w:tr>
        <w:trPr>
          <w:trHeight w:val="227"/>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 rate swaps</w:t>
            </w:r>
          </w:p>
        </w:tc>
        <w:tc>
          <w:tcPr>
            <w:tcW w:w="29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Other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5,500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20" w:right="5200" w:hanging="6"/>
        <w:spacing w:after="0" w:line="563" w:lineRule="auto"/>
        <w:tabs>
          <w:tab w:leader="none" w:pos="649" w:val="left"/>
        </w:tabs>
        <w:numPr>
          <w:ilvl w:val="0"/>
          <w:numId w:val="45"/>
        </w:numPr>
        <w:rPr>
          <w:rFonts w:ascii="Arial" w:cs="Arial" w:eastAsia="Arial" w:hAnsi="Arial"/>
          <w:sz w:val="15"/>
          <w:szCs w:val="15"/>
          <w:color w:val="auto"/>
        </w:rPr>
      </w:pPr>
      <w:r>
        <w:rPr>
          <w:rFonts w:ascii="Arial" w:cs="Arial" w:eastAsia="Arial" w:hAnsi="Arial"/>
          <w:sz w:val="15"/>
          <w:szCs w:val="15"/>
          <w:color w:val="auto"/>
        </w:rPr>
        <w:t>See Note 13 for the fair value measurements related to these financial instruments. All of the Company’s derivative instruments are designated as hedging instruments.</w:t>
      </w:r>
    </w:p>
    <w:p>
      <w:pPr>
        <w:spacing w:after="0" w:line="1" w:lineRule="exact"/>
        <w:rPr>
          <w:sz w:val="20"/>
          <w:szCs w:val="20"/>
          <w:color w:val="auto"/>
        </w:rPr>
      </w:pPr>
    </w:p>
    <w:p>
      <w:pPr>
        <w:ind w:right="140" w:firstLine="413"/>
        <w:spacing w:after="0" w:line="296" w:lineRule="auto"/>
        <w:rPr>
          <w:sz w:val="20"/>
          <w:szCs w:val="20"/>
          <w:color w:val="auto"/>
        </w:rPr>
      </w:pPr>
      <w:r>
        <w:rPr>
          <w:rFonts w:ascii="Arial" w:cs="Arial" w:eastAsia="Arial" w:hAnsi="Arial"/>
          <w:sz w:val="15"/>
          <w:szCs w:val="15"/>
          <w:color w:val="auto"/>
        </w:rPr>
        <w:t>The Company has structured its interest rate swap agreements to be 100% effective and as a result, there was no impact to earnings resulting from hedge ineffectiveness. Changes in the fair value of interest rate swaps designated as hedging instruments that effectively offset the variability of cash flows associated with variable-rate, long-term debt obligations are reported in accumulated other comprehensive income (“AOCI”). These amounts subsequently are reclassified into interest expense as a yield adjustment of the hedged interest payments in the same period in which the related interest affects earnings. The Company’s interest rate swap agreement was deemed to be fully effective in accordance with ASC 815, and, as such, unrealized gains and losses related to these derivatives were recorded as AOCI.</w:t>
      </w:r>
    </w:p>
    <w:p>
      <w:pPr>
        <w:spacing w:after="0" w:line="151" w:lineRule="exact"/>
        <w:rPr>
          <w:sz w:val="20"/>
          <w:szCs w:val="20"/>
          <w:color w:val="auto"/>
        </w:rPr>
      </w:pPr>
    </w:p>
    <w:p>
      <w:pPr>
        <w:ind w:right="240" w:firstLine="413"/>
        <w:spacing w:after="0" w:line="271" w:lineRule="auto"/>
        <w:rPr>
          <w:sz w:val="20"/>
          <w:szCs w:val="20"/>
          <w:color w:val="auto"/>
        </w:rPr>
      </w:pPr>
      <w:r>
        <w:rPr>
          <w:rFonts w:ascii="Arial" w:cs="Arial" w:eastAsia="Arial" w:hAnsi="Arial"/>
          <w:sz w:val="17"/>
          <w:szCs w:val="17"/>
          <w:color w:val="auto"/>
        </w:rPr>
        <w:t>The following table summarizes the effect of derivatives designated as cash flow hedging instruments and their classification within comprehensive loss for the years ended December 31, 2017, 2016 and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20" w:type="dxa"/>
            <w:vAlign w:val="bottom"/>
            <w:vMerge w:val="restart"/>
          </w:tcPr>
          <w:p>
            <w:pPr>
              <w:spacing w:after="0"/>
              <w:rPr>
                <w:sz w:val="20"/>
                <w:szCs w:val="20"/>
                <w:color w:val="auto"/>
              </w:rPr>
            </w:pPr>
            <w:r>
              <w:rPr>
                <w:rFonts w:ascii="Arial" w:cs="Arial" w:eastAsia="Arial" w:hAnsi="Arial"/>
                <w:sz w:val="17"/>
                <w:szCs w:val="17"/>
                <w:b w:val="1"/>
                <w:bCs w:val="1"/>
                <w:color w:val="auto"/>
              </w:rPr>
              <w:t>Derivatives in Hedging Relationships</w:t>
            </w:r>
          </w:p>
        </w:tc>
        <w:tc>
          <w:tcPr>
            <w:tcW w:w="2300" w:type="dxa"/>
            <w:vAlign w:val="bottom"/>
          </w:tcPr>
          <w:p>
            <w:pPr>
              <w:spacing w:after="0"/>
              <w:rPr>
                <w:sz w:val="17"/>
                <w:szCs w:val="17"/>
                <w:color w:val="auto"/>
              </w:rPr>
            </w:pPr>
          </w:p>
        </w:tc>
        <w:tc>
          <w:tcPr>
            <w:tcW w:w="4040" w:type="dxa"/>
            <w:vAlign w:val="bottom"/>
            <w:gridSpan w:val="5"/>
          </w:tcPr>
          <w:p>
            <w:pPr>
              <w:jc w:val="center"/>
              <w:ind w:left="836"/>
              <w:spacing w:after="0"/>
              <w:rPr>
                <w:sz w:val="20"/>
                <w:szCs w:val="20"/>
                <w:color w:val="auto"/>
              </w:rPr>
            </w:pPr>
            <w:r>
              <w:rPr>
                <w:rFonts w:ascii="Arial" w:cs="Arial" w:eastAsia="Arial" w:hAnsi="Arial"/>
                <w:sz w:val="17"/>
                <w:szCs w:val="17"/>
                <w:b w:val="1"/>
                <w:bCs w:val="1"/>
                <w:color w:val="auto"/>
                <w:w w:val="90"/>
              </w:rPr>
              <w:t>Amount of gain or (loss) recognized in OCI</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20" w:type="dxa"/>
            <w:vAlign w:val="bottom"/>
            <w:vMerge w:val="continue"/>
          </w:tcPr>
          <w:p>
            <w:pPr>
              <w:spacing w:after="0"/>
              <w:rPr>
                <w:sz w:val="19"/>
                <w:szCs w:val="19"/>
                <w:color w:val="auto"/>
              </w:rPr>
            </w:pPr>
          </w:p>
        </w:tc>
        <w:tc>
          <w:tcPr>
            <w:tcW w:w="23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center"/>
              <w:ind w:right="56"/>
              <w:spacing w:after="0"/>
              <w:rPr>
                <w:sz w:val="20"/>
                <w:szCs w:val="20"/>
                <w:color w:val="auto"/>
              </w:rPr>
            </w:pPr>
            <w:r>
              <w:rPr>
                <w:rFonts w:ascii="Arial" w:cs="Arial" w:eastAsia="Arial" w:hAnsi="Arial"/>
                <w:sz w:val="17"/>
                <w:szCs w:val="17"/>
                <w:b w:val="1"/>
                <w:bCs w:val="1"/>
                <w:color w:val="auto"/>
                <w:w w:val="90"/>
              </w:rPr>
              <w:t>on derivative (effective portion)</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center"/>
              <w:ind w:right="496"/>
              <w:spacing w:after="0"/>
              <w:rPr>
                <w:sz w:val="20"/>
                <w:szCs w:val="20"/>
                <w:color w:val="auto"/>
              </w:rPr>
            </w:pPr>
            <w:r>
              <w:rPr>
                <w:rFonts w:ascii="Arial" w:cs="Arial" w:eastAsia="Arial" w:hAnsi="Arial"/>
                <w:sz w:val="17"/>
                <w:szCs w:val="17"/>
                <w:b w:val="1"/>
                <w:bCs w:val="1"/>
                <w:color w:val="auto"/>
                <w:w w:val="90"/>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2017</w:t>
            </w: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16"/>
              <w:spacing w:after="0"/>
              <w:rPr>
                <w:sz w:val="20"/>
                <w:szCs w:val="20"/>
                <w:color w:val="auto"/>
              </w:rPr>
            </w:pPr>
            <w:r>
              <w:rPr>
                <w:rFonts w:ascii="Arial" w:cs="Arial" w:eastAsia="Arial" w:hAnsi="Arial"/>
                <w:sz w:val="17"/>
                <w:szCs w:val="17"/>
                <w:b w:val="1"/>
                <w:bCs w:val="1"/>
                <w:color w:val="auto"/>
                <w:w w:val="89"/>
              </w:rPr>
              <w:t>2016</w:t>
            </w:r>
          </w:p>
        </w:tc>
        <w:tc>
          <w:tcPr>
            <w:tcW w:w="7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w w:val="84"/>
              </w:rPr>
              <w:t>2015</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center"/>
              <w:ind w:right="136"/>
              <w:spacing w:after="0"/>
              <w:rPr>
                <w:sz w:val="20"/>
                <w:szCs w:val="20"/>
                <w:color w:val="auto"/>
              </w:rPr>
            </w:pPr>
            <w:r>
              <w:rPr>
                <w:rFonts w:ascii="Arial" w:cs="Arial" w:eastAsia="Arial" w:hAnsi="Arial"/>
                <w:sz w:val="17"/>
                <w:szCs w:val="17"/>
                <w:color w:val="auto"/>
                <w:w w:val="89"/>
              </w:rPr>
              <w:t>(in thousands)</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swaps</w:t>
            </w:r>
          </w:p>
        </w:tc>
        <w:tc>
          <w:tcPr>
            <w:tcW w:w="3400" w:type="dxa"/>
            <w:vAlign w:val="bottom"/>
            <w:gridSpan w:val="2"/>
            <w:shd w:val="clear" w:color="auto" w:fill="CCEEFF"/>
          </w:tcPr>
          <w:p>
            <w:pPr>
              <w:jc w:val="right"/>
              <w:ind w:right="936"/>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3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72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607"/>
        </w:trPr>
        <w:tc>
          <w:tcPr>
            <w:tcW w:w="4120" w:type="dxa"/>
            <w:vAlign w:val="bottom"/>
          </w:tcPr>
          <w:p>
            <w:pPr>
              <w:spacing w:after="0"/>
              <w:rPr>
                <w:sz w:val="24"/>
                <w:szCs w:val="24"/>
                <w:color w:val="auto"/>
              </w:rPr>
            </w:pPr>
          </w:p>
        </w:tc>
        <w:tc>
          <w:tcPr>
            <w:tcW w:w="3400" w:type="dxa"/>
            <w:vAlign w:val="bottom"/>
            <w:gridSpan w:val="2"/>
          </w:tcPr>
          <w:p>
            <w:pPr>
              <w:jc w:val="right"/>
              <w:ind w:right="1556"/>
              <w:spacing w:after="0"/>
              <w:rPr>
                <w:sz w:val="20"/>
                <w:szCs w:val="20"/>
                <w:color w:val="auto"/>
              </w:rPr>
            </w:pPr>
            <w:r>
              <w:rPr>
                <w:rFonts w:ascii="Arial" w:cs="Arial" w:eastAsia="Arial" w:hAnsi="Arial"/>
                <w:sz w:val="17"/>
                <w:szCs w:val="17"/>
                <w:color w:val="auto"/>
              </w:rPr>
              <w:t>F-22</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4120" w:type="dxa"/>
            <w:vAlign w:val="bottom"/>
            <w:shd w:val="clear" w:color="auto" w:fill="000000"/>
          </w:tcPr>
          <w:p>
            <w:pPr>
              <w:spacing w:after="0"/>
              <w:rPr>
                <w:sz w:val="5"/>
                <w:szCs w:val="5"/>
                <w:color w:val="auto"/>
              </w:rPr>
            </w:pPr>
          </w:p>
        </w:tc>
        <w:tc>
          <w:tcPr>
            <w:tcW w:w="230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8"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following table summarizes the reclassifications out of accumulated other comprehensive loss for the years ended December 31, 2017, 2016 and 2015: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80" w:type="dxa"/>
            <w:vAlign w:val="bottom"/>
            <w:vMerge w:val="restart"/>
          </w:tcPr>
          <w:p>
            <w:pPr>
              <w:spacing w:after="0"/>
              <w:rPr>
                <w:sz w:val="20"/>
                <w:szCs w:val="20"/>
                <w:color w:val="auto"/>
              </w:rPr>
            </w:pPr>
            <w:r>
              <w:rPr>
                <w:rFonts w:ascii="Arial" w:cs="Arial" w:eastAsia="Arial" w:hAnsi="Arial"/>
                <w:sz w:val="17"/>
                <w:szCs w:val="17"/>
                <w:b w:val="1"/>
                <w:bCs w:val="1"/>
                <w:color w:val="auto"/>
              </w:rPr>
              <w:t>Details about AOCI Components</w:t>
            </w: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60" w:type="dxa"/>
            <w:vAlign w:val="bottom"/>
            <w:gridSpan w:val="4"/>
          </w:tcPr>
          <w:p>
            <w:pPr>
              <w:jc w:val="center"/>
              <w:spacing w:after="0"/>
              <w:rPr>
                <w:sz w:val="20"/>
                <w:szCs w:val="20"/>
                <w:color w:val="auto"/>
              </w:rPr>
            </w:pPr>
            <w:r>
              <w:rPr>
                <w:rFonts w:ascii="Arial" w:cs="Arial" w:eastAsia="Arial" w:hAnsi="Arial"/>
                <w:sz w:val="17"/>
                <w:szCs w:val="17"/>
                <w:b w:val="1"/>
                <w:bCs w:val="1"/>
                <w:color w:val="auto"/>
                <w:w w:val="90"/>
              </w:rPr>
              <w:t>Amount reclassified from AOCI into</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8"/>
              </w:rPr>
              <w:t>Location of amount</w:t>
            </w:r>
          </w:p>
        </w:tc>
        <w:tc>
          <w:tcPr>
            <w:tcW w:w="0" w:type="dxa"/>
            <w:vAlign w:val="bottom"/>
          </w:tcPr>
          <w:p>
            <w:pPr>
              <w:spacing w:after="0"/>
              <w:rPr>
                <w:sz w:val="1"/>
                <w:szCs w:val="1"/>
                <w:color w:val="auto"/>
              </w:rPr>
            </w:pPr>
          </w:p>
        </w:tc>
      </w:tr>
      <w:tr>
        <w:trPr>
          <w:trHeight w:val="218"/>
        </w:trPr>
        <w:tc>
          <w:tcPr>
            <w:tcW w:w="33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center"/>
              <w:ind w:right="316"/>
              <w:spacing w:after="0"/>
              <w:rPr>
                <w:sz w:val="20"/>
                <w:szCs w:val="20"/>
                <w:color w:val="auto"/>
              </w:rPr>
            </w:pPr>
            <w:r>
              <w:rPr>
                <w:rFonts w:ascii="Arial" w:cs="Arial" w:eastAsia="Arial" w:hAnsi="Arial"/>
                <w:sz w:val="17"/>
                <w:szCs w:val="17"/>
                <w:b w:val="1"/>
                <w:bCs w:val="1"/>
                <w:color w:val="auto"/>
                <w:w w:val="89"/>
              </w:rPr>
              <w:t>income (effective portion)</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40" w:type="dxa"/>
            <w:vAlign w:val="bottom"/>
            <w:gridSpan w:val="3"/>
          </w:tcPr>
          <w:p>
            <w:pPr>
              <w:jc w:val="center"/>
              <w:ind w:right="316"/>
              <w:spacing w:after="0" w:line="192" w:lineRule="exact"/>
              <w:rPr>
                <w:sz w:val="20"/>
                <w:szCs w:val="20"/>
                <w:color w:val="auto"/>
              </w:rPr>
            </w:pPr>
            <w:r>
              <w:rPr>
                <w:rFonts w:ascii="Arial" w:cs="Arial" w:eastAsia="Arial" w:hAnsi="Arial"/>
                <w:sz w:val="17"/>
                <w:szCs w:val="17"/>
                <w:b w:val="1"/>
                <w:bCs w:val="1"/>
                <w:color w:val="auto"/>
                <w:w w:val="89"/>
              </w:rPr>
              <w:t>Year Ended December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jc w:val="center"/>
              <w:spacing w:after="0" w:line="192" w:lineRule="exact"/>
              <w:rPr>
                <w:sz w:val="20"/>
                <w:szCs w:val="20"/>
                <w:color w:val="auto"/>
              </w:rPr>
            </w:pPr>
            <w:r>
              <w:rPr>
                <w:rFonts w:ascii="Arial" w:cs="Arial" w:eastAsia="Arial" w:hAnsi="Arial"/>
                <w:sz w:val="17"/>
                <w:szCs w:val="17"/>
                <w:b w:val="1"/>
                <w:bCs w:val="1"/>
                <w:color w:val="auto"/>
                <w:w w:val="91"/>
              </w:rPr>
              <w:t>reclassified from AOCI</w:t>
            </w:r>
          </w:p>
        </w:tc>
        <w:tc>
          <w:tcPr>
            <w:tcW w:w="0" w:type="dxa"/>
            <w:vAlign w:val="bottom"/>
          </w:tcPr>
          <w:p>
            <w:pPr>
              <w:spacing w:after="0"/>
              <w:rPr>
                <w:sz w:val="1"/>
                <w:szCs w:val="1"/>
                <w:color w:val="auto"/>
              </w:rPr>
            </w:pPr>
          </w:p>
        </w:tc>
      </w:tr>
      <w:tr>
        <w:trPr>
          <w:trHeight w:val="219"/>
        </w:trPr>
        <w:tc>
          <w:tcPr>
            <w:tcW w:w="3380" w:type="dxa"/>
            <w:vAlign w:val="bottom"/>
          </w:tcPr>
          <w:p>
            <w:pPr>
              <w:spacing w:after="0"/>
              <w:rPr>
                <w:sz w:val="19"/>
                <w:szCs w:val="19"/>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2017</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center"/>
              <w:ind w:right="96"/>
              <w:spacing w:after="0"/>
              <w:rPr>
                <w:sz w:val="20"/>
                <w:szCs w:val="20"/>
                <w:color w:val="auto"/>
              </w:rPr>
            </w:pPr>
            <w:r>
              <w:rPr>
                <w:rFonts w:ascii="Arial" w:cs="Arial" w:eastAsia="Arial" w:hAnsi="Arial"/>
                <w:sz w:val="17"/>
                <w:szCs w:val="17"/>
                <w:b w:val="1"/>
                <w:bCs w:val="1"/>
                <w:color w:val="auto"/>
                <w:w w:val="89"/>
              </w:rPr>
              <w:t>2016</w:t>
            </w:r>
          </w:p>
        </w:tc>
        <w:tc>
          <w:tcPr>
            <w:tcW w:w="620" w:type="dxa"/>
            <w:vAlign w:val="bottom"/>
          </w:tcPr>
          <w:p>
            <w:pPr>
              <w:spacing w:after="0"/>
              <w:rPr>
                <w:sz w:val="19"/>
                <w:szCs w:val="19"/>
                <w:color w:val="auto"/>
              </w:rPr>
            </w:pPr>
          </w:p>
        </w:tc>
        <w:tc>
          <w:tcPr>
            <w:tcW w:w="1020" w:type="dxa"/>
            <w:vAlign w:val="bottom"/>
          </w:tcPr>
          <w:p>
            <w:pPr>
              <w:jc w:val="right"/>
              <w:ind w:right="516"/>
              <w:spacing w:after="0"/>
              <w:rPr>
                <w:sz w:val="20"/>
                <w:szCs w:val="20"/>
                <w:color w:val="auto"/>
              </w:rPr>
            </w:pPr>
            <w:r>
              <w:rPr>
                <w:rFonts w:ascii="Arial" w:cs="Arial" w:eastAsia="Arial" w:hAnsi="Arial"/>
                <w:sz w:val="17"/>
                <w:szCs w:val="17"/>
                <w:b w:val="1"/>
                <w:bCs w:val="1"/>
                <w:color w:val="auto"/>
              </w:rPr>
              <w:t>2015</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88"/>
              </w:rPr>
              <w:t>into income (effective portion)</w:t>
            </w:r>
          </w:p>
        </w:tc>
        <w:tc>
          <w:tcPr>
            <w:tcW w:w="0" w:type="dxa"/>
            <w:vAlign w:val="bottom"/>
          </w:tcPr>
          <w:p>
            <w:pPr>
              <w:spacing w:after="0"/>
              <w:rPr>
                <w:sz w:val="1"/>
                <w:szCs w:val="1"/>
                <w:color w:val="auto"/>
              </w:rPr>
            </w:pPr>
          </w:p>
        </w:tc>
      </w:tr>
      <w:tr>
        <w:trPr>
          <w:trHeight w:val="195"/>
        </w:trPr>
        <w:tc>
          <w:tcPr>
            <w:tcW w:w="3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76"/>
              <w:spacing w:after="0"/>
              <w:rPr>
                <w:sz w:val="20"/>
                <w:szCs w:val="20"/>
                <w:color w:val="auto"/>
              </w:rPr>
            </w:pPr>
            <w:r>
              <w:rPr>
                <w:rFonts w:ascii="Arial" w:cs="Arial" w:eastAsia="Arial" w:hAnsi="Arial"/>
                <w:sz w:val="17"/>
                <w:szCs w:val="17"/>
                <w:color w:val="auto"/>
                <w:w w:val="89"/>
              </w:rPr>
              <w:t>(in thousands)</w:t>
            </w:r>
          </w:p>
        </w:tc>
        <w:tc>
          <w:tcPr>
            <w:tcW w:w="6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swaps</w:t>
            </w:r>
          </w:p>
        </w:tc>
        <w:tc>
          <w:tcPr>
            <w:tcW w:w="198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39</w:t>
            </w:r>
          </w:p>
        </w:tc>
        <w:tc>
          <w:tcPr>
            <w:tcW w:w="62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93</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Interest expense</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400" w:firstLine="413"/>
        <w:spacing w:after="0" w:line="271" w:lineRule="auto"/>
        <w:rPr>
          <w:sz w:val="20"/>
          <w:szCs w:val="20"/>
          <w:color w:val="auto"/>
        </w:rPr>
      </w:pPr>
      <w:r>
        <w:rPr>
          <w:rFonts w:ascii="Arial" w:cs="Arial" w:eastAsia="Arial" w:hAnsi="Arial"/>
          <w:sz w:val="17"/>
          <w:szCs w:val="17"/>
          <w:color w:val="auto"/>
        </w:rPr>
        <w:t>As of December 31, 2017, the deferred gains or losses on derivative instruments accumulated in AOCI expected to be reclassified to earnings during the next twelve months were immaterial.</w:t>
      </w:r>
    </w:p>
    <w:p>
      <w:pPr>
        <w:spacing w:after="0" w:line="166" w:lineRule="exact"/>
        <w:rPr>
          <w:sz w:val="20"/>
          <w:szCs w:val="20"/>
          <w:color w:val="auto"/>
        </w:rPr>
      </w:pPr>
    </w:p>
    <w:p>
      <w:pPr>
        <w:ind w:right="40" w:firstLine="413"/>
        <w:spacing w:after="0" w:line="277" w:lineRule="auto"/>
        <w:rPr>
          <w:sz w:val="20"/>
          <w:szCs w:val="20"/>
          <w:color w:val="auto"/>
        </w:rPr>
      </w:pPr>
      <w:r>
        <w:rPr>
          <w:rFonts w:ascii="Arial" w:cs="Arial" w:eastAsia="Arial" w:hAnsi="Arial"/>
          <w:sz w:val="16"/>
          <w:szCs w:val="16"/>
          <w:color w:val="auto"/>
        </w:rPr>
        <w:t>As disclosed in Note 25, on January 22, 2018, the Company terminated its Credit Agreement with Bank of America, as agent, and Bank of America and Brown Brothers Harriman &amp; Co. as lenders. As a result of terminating this Credit Agreement, the Company unwound the interest rate swap contract and received an immaterial amount in proceeds. In addition, as further described in Note 25, in February 2018, the Company entered into a new interest rate swap agreement with PNC bank as a result of entering into the previously described financing agreement with Cerberus Financing LLC. ..</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Fair Value Measurements</w:t>
      </w:r>
    </w:p>
    <w:p>
      <w:pPr>
        <w:spacing w:after="0" w:line="315" w:lineRule="exact"/>
        <w:rPr>
          <w:sz w:val="20"/>
          <w:szCs w:val="20"/>
          <w:color w:val="auto"/>
        </w:rPr>
      </w:pPr>
    </w:p>
    <w:p>
      <w:pPr>
        <w:jc w:val="both"/>
        <w:ind w:firstLine="413"/>
        <w:spacing w:after="0" w:line="260" w:lineRule="auto"/>
        <w:rPr>
          <w:sz w:val="20"/>
          <w:szCs w:val="20"/>
          <w:color w:val="auto"/>
        </w:rPr>
      </w:pPr>
      <w:r>
        <w:rPr>
          <w:rFonts w:ascii="Arial" w:cs="Arial" w:eastAsia="Arial" w:hAnsi="Arial"/>
          <w:sz w:val="17"/>
          <w:szCs w:val="17"/>
          <w:color w:val="auto"/>
        </w:rPr>
        <w:t>Fair value measurement is defined as the price that would be received to sell an asset or paid to transfer a liability in the principal or most advantageous market for the asset or liability in an orderly transaction between market participants at the measurement date. A fair value hierarchy is established, which prioritizes the inputs used in measuring fair value into three broad levels as follows: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Level 1—Quoted prices in active markets for identical assets or liabilities.</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Level 2—Inputs, other than the quoted prices in active markets, that are observable either directly or indirectly.</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Level 3—Unobservable inputs based on the Company’s own assumptions.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present the fair value hierarchy for those liabilities measured at fair value on a recurring basis: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7"/>
                <w:szCs w:val="17"/>
                <w:color w:val="auto"/>
                <w:w w:val="94"/>
              </w:rPr>
              <w:t>Fair Value as of December 31, 2017</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8"/>
        </w:trPr>
        <w:tc>
          <w:tcPr>
            <w:tcW w:w="3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 thousands)</w:t>
            </w: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color w:val="auto"/>
              </w:rPr>
              <w:t>Level 1</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color w:val="auto"/>
              </w:rPr>
              <w:t>Level 2</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color w:val="auto"/>
              </w:rPr>
              <w:t>Level 3</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color w:val="auto"/>
              </w:rPr>
              <w:t>Total</w:t>
            </w:r>
          </w:p>
        </w:tc>
      </w:tr>
      <w:tr>
        <w:trPr>
          <w:trHeight w:val="195"/>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Assets (Liabilities):</w:t>
            </w: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4"/>
        </w:trPr>
        <w:tc>
          <w:tcPr>
            <w:tcW w:w="3440" w:type="dxa"/>
            <w:vAlign w:val="bottom"/>
          </w:tcPr>
          <w:p>
            <w:pPr>
              <w:ind w:left="160"/>
              <w:spacing w:after="0"/>
              <w:rPr>
                <w:sz w:val="20"/>
                <w:szCs w:val="20"/>
                <w:color w:val="auto"/>
              </w:rPr>
            </w:pPr>
            <w:r>
              <w:rPr>
                <w:rFonts w:ascii="Arial" w:cs="Arial" w:eastAsia="Arial" w:hAnsi="Arial"/>
                <w:sz w:val="17"/>
                <w:szCs w:val="17"/>
                <w:color w:val="auto"/>
              </w:rPr>
              <w:t>Interest rate swap agreements</w:t>
            </w: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6"/>
              <w:spacing w:after="0"/>
              <w:rPr>
                <w:sz w:val="20"/>
                <w:szCs w:val="20"/>
                <w:color w:val="auto"/>
              </w:rPr>
            </w:pPr>
            <w:r>
              <w:rPr>
                <w:rFonts w:ascii="Arial" w:cs="Arial" w:eastAsia="Arial" w:hAnsi="Arial"/>
                <w:sz w:val="17"/>
                <w:szCs w:val="17"/>
                <w:color w:val="auto"/>
              </w:rPr>
              <w:t>37</w:t>
            </w:r>
          </w:p>
        </w:tc>
        <w:tc>
          <w:tcPr>
            <w:tcW w:w="42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37</w:t>
            </w:r>
          </w:p>
        </w:tc>
      </w:tr>
      <w:tr>
        <w:trPr>
          <w:trHeight w:val="430"/>
        </w:trPr>
        <w:tc>
          <w:tcPr>
            <w:tcW w:w="3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7"/>
                <w:szCs w:val="17"/>
                <w:color w:val="auto"/>
                <w:w w:val="96"/>
              </w:rPr>
              <w:t>Fair Value as of December 31, 2016</w:t>
            </w: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08"/>
        </w:trPr>
        <w:tc>
          <w:tcPr>
            <w:tcW w:w="3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 thousands)</w:t>
            </w: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color w:val="auto"/>
              </w:rPr>
              <w:t>Level 1</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color w:val="auto"/>
              </w:rPr>
              <w:t>Level 2</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color w:val="auto"/>
              </w:rPr>
              <w:t>Level 3</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color w:val="auto"/>
              </w:rPr>
              <w:t>Total</w:t>
            </w:r>
          </w:p>
        </w:tc>
      </w:tr>
      <w:tr>
        <w:trPr>
          <w:trHeight w:val="195"/>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Assets (Liabilities):</w:t>
            </w: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4"/>
        </w:trPr>
        <w:tc>
          <w:tcPr>
            <w:tcW w:w="3440" w:type="dxa"/>
            <w:vAlign w:val="bottom"/>
          </w:tcPr>
          <w:p>
            <w:pPr>
              <w:ind w:left="160"/>
              <w:spacing w:after="0"/>
              <w:rPr>
                <w:sz w:val="20"/>
                <w:szCs w:val="20"/>
                <w:color w:val="auto"/>
              </w:rPr>
            </w:pPr>
            <w:r>
              <w:rPr>
                <w:rFonts w:ascii="Arial" w:cs="Arial" w:eastAsia="Arial" w:hAnsi="Arial"/>
                <w:sz w:val="17"/>
                <w:szCs w:val="17"/>
                <w:color w:val="auto"/>
              </w:rPr>
              <w:t>Interest rate swap agreements</w:t>
            </w: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w:t>
            </w:r>
          </w:p>
        </w:tc>
      </w:tr>
    </w:tbl>
    <w:p>
      <w:pPr>
        <w:spacing w:after="0" w:line="178" w:lineRule="exact"/>
        <w:rPr>
          <w:sz w:val="20"/>
          <w:szCs w:val="20"/>
          <w:color w:val="auto"/>
        </w:rPr>
      </w:pPr>
    </w:p>
    <w:p>
      <w:pPr>
        <w:ind w:right="340" w:firstLine="413"/>
        <w:spacing w:after="0" w:line="260" w:lineRule="auto"/>
        <w:rPr>
          <w:sz w:val="20"/>
          <w:szCs w:val="20"/>
          <w:color w:val="auto"/>
        </w:rPr>
      </w:pPr>
      <w:r>
        <w:rPr>
          <w:rFonts w:ascii="Arial" w:cs="Arial" w:eastAsia="Arial" w:hAnsi="Arial"/>
          <w:sz w:val="17"/>
          <w:szCs w:val="17"/>
          <w:color w:val="auto"/>
        </w:rPr>
        <w:t>The Company uses the market approach technique to value its financial liabilities. The Company’s financial liabilities carried at fair value include derivative instruments used to hedge the Company’s interest rate risks. The fair value of the Company’s interest rate swap agreements was based on LIBOR yield curves at the reporting date.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Leases</w:t>
      </w:r>
    </w:p>
    <w:p>
      <w:pPr>
        <w:spacing w:after="0" w:line="315" w:lineRule="exact"/>
        <w:rPr>
          <w:sz w:val="20"/>
          <w:szCs w:val="20"/>
          <w:color w:val="auto"/>
        </w:rPr>
      </w:pPr>
    </w:p>
    <w:p>
      <w:pPr>
        <w:ind w:right="260" w:firstLine="413"/>
        <w:spacing w:after="0" w:line="339" w:lineRule="auto"/>
        <w:rPr>
          <w:sz w:val="20"/>
          <w:szCs w:val="20"/>
          <w:color w:val="auto"/>
        </w:rPr>
      </w:pPr>
      <w:r>
        <w:rPr>
          <w:rFonts w:ascii="Arial" w:cs="Arial" w:eastAsia="Arial" w:hAnsi="Arial"/>
          <w:sz w:val="15"/>
          <w:szCs w:val="15"/>
          <w:color w:val="auto"/>
        </w:rPr>
        <w:t>The Company has noncancelable operating leases for office and warehouse space expiring at various dates through 2022 and thereafter. Rent expense, which is recorded on a straight-line basis, was $1.9 million, $1.8 million and $2.1 million for the years ended December 31, 2017, 2016 and 2015, respectively.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Future minimum lease payments for operating leases, with initial or remaining terms in excess of one year at December 31, 2017,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116"/>
              <w:spacing w:after="0"/>
              <w:rPr>
                <w:sz w:val="20"/>
                <w:szCs w:val="20"/>
                <w:color w:val="auto"/>
              </w:rPr>
            </w:pPr>
            <w:r>
              <w:rPr>
                <w:rFonts w:ascii="Arial" w:cs="Arial" w:eastAsia="Arial" w:hAnsi="Arial"/>
                <w:sz w:val="17"/>
                <w:szCs w:val="17"/>
                <w:b w:val="1"/>
                <w:bCs w:val="1"/>
                <w:color w:val="auto"/>
                <w:w w:val="92"/>
              </w:rPr>
              <w:t>Operating</w:t>
            </w:r>
          </w:p>
        </w:tc>
      </w:tr>
      <w:tr>
        <w:trPr>
          <w:trHeight w:val="219"/>
        </w:trPr>
        <w:tc>
          <w:tcPr>
            <w:tcW w:w="9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16"/>
              <w:spacing w:after="0"/>
              <w:rPr>
                <w:sz w:val="20"/>
                <w:szCs w:val="20"/>
                <w:color w:val="auto"/>
              </w:rPr>
            </w:pPr>
            <w:r>
              <w:rPr>
                <w:rFonts w:ascii="Arial" w:cs="Arial" w:eastAsia="Arial" w:hAnsi="Arial"/>
                <w:sz w:val="17"/>
                <w:szCs w:val="17"/>
                <w:b w:val="1"/>
                <w:bCs w:val="1"/>
                <w:color w:val="auto"/>
                <w:w w:val="79"/>
              </w:rPr>
              <w:t>Leases</w:t>
            </w:r>
          </w:p>
        </w:tc>
      </w:tr>
      <w:tr>
        <w:trPr>
          <w:trHeight w:val="195"/>
        </w:trPr>
        <w:tc>
          <w:tcPr>
            <w:tcW w:w="9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center"/>
              <w:ind w:right="136"/>
              <w:spacing w:after="0"/>
              <w:rPr>
                <w:sz w:val="20"/>
                <w:szCs w:val="20"/>
                <w:color w:val="auto"/>
              </w:rPr>
            </w:pPr>
            <w:r>
              <w:rPr>
                <w:rFonts w:ascii="Arial" w:cs="Arial" w:eastAsia="Arial" w:hAnsi="Arial"/>
                <w:sz w:val="17"/>
                <w:szCs w:val="17"/>
                <w:color w:val="auto"/>
                <w:w w:val="89"/>
              </w:rPr>
              <w:t>(in thousands)</w:t>
            </w:r>
          </w:p>
        </w:tc>
      </w:tr>
      <w:tr>
        <w:trPr>
          <w:trHeight w:val="202"/>
        </w:trPr>
        <w:tc>
          <w:tcPr>
            <w:tcW w:w="984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1,744</w:t>
            </w:r>
          </w:p>
        </w:tc>
      </w:tr>
      <w:tr>
        <w:trPr>
          <w:trHeight w:val="202"/>
        </w:trPr>
        <w:tc>
          <w:tcPr>
            <w:tcW w:w="9840" w:type="dxa"/>
            <w:vAlign w:val="bottom"/>
          </w:tcPr>
          <w:p>
            <w:pPr>
              <w:spacing w:after="0"/>
              <w:rPr>
                <w:sz w:val="20"/>
                <w:szCs w:val="20"/>
                <w:color w:val="auto"/>
              </w:rPr>
            </w:pPr>
            <w:r>
              <w:rPr>
                <w:rFonts w:ascii="Arial" w:cs="Arial" w:eastAsia="Arial" w:hAnsi="Arial"/>
                <w:sz w:val="17"/>
                <w:szCs w:val="17"/>
                <w:color w:val="auto"/>
              </w:rPr>
              <w:t>2019</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1,657</w:t>
            </w:r>
          </w:p>
        </w:tc>
      </w:tr>
      <w:tr>
        <w:trPr>
          <w:trHeight w:val="202"/>
        </w:trPr>
        <w:tc>
          <w:tcPr>
            <w:tcW w:w="984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1,501</w:t>
            </w:r>
          </w:p>
        </w:tc>
      </w:tr>
      <w:tr>
        <w:trPr>
          <w:trHeight w:val="202"/>
        </w:trPr>
        <w:tc>
          <w:tcPr>
            <w:tcW w:w="9840" w:type="dxa"/>
            <w:vAlign w:val="bottom"/>
          </w:tcPr>
          <w:p>
            <w:pPr>
              <w:spacing w:after="0"/>
              <w:rPr>
                <w:sz w:val="20"/>
                <w:szCs w:val="20"/>
                <w:color w:val="auto"/>
              </w:rPr>
            </w:pPr>
            <w:r>
              <w:rPr>
                <w:rFonts w:ascii="Arial" w:cs="Arial" w:eastAsia="Arial" w:hAnsi="Arial"/>
                <w:sz w:val="17"/>
                <w:szCs w:val="17"/>
                <w:color w:val="auto"/>
              </w:rPr>
              <w:t>2021</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1,110</w:t>
            </w:r>
          </w:p>
        </w:tc>
      </w:tr>
      <w:tr>
        <w:trPr>
          <w:trHeight w:val="202"/>
        </w:trPr>
        <w:tc>
          <w:tcPr>
            <w:tcW w:w="984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1,089</w:t>
            </w:r>
          </w:p>
        </w:tc>
      </w:tr>
      <w:tr>
        <w:trPr>
          <w:trHeight w:val="214"/>
        </w:trPr>
        <w:tc>
          <w:tcPr>
            <w:tcW w:w="98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Thereafter</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1,873</w:t>
            </w:r>
          </w:p>
        </w:tc>
      </w:tr>
      <w:tr>
        <w:trPr>
          <w:trHeight w:val="208"/>
        </w:trPr>
        <w:tc>
          <w:tcPr>
            <w:tcW w:w="9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minimum lease payments</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8,974</w:t>
            </w:r>
          </w:p>
        </w:tc>
      </w:tr>
      <w:tr>
        <w:trPr>
          <w:trHeight w:val="20"/>
        </w:trPr>
        <w:tc>
          <w:tcPr>
            <w:tcW w:w="9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right="180" w:firstLine="456"/>
        <w:spacing w:after="0" w:line="260" w:lineRule="auto"/>
        <w:rPr>
          <w:sz w:val="20"/>
          <w:szCs w:val="20"/>
          <w:color w:val="auto"/>
        </w:rPr>
      </w:pPr>
      <w:r>
        <w:rPr>
          <w:rFonts w:ascii="Arial" w:cs="Arial" w:eastAsia="Arial" w:hAnsi="Arial"/>
          <w:sz w:val="17"/>
          <w:szCs w:val="17"/>
          <w:color w:val="auto"/>
        </w:rPr>
        <w:t>As further discussed in Note 25, on January 22, 2018, the Company sold substantially all the assets of Denville Scientific, an operating subsidiary. Additionally, as discussed in Note 25, the Company acquired DSI in January 2018, and as such the table above, which is as of December 31, 2017 excludes both DSI and Denville’s future payments under operating leases.</w:t>
      </w:r>
    </w:p>
    <w:p>
      <w:pPr>
        <w:sectPr>
          <w:pgSz w:w="11900" w:h="16838" w:orient="portrait"/>
          <w:cols w:equalWidth="0" w:num="1">
            <w:col w:w="11420"/>
          </w:cols>
          <w:pgMar w:left="240" w:top="228"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Accrued Expenses</w:t>
      </w:r>
    </w:p>
    <w:p>
      <w:pPr>
        <w:spacing w:after="0" w:line="315" w:lineRule="exact"/>
        <w:rPr>
          <w:sz w:val="20"/>
          <w:szCs w:val="20"/>
          <w:color w:val="auto"/>
        </w:rPr>
      </w:pPr>
    </w:p>
    <w:p>
      <w:pPr>
        <w:jc w:val="right"/>
        <w:ind w:right="5020"/>
        <w:spacing w:after="0"/>
        <w:rPr>
          <w:sz w:val="20"/>
          <w:szCs w:val="20"/>
          <w:color w:val="auto"/>
        </w:rPr>
      </w:pPr>
      <w:r>
        <w:rPr>
          <w:rFonts w:ascii="Arial" w:cs="Arial" w:eastAsia="Arial" w:hAnsi="Arial"/>
          <w:sz w:val="17"/>
          <w:szCs w:val="17"/>
          <w:color w:val="auto"/>
        </w:rPr>
        <w:t>Accrued expenses consist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Accrued compensation and payroll</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Accrued professional fees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Warranty costs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Total</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Income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2016</w:t>
            </w:r>
          </w:p>
        </w:tc>
      </w:tr>
      <w:tr>
        <w:trPr>
          <w:trHeight w:val="183"/>
        </w:trPr>
        <w:tc>
          <w:tcPr>
            <w:tcW w:w="360" w:type="dxa"/>
            <w:vAlign w:val="bottom"/>
          </w:tcPr>
          <w:p>
            <w:pPr>
              <w:spacing w:after="0"/>
              <w:rPr>
                <w:sz w:val="15"/>
                <w:szCs w:val="15"/>
                <w:color w:val="auto"/>
              </w:rPr>
            </w:pPr>
          </w:p>
        </w:tc>
        <w:tc>
          <w:tcPr>
            <w:tcW w:w="1880" w:type="dxa"/>
            <w:vAlign w:val="bottom"/>
            <w:gridSpan w:val="3"/>
          </w:tcPr>
          <w:p>
            <w:pPr>
              <w:jc w:val="right"/>
              <w:ind w:right="26"/>
              <w:spacing w:after="0" w:line="183" w:lineRule="exact"/>
              <w:rPr>
                <w:sz w:val="20"/>
                <w:szCs w:val="20"/>
                <w:color w:val="auto"/>
              </w:rPr>
            </w:pPr>
            <w:r>
              <w:rPr>
                <w:rFonts w:ascii="Arial" w:cs="Arial" w:eastAsia="Arial" w:hAnsi="Arial"/>
                <w:sz w:val="17"/>
                <w:szCs w:val="17"/>
                <w:color w:val="auto"/>
              </w:rPr>
              <w:t>(in thousands)</w:t>
            </w:r>
          </w:p>
        </w:tc>
        <w:tc>
          <w:tcPr>
            <w:tcW w:w="1060" w:type="dxa"/>
            <w:vAlign w:val="bottom"/>
          </w:tcPr>
          <w:p>
            <w:pPr>
              <w:spacing w:after="0"/>
              <w:rPr>
                <w:sz w:val="15"/>
                <w:szCs w:val="15"/>
                <w:color w:val="auto"/>
              </w:rPr>
            </w:pPr>
          </w:p>
        </w:tc>
      </w:tr>
      <w:tr>
        <w:trPr>
          <w:trHeight w:val="202"/>
        </w:trPr>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1,772</w:t>
            </w:r>
          </w:p>
        </w:tc>
        <w:tc>
          <w:tcPr>
            <w:tcW w:w="120" w:type="dxa"/>
            <w:vAlign w:val="bottom"/>
          </w:tcPr>
          <w:p>
            <w:pPr>
              <w:spacing w:after="0"/>
              <w:rPr>
                <w:sz w:val="17"/>
                <w:szCs w:val="17"/>
                <w:color w:val="auto"/>
              </w:rPr>
            </w:pP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1,468</w:t>
            </w:r>
          </w:p>
        </w:tc>
      </w:tr>
      <w:tr>
        <w:trPr>
          <w:trHeight w:val="202"/>
        </w:trPr>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580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1,105</w:t>
            </w:r>
          </w:p>
        </w:tc>
      </w:tr>
      <w:tr>
        <w:trPr>
          <w:trHeight w:val="214"/>
        </w:trPr>
        <w:tc>
          <w:tcPr>
            <w:tcW w:w="360" w:type="dxa"/>
            <w:vAlign w:val="bottom"/>
          </w:tcPr>
          <w:p>
            <w:pPr>
              <w:spacing w:after="0"/>
              <w:rPr>
                <w:sz w:val="18"/>
                <w:szCs w:val="18"/>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246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193</w:t>
            </w:r>
          </w:p>
        </w:tc>
      </w:tr>
      <w:tr>
        <w:trPr>
          <w:trHeight w:val="215"/>
        </w:trPr>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1,953</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1,784</w:t>
            </w:r>
          </w:p>
        </w:tc>
      </w:tr>
      <w:tr>
        <w:trPr>
          <w:trHeight w:val="208"/>
        </w:trPr>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4,551</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4,550</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-690245</wp:posOffset>
            </wp:positionV>
            <wp:extent cx="7255510" cy="1282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5510" cy="12827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-433070</wp:posOffset>
            </wp:positionV>
            <wp:extent cx="7255510" cy="1282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5510" cy="12827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-168275</wp:posOffset>
            </wp:positionV>
            <wp:extent cx="7255510" cy="152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5510" cy="152400"/>
                    </a:xfrm>
                    <a:prstGeom prst="rect">
                      <a:avLst/>
                    </a:prstGeom>
                    <a:noFill/>
                  </pic:spPr>
                </pic:pic>
              </a:graphicData>
            </a:graphic>
          </wp:anchor>
        </w:drawing>
      </w:r>
    </w:p>
    <w:p>
      <w:pPr>
        <w:spacing w:after="0" w:line="581" w:lineRule="exact"/>
        <w:rPr>
          <w:sz w:val="20"/>
          <w:szCs w:val="20"/>
          <w:color w:val="auto"/>
        </w:rPr>
      </w:pPr>
    </w:p>
    <w:p>
      <w:pPr>
        <w:sectPr>
          <w:pgSz w:w="11900" w:h="16838" w:orient="portrait"/>
          <w:cols w:equalWidth="0" w:num="2">
            <w:col w:w="7400" w:space="720"/>
            <w:col w:w="3300"/>
          </w:cols>
          <w:pgMar w:left="240" w:top="228" w:right="2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attributable to income from operations for the years ended December 31, 2017, 2016 and 2015 consisted of:</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center"/>
              <w:ind w:right="226"/>
              <w:spacing w:after="0"/>
              <w:rPr>
                <w:sz w:val="20"/>
                <w:szCs w:val="20"/>
                <w:color w:val="auto"/>
              </w:rPr>
            </w:pPr>
            <w:r>
              <w:rPr>
                <w:rFonts w:ascii="Arial" w:cs="Arial" w:eastAsia="Arial" w:hAnsi="Arial"/>
                <w:sz w:val="17"/>
                <w:szCs w:val="17"/>
                <w:b w:val="1"/>
                <w:bCs w:val="1"/>
                <w:color w:val="auto"/>
                <w:w w:val="90"/>
              </w:rPr>
              <w:t>Year Ended December 31,</w:t>
            </w:r>
          </w:p>
        </w:tc>
        <w:tc>
          <w:tcPr>
            <w:tcW w:w="1240" w:type="dxa"/>
            <w:vAlign w:val="bottom"/>
            <w:tcBorders>
              <w:bottom w:val="single" w:sz="8" w:color="auto"/>
            </w:tcBorders>
          </w:tcPr>
          <w:p>
            <w:pPr>
              <w:spacing w:after="0"/>
              <w:rPr>
                <w:sz w:val="19"/>
                <w:szCs w:val="19"/>
                <w:color w:val="auto"/>
              </w:rPr>
            </w:pPr>
          </w:p>
        </w:tc>
      </w:tr>
      <w:tr>
        <w:trPr>
          <w:trHeight w:val="208"/>
        </w:trPr>
        <w:tc>
          <w:tcPr>
            <w:tcW w:w="4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2017</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b w:val="1"/>
                <w:bCs w:val="1"/>
                <w:color w:val="auto"/>
                <w:w w:val="89"/>
              </w:rPr>
              <w:t>2016</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2015</w:t>
            </w:r>
          </w:p>
        </w:tc>
      </w:tr>
      <w:tr>
        <w:trPr>
          <w:trHeight w:val="195"/>
        </w:trPr>
        <w:tc>
          <w:tcPr>
            <w:tcW w:w="41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(in thousands)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2"/>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Current income tax expense:</w:t>
            </w:r>
          </w:p>
        </w:tc>
        <w:tc>
          <w:tcPr>
            <w:tcW w:w="2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2"/>
        </w:trPr>
        <w:tc>
          <w:tcPr>
            <w:tcW w:w="4100" w:type="dxa"/>
            <w:vAlign w:val="bottom"/>
          </w:tcPr>
          <w:p>
            <w:pPr>
              <w:ind w:left="160"/>
              <w:spacing w:after="0"/>
              <w:rPr>
                <w:sz w:val="20"/>
                <w:szCs w:val="20"/>
                <w:color w:val="auto"/>
              </w:rPr>
            </w:pPr>
            <w:r>
              <w:rPr>
                <w:rFonts w:ascii="Arial" w:cs="Arial" w:eastAsia="Arial" w:hAnsi="Arial"/>
                <w:sz w:val="17"/>
                <w:szCs w:val="17"/>
                <w:color w:val="auto"/>
              </w:rPr>
              <w:t>Federal and state</w:t>
            </w:r>
          </w:p>
        </w:tc>
        <w:tc>
          <w:tcPr>
            <w:tcW w:w="26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262</w:t>
            </w:r>
          </w:p>
        </w:tc>
        <w:tc>
          <w:tcPr>
            <w:tcW w:w="3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170</w:t>
            </w:r>
          </w:p>
        </w:tc>
        <w:tc>
          <w:tcPr>
            <w:tcW w:w="120" w:type="dxa"/>
            <w:vAlign w:val="bottom"/>
          </w:tcPr>
          <w:p>
            <w:pPr>
              <w:spacing w:after="0"/>
              <w:rPr>
                <w:sz w:val="17"/>
                <w:szCs w:val="17"/>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5"/>
        </w:trPr>
        <w:tc>
          <w:tcPr>
            <w:tcW w:w="41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Foreign</w:t>
            </w:r>
          </w:p>
        </w:tc>
        <w:tc>
          <w:tcPr>
            <w:tcW w:w="2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790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677</w:t>
            </w:r>
          </w:p>
        </w:tc>
      </w:tr>
      <w:tr>
        <w:trPr>
          <w:trHeight w:val="195"/>
        </w:trPr>
        <w:tc>
          <w:tcPr>
            <w:tcW w:w="410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960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673</w:t>
            </w:r>
          </w:p>
        </w:tc>
      </w:tr>
      <w:tr>
        <w:trPr>
          <w:trHeight w:val="195"/>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(benefit) expense:</w:t>
            </w:r>
          </w:p>
        </w:tc>
        <w:tc>
          <w:tcPr>
            <w:tcW w:w="2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2"/>
        </w:trPr>
        <w:tc>
          <w:tcPr>
            <w:tcW w:w="4100" w:type="dxa"/>
            <w:vAlign w:val="bottom"/>
          </w:tcPr>
          <w:p>
            <w:pPr>
              <w:ind w:left="160"/>
              <w:spacing w:after="0"/>
              <w:rPr>
                <w:sz w:val="20"/>
                <w:szCs w:val="20"/>
                <w:color w:val="auto"/>
              </w:rPr>
            </w:pPr>
            <w:r>
              <w:rPr>
                <w:rFonts w:ascii="Arial" w:cs="Arial" w:eastAsia="Arial" w:hAnsi="Arial"/>
                <w:sz w:val="17"/>
                <w:szCs w:val="17"/>
                <w:color w:val="auto"/>
              </w:rPr>
              <w:t>Federal and state</w:t>
            </w:r>
          </w:p>
        </w:tc>
        <w:tc>
          <w:tcPr>
            <w:tcW w:w="2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(2,357)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166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15,598</w:t>
            </w:r>
          </w:p>
        </w:tc>
      </w:tr>
      <w:tr>
        <w:trPr>
          <w:trHeight w:val="215"/>
        </w:trPr>
        <w:tc>
          <w:tcPr>
            <w:tcW w:w="41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Foreign</w:t>
            </w:r>
          </w:p>
        </w:tc>
        <w:tc>
          <w:tcPr>
            <w:tcW w:w="2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103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(840)</w:t>
            </w:r>
          </w:p>
        </w:tc>
      </w:tr>
      <w:tr>
        <w:trPr>
          <w:trHeight w:val="195"/>
        </w:trPr>
        <w:tc>
          <w:tcPr>
            <w:tcW w:w="410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269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14,758</w:t>
            </w:r>
          </w:p>
        </w:tc>
      </w:tr>
      <w:tr>
        <w:trPr>
          <w:trHeight w:val="207"/>
        </w:trPr>
        <w:tc>
          <w:tcPr>
            <w:tcW w:w="4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income tax (benefit) expense</w:t>
            </w:r>
          </w:p>
        </w:tc>
        <w:tc>
          <w:tcPr>
            <w:tcW w:w="26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1,229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15,431</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788"/>
        </w:trPr>
        <w:tc>
          <w:tcPr>
            <w:tcW w:w="4100" w:type="dxa"/>
            <w:vAlign w:val="bottom"/>
          </w:tcPr>
          <w:p>
            <w:pPr>
              <w:spacing w:after="0"/>
              <w:rPr>
                <w:sz w:val="24"/>
                <w:szCs w:val="24"/>
                <w:color w:val="auto"/>
              </w:rPr>
            </w:pPr>
          </w:p>
        </w:tc>
        <w:tc>
          <w:tcPr>
            <w:tcW w:w="2680" w:type="dxa"/>
            <w:vAlign w:val="bottom"/>
            <w:gridSpan w:val="2"/>
          </w:tcPr>
          <w:p>
            <w:pPr>
              <w:jc w:val="right"/>
              <w:ind w:right="900"/>
              <w:spacing w:after="0"/>
              <w:rPr>
                <w:sz w:val="20"/>
                <w:szCs w:val="20"/>
                <w:color w:val="auto"/>
              </w:rPr>
            </w:pPr>
            <w:r>
              <w:rPr>
                <w:rFonts w:ascii="Arial" w:cs="Arial" w:eastAsia="Arial" w:hAnsi="Arial"/>
                <w:sz w:val="17"/>
                <w:szCs w:val="17"/>
                <w:color w:val="auto"/>
              </w:rPr>
              <w:t>F-24</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4"/>
        </w:trPr>
        <w:tc>
          <w:tcPr>
            <w:tcW w:w="4100" w:type="dxa"/>
            <w:vAlign w:val="bottom"/>
            <w:shd w:val="clear" w:color="auto" w:fill="000000"/>
          </w:tcPr>
          <w:p>
            <w:pPr>
              <w:spacing w:after="0"/>
              <w:rPr>
                <w:sz w:val="5"/>
                <w:szCs w:val="5"/>
                <w:color w:val="auto"/>
              </w:rPr>
            </w:pPr>
          </w:p>
        </w:tc>
        <w:tc>
          <w:tcPr>
            <w:tcW w:w="23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228" w:right="239" w:bottom="1440" w:gutter="0" w:footer="0" w:header="0"/>
          <w:type w:val="continuous"/>
        </w:sectPr>
      </w:pPr>
    </w:p>
    <w:bookmarkStart w:id="68" w:name="page69"/>
    <w:bookmarkEnd w:id="6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220" w:firstLine="413"/>
        <w:spacing w:after="0" w:line="271" w:lineRule="auto"/>
        <w:rPr>
          <w:sz w:val="20"/>
          <w:szCs w:val="20"/>
          <w:color w:val="auto"/>
        </w:rPr>
      </w:pPr>
      <w:r>
        <w:rPr>
          <w:rFonts w:ascii="Arial" w:cs="Arial" w:eastAsia="Arial" w:hAnsi="Arial"/>
          <w:sz w:val="17"/>
          <w:szCs w:val="17"/>
          <w:color w:val="auto"/>
        </w:rPr>
        <w:t>Income tax expense for the years ended December 31, 2017, 2016 and 2015 differed from the amount computed by applying the U.S. federal income tax rate of 34% to pre-tax operations income as a result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center"/>
              <w:ind w:right="226"/>
              <w:spacing w:after="0"/>
              <w:rPr>
                <w:sz w:val="20"/>
                <w:szCs w:val="20"/>
                <w:color w:val="auto"/>
              </w:rPr>
            </w:pPr>
            <w:r>
              <w:rPr>
                <w:rFonts w:ascii="Arial" w:cs="Arial" w:eastAsia="Arial" w:hAnsi="Arial"/>
                <w:sz w:val="17"/>
                <w:szCs w:val="17"/>
                <w:b w:val="1"/>
                <w:bCs w:val="1"/>
                <w:color w:val="auto"/>
                <w:w w:val="90"/>
              </w:rPr>
              <w:t>Year Ended December 31,</w:t>
            </w:r>
          </w:p>
        </w:tc>
        <w:tc>
          <w:tcPr>
            <w:tcW w:w="1240" w:type="dxa"/>
            <w:vAlign w:val="bottom"/>
            <w:tcBorders>
              <w:bottom w:val="single" w:sz="8" w:color="auto"/>
            </w:tcBorders>
          </w:tcPr>
          <w:p>
            <w:pPr>
              <w:spacing w:after="0"/>
              <w:rPr>
                <w:sz w:val="19"/>
                <w:szCs w:val="19"/>
                <w:color w:val="auto"/>
              </w:rPr>
            </w:pPr>
          </w:p>
        </w:tc>
      </w:tr>
      <w:tr>
        <w:trPr>
          <w:trHeight w:val="208"/>
        </w:trPr>
        <w:tc>
          <w:tcPr>
            <w:tcW w:w="5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b w:val="1"/>
                <w:bCs w:val="1"/>
                <w:color w:val="auto"/>
                <w:w w:val="89"/>
              </w:rPr>
              <w:t>2016</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2015</w:t>
            </w:r>
          </w:p>
        </w:tc>
      </w:tr>
      <w:tr>
        <w:trPr>
          <w:trHeight w:val="195"/>
        </w:trPr>
        <w:tc>
          <w:tcPr>
            <w:tcW w:w="5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(in thousands)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2"/>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Computed "expected" income tax (benefit) expense</w:t>
            </w:r>
          </w:p>
        </w:tc>
        <w:tc>
          <w:tcPr>
            <w:tcW w:w="1940" w:type="dxa"/>
            <w:vAlign w:val="bottom"/>
            <w:gridSpan w:val="2"/>
            <w:shd w:val="clear" w:color="auto" w:fill="CCEEFF"/>
          </w:tcPr>
          <w:p>
            <w:pPr>
              <w:jc w:val="right"/>
              <w:ind w:right="836"/>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w:t>
            </w:r>
          </w:p>
        </w:tc>
      </w:tr>
      <w:tr>
        <w:trPr>
          <w:trHeight w:val="202"/>
        </w:trPr>
        <w:tc>
          <w:tcPr>
            <w:tcW w:w="5480" w:type="dxa"/>
            <w:vAlign w:val="bottom"/>
          </w:tcPr>
          <w:p>
            <w:pPr>
              <w:ind w:left="160"/>
              <w:spacing w:after="0"/>
              <w:rPr>
                <w:sz w:val="20"/>
                <w:szCs w:val="20"/>
                <w:color w:val="auto"/>
              </w:rPr>
            </w:pPr>
            <w:r>
              <w:rPr>
                <w:rFonts w:ascii="Arial" w:cs="Arial" w:eastAsia="Arial" w:hAnsi="Arial"/>
                <w:sz w:val="17"/>
                <w:szCs w:val="17"/>
                <w:color w:val="auto"/>
              </w:rPr>
              <w:t>Increase (decrease) in income taxes resulting from:</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2"/>
        </w:trPr>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Permanent differences, net</w:t>
            </w: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32</w:t>
            </w:r>
          </w:p>
        </w:tc>
      </w:tr>
      <w:tr>
        <w:trPr>
          <w:trHeight w:val="202"/>
        </w:trPr>
        <w:tc>
          <w:tcPr>
            <w:tcW w:w="5480" w:type="dxa"/>
            <w:vAlign w:val="bottom"/>
          </w:tcPr>
          <w:p>
            <w:pPr>
              <w:ind w:left="160"/>
              <w:spacing w:after="0"/>
              <w:rPr>
                <w:sz w:val="20"/>
                <w:szCs w:val="20"/>
                <w:color w:val="auto"/>
              </w:rPr>
            </w:pPr>
            <w:r>
              <w:rPr>
                <w:rFonts w:ascii="Arial" w:cs="Arial" w:eastAsia="Arial" w:hAnsi="Arial"/>
                <w:sz w:val="17"/>
                <w:szCs w:val="17"/>
                <w:color w:val="auto"/>
              </w:rPr>
              <w:t>Foreign tax rate differential</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165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2"/>
        </w:trPr>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State income taxes, net of federal income tax benefit</w:t>
            </w: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82</w:t>
            </w:r>
          </w:p>
        </w:tc>
      </w:tr>
      <w:tr>
        <w:trPr>
          <w:trHeight w:val="202"/>
        </w:trPr>
        <w:tc>
          <w:tcPr>
            <w:tcW w:w="5480" w:type="dxa"/>
            <w:vAlign w:val="bottom"/>
          </w:tcPr>
          <w:p>
            <w:pPr>
              <w:ind w:left="160"/>
              <w:spacing w:after="0"/>
              <w:rPr>
                <w:sz w:val="20"/>
                <w:szCs w:val="20"/>
                <w:color w:val="auto"/>
              </w:rPr>
            </w:pPr>
            <w:r>
              <w:rPr>
                <w:rFonts w:ascii="Arial" w:cs="Arial" w:eastAsia="Arial" w:hAnsi="Arial"/>
                <w:sz w:val="17"/>
                <w:szCs w:val="17"/>
                <w:color w:val="auto"/>
              </w:rPr>
              <w:t>Non-deductible stock compensation expense</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(161)</w:t>
            </w:r>
          </w:p>
        </w:tc>
      </w:tr>
      <w:tr>
        <w:trPr>
          <w:trHeight w:val="202"/>
        </w:trPr>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Impact of foreign rate change</w:t>
            </w: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89</w:t>
            </w:r>
          </w:p>
        </w:tc>
      </w:tr>
      <w:tr>
        <w:trPr>
          <w:trHeight w:val="202"/>
        </w:trPr>
        <w:tc>
          <w:tcPr>
            <w:tcW w:w="5480" w:type="dxa"/>
            <w:vAlign w:val="bottom"/>
          </w:tcPr>
          <w:p>
            <w:pPr>
              <w:ind w:left="160"/>
              <w:spacing w:after="0"/>
              <w:rPr>
                <w:sz w:val="20"/>
                <w:szCs w:val="20"/>
                <w:color w:val="auto"/>
              </w:rPr>
            </w:pPr>
            <w:r>
              <w:rPr>
                <w:rFonts w:ascii="Arial" w:cs="Arial" w:eastAsia="Arial" w:hAnsi="Arial"/>
                <w:sz w:val="17"/>
                <w:szCs w:val="17"/>
                <w:color w:val="auto"/>
              </w:rPr>
              <w:t>Impact of U.S. rate change</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2,521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02"/>
        </w:trPr>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Tax credits</w:t>
            </w: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r>
      <w:tr>
        <w:trPr>
          <w:trHeight w:val="202"/>
        </w:trPr>
        <w:tc>
          <w:tcPr>
            <w:tcW w:w="5480" w:type="dxa"/>
            <w:vAlign w:val="bottom"/>
          </w:tcPr>
          <w:p>
            <w:pPr>
              <w:ind w:left="160"/>
              <w:spacing w:after="0"/>
              <w:rPr>
                <w:sz w:val="20"/>
                <w:szCs w:val="20"/>
                <w:color w:val="auto"/>
              </w:rPr>
            </w:pPr>
            <w:r>
              <w:rPr>
                <w:rFonts w:ascii="Arial" w:cs="Arial" w:eastAsia="Arial" w:hAnsi="Arial"/>
                <w:sz w:val="17"/>
                <w:szCs w:val="17"/>
                <w:color w:val="auto"/>
              </w:rPr>
              <w:t>Change in reserve for uncertain tax position</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35</w:t>
            </w:r>
          </w:p>
        </w:tc>
      </w:tr>
      <w:tr>
        <w:trPr>
          <w:trHeight w:val="202"/>
        </w:trPr>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Impact of change to prior year tax accruals</w:t>
            </w: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291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370</w:t>
            </w:r>
          </w:p>
        </w:tc>
      </w:tr>
      <w:tr>
        <w:trPr>
          <w:trHeight w:val="202"/>
        </w:trPr>
        <w:tc>
          <w:tcPr>
            <w:tcW w:w="5480" w:type="dxa"/>
            <w:vAlign w:val="bottom"/>
          </w:tcPr>
          <w:p>
            <w:pPr>
              <w:ind w:left="160"/>
              <w:spacing w:after="0"/>
              <w:rPr>
                <w:sz w:val="20"/>
                <w:szCs w:val="20"/>
                <w:color w:val="auto"/>
              </w:rPr>
            </w:pPr>
            <w:r>
              <w:rPr>
                <w:rFonts w:ascii="Arial" w:cs="Arial" w:eastAsia="Arial" w:hAnsi="Arial"/>
                <w:sz w:val="17"/>
                <w:szCs w:val="17"/>
                <w:color w:val="auto"/>
              </w:rPr>
              <w:t xml:space="preserve">Impact of adoption of ASU 2016-09, </w:t>
            </w:r>
            <w:r>
              <w:rPr>
                <w:rFonts w:ascii="Arial" w:cs="Arial" w:eastAsia="Arial" w:hAnsi="Arial"/>
                <w:sz w:val="17"/>
                <w:szCs w:val="17"/>
                <w:i w:val="1"/>
                <w:iCs w:val="1"/>
                <w:color w:val="auto"/>
              </w:rPr>
              <w:t>Improvements to Employee</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2"/>
        </w:trPr>
        <w:tc>
          <w:tcPr>
            <w:tcW w:w="548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Share-based Payment Accounting</w:t>
            </w: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02"/>
        </w:trPr>
        <w:tc>
          <w:tcPr>
            <w:tcW w:w="5480" w:type="dxa"/>
            <w:vAlign w:val="bottom"/>
          </w:tcPr>
          <w:p>
            <w:pPr>
              <w:ind w:left="160"/>
              <w:spacing w:after="0"/>
              <w:rPr>
                <w:sz w:val="20"/>
                <w:szCs w:val="20"/>
                <w:color w:val="auto"/>
              </w:rPr>
            </w:pPr>
            <w:r>
              <w:rPr>
                <w:rFonts w:ascii="Arial" w:cs="Arial" w:eastAsia="Arial" w:hAnsi="Arial"/>
                <w:sz w:val="17"/>
                <w:szCs w:val="17"/>
                <w:color w:val="auto"/>
              </w:rPr>
              <w:t>U.S. tax on foreign dividends</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3,149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497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02"/>
        </w:trPr>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Foreign withholding taxes</w:t>
            </w: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02"/>
        </w:trPr>
        <w:tc>
          <w:tcPr>
            <w:tcW w:w="5480" w:type="dxa"/>
            <w:vAlign w:val="bottom"/>
          </w:tcPr>
          <w:p>
            <w:pPr>
              <w:ind w:left="160"/>
              <w:spacing w:after="0"/>
              <w:rPr>
                <w:sz w:val="20"/>
                <w:szCs w:val="20"/>
                <w:color w:val="auto"/>
              </w:rPr>
            </w:pPr>
            <w:r>
              <w:rPr>
                <w:rFonts w:ascii="Arial" w:cs="Arial" w:eastAsia="Arial" w:hAnsi="Arial"/>
                <w:sz w:val="17"/>
                <w:szCs w:val="17"/>
                <w:color w:val="auto"/>
              </w:rPr>
              <w:t>Conversion of U.S. foreign tax credits from credit to deduction</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648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1,772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02"/>
        </w:trPr>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Non-deductible loss on subsidiary stock sale</w:t>
            </w: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501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02"/>
        </w:trPr>
        <w:tc>
          <w:tcPr>
            <w:tcW w:w="5480" w:type="dxa"/>
            <w:vAlign w:val="bottom"/>
          </w:tcPr>
          <w:p>
            <w:pPr>
              <w:ind w:left="160"/>
              <w:spacing w:after="0"/>
              <w:rPr>
                <w:sz w:val="20"/>
                <w:szCs w:val="20"/>
                <w:color w:val="auto"/>
              </w:rPr>
            </w:pPr>
            <w:r>
              <w:rPr>
                <w:rFonts w:ascii="Arial" w:cs="Arial" w:eastAsia="Arial" w:hAnsi="Arial"/>
                <w:sz w:val="17"/>
                <w:szCs w:val="17"/>
                <w:color w:val="auto"/>
              </w:rPr>
              <w:t>Change in valuation allowance allocated to income</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2"/>
        </w:trPr>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tax expense (benefit)</w:t>
            </w: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(6,393)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16,401</w:t>
            </w:r>
          </w:p>
        </w:tc>
      </w:tr>
      <w:tr>
        <w:trPr>
          <w:trHeight w:val="214"/>
        </w:trPr>
        <w:tc>
          <w:tcPr>
            <w:tcW w:w="54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Other</w:t>
            </w:r>
          </w:p>
        </w:tc>
        <w:tc>
          <w:tcPr>
            <w:tcW w:w="9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08"/>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 (benefit) expense</w:t>
            </w:r>
          </w:p>
        </w:tc>
        <w:tc>
          <w:tcPr>
            <w:tcW w:w="1940" w:type="dxa"/>
            <w:vAlign w:val="bottom"/>
            <w:gridSpan w:val="2"/>
            <w:shd w:val="clear" w:color="auto" w:fill="CCEEFF"/>
          </w:tcPr>
          <w:p>
            <w:pPr>
              <w:jc w:val="right"/>
              <w:ind w:right="836"/>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(1,223)</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1,229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15,431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Income tax (benefit) expense is based on the following pre-tax loss from operations for the years ended December 31, 2017, 2016 and 2015: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5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center"/>
              <w:ind w:right="226"/>
              <w:spacing w:after="0"/>
              <w:rPr>
                <w:sz w:val="20"/>
                <w:szCs w:val="20"/>
                <w:color w:val="auto"/>
              </w:rPr>
            </w:pPr>
            <w:r>
              <w:rPr>
                <w:rFonts w:ascii="Arial" w:cs="Arial" w:eastAsia="Arial" w:hAnsi="Arial"/>
                <w:sz w:val="17"/>
                <w:szCs w:val="17"/>
                <w:b w:val="1"/>
                <w:bCs w:val="1"/>
                <w:color w:val="auto"/>
                <w:w w:val="90"/>
              </w:rPr>
              <w:t>Year Ended December 31,</w:t>
            </w:r>
          </w:p>
        </w:tc>
        <w:tc>
          <w:tcPr>
            <w:tcW w:w="1240" w:type="dxa"/>
            <w:vAlign w:val="bottom"/>
            <w:tcBorders>
              <w:bottom w:val="single" w:sz="8" w:color="auto"/>
            </w:tcBorders>
          </w:tcPr>
          <w:p>
            <w:pPr>
              <w:spacing w:after="0"/>
              <w:rPr>
                <w:sz w:val="19"/>
                <w:szCs w:val="19"/>
                <w:color w:val="auto"/>
              </w:rPr>
            </w:pPr>
          </w:p>
        </w:tc>
      </w:tr>
      <w:tr>
        <w:trPr>
          <w:trHeight w:val="208"/>
        </w:trPr>
        <w:tc>
          <w:tcPr>
            <w:tcW w:w="35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b w:val="1"/>
                <w:bCs w:val="1"/>
                <w:color w:val="auto"/>
                <w:w w:val="89"/>
              </w:rPr>
              <w:t>2016</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2015</w:t>
            </w:r>
          </w:p>
        </w:tc>
      </w:tr>
      <w:tr>
        <w:trPr>
          <w:trHeight w:val="195"/>
        </w:trPr>
        <w:tc>
          <w:tcPr>
            <w:tcW w:w="35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(in thousands)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2"/>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3880" w:type="dxa"/>
            <w:vAlign w:val="bottom"/>
            <w:gridSpan w:val="2"/>
            <w:shd w:val="clear" w:color="auto" w:fill="CCEEFF"/>
          </w:tcPr>
          <w:p>
            <w:pPr>
              <w:jc w:val="right"/>
              <w:ind w:right="836"/>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(3,129)</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(3,331)</w:t>
            </w:r>
          </w:p>
        </w:tc>
      </w:tr>
      <w:tr>
        <w:trPr>
          <w:trHeight w:val="214"/>
        </w:trPr>
        <w:tc>
          <w:tcPr>
            <w:tcW w:w="35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Foreign</w:t>
            </w:r>
          </w:p>
        </w:tc>
        <w:tc>
          <w:tcPr>
            <w:tcW w:w="28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w:t>
            </w:r>
          </w:p>
        </w:tc>
      </w:tr>
      <w:tr>
        <w:trPr>
          <w:trHeight w:val="208"/>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880" w:type="dxa"/>
            <w:vAlign w:val="bottom"/>
            <w:gridSpan w:val="2"/>
            <w:shd w:val="clear" w:color="auto" w:fill="CCEEFF"/>
          </w:tcPr>
          <w:p>
            <w:pPr>
              <w:jc w:val="right"/>
              <w:ind w:right="836"/>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(2,088)</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(3,608)</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tax effects of temporary differences that give rise to significant components of the deferred tax assets and deferred tax liabilities from operations at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and 2016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7"/>
                <w:szCs w:val="17"/>
                <w:b w:val="1"/>
                <w:bCs w:val="1"/>
                <w:color w:val="auto"/>
              </w:rPr>
              <w:t>December 31,</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3"/>
          </w:tcPr>
          <w:p>
            <w:pPr>
              <w:jc w:val="right"/>
              <w:ind w:right="26"/>
              <w:spacing w:after="0"/>
              <w:rPr>
                <w:sz w:val="20"/>
                <w:szCs w:val="20"/>
                <w:color w:val="auto"/>
              </w:rPr>
            </w:pPr>
            <w:r>
              <w:rPr>
                <w:rFonts w:ascii="Arial" w:cs="Arial" w:eastAsia="Arial" w:hAnsi="Arial"/>
                <w:sz w:val="17"/>
                <w:szCs w:val="17"/>
                <w:color w:val="auto"/>
              </w:rPr>
              <w:t>(in thousands)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Accounts receivable</w:t>
            </w: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17"/>
                <w:szCs w:val="17"/>
                <w:color w:val="auto"/>
              </w:rPr>
            </w:pP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Inventory</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891</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Operating loss and credit carryforwards</w:t>
            </w:r>
          </w:p>
        </w:tc>
        <w:tc>
          <w:tcPr>
            <w:tcW w:w="980" w:type="dxa"/>
            <w:vAlign w:val="bottom"/>
          </w:tcPr>
          <w:p>
            <w:pPr>
              <w:spacing w:after="0"/>
              <w:rPr>
                <w:sz w:val="17"/>
                <w:szCs w:val="17"/>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8,287</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12,586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plant and equipment</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Pension liabilities</w:t>
            </w:r>
          </w:p>
        </w:tc>
        <w:tc>
          <w:tcPr>
            <w:tcW w:w="980" w:type="dxa"/>
            <w:vAlign w:val="bottom"/>
          </w:tcPr>
          <w:p>
            <w:pPr>
              <w:spacing w:after="0"/>
              <w:rPr>
                <w:sz w:val="17"/>
                <w:szCs w:val="17"/>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631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Contingent consideration</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2,273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3,262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Stock compensation expense</w:t>
            </w:r>
          </w:p>
        </w:tc>
        <w:tc>
          <w:tcPr>
            <w:tcW w:w="980" w:type="dxa"/>
            <w:vAlign w:val="bottom"/>
          </w:tcPr>
          <w:p>
            <w:pPr>
              <w:spacing w:after="0"/>
              <w:rPr>
                <w:sz w:val="17"/>
                <w:szCs w:val="17"/>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1,667</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2,076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assets</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119</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95"/>
        </w:trPr>
        <w:tc>
          <w:tcPr>
            <w:tcW w:w="8120" w:type="dxa"/>
            <w:vAlign w:val="bottom"/>
            <w:gridSpan w:val="2"/>
          </w:tcPr>
          <w:p>
            <w:pPr>
              <w:spacing w:after="0"/>
              <w:rPr>
                <w:sz w:val="20"/>
                <w:szCs w:val="20"/>
                <w:color w:val="auto"/>
              </w:rPr>
            </w:pPr>
            <w:r>
              <w:rPr>
                <w:rFonts w:ascii="Arial" w:cs="Arial" w:eastAsia="Arial" w:hAnsi="Arial"/>
                <w:sz w:val="17"/>
                <w:szCs w:val="17"/>
                <w:color w:val="auto"/>
              </w:rPr>
              <w:t>Total gross deferred assets</w:t>
            </w:r>
          </w:p>
        </w:tc>
        <w:tc>
          <w:tcPr>
            <w:tcW w:w="980" w:type="dxa"/>
            <w:vAlign w:val="bottom"/>
          </w:tcPr>
          <w:p>
            <w:pPr>
              <w:spacing w:after="0"/>
              <w:rPr>
                <w:sz w:val="16"/>
                <w:szCs w:val="16"/>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w w:val="92"/>
              </w:rPr>
              <w:t>13,484</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20,089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Less: valuation allowance</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5"/>
              </w:rPr>
              <w:t>(11,447)</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(17,840)</w:t>
            </w:r>
          </w:p>
        </w:tc>
        <w:tc>
          <w:tcPr>
            <w:tcW w:w="0" w:type="dxa"/>
            <w:vAlign w:val="bottom"/>
          </w:tcPr>
          <w:p>
            <w:pPr>
              <w:spacing w:after="0"/>
              <w:rPr>
                <w:sz w:val="1"/>
                <w:szCs w:val="1"/>
                <w:color w:val="auto"/>
              </w:rPr>
            </w:pPr>
          </w:p>
        </w:tc>
      </w:tr>
      <w:tr>
        <w:trPr>
          <w:trHeight w:val="195"/>
        </w:trPr>
        <w:tc>
          <w:tcPr>
            <w:tcW w:w="8120" w:type="dxa"/>
            <w:vAlign w:val="bottom"/>
            <w:gridSpan w:val="2"/>
          </w:tcPr>
          <w:p>
            <w:pPr>
              <w:spacing w:after="0"/>
              <w:rPr>
                <w:sz w:val="20"/>
                <w:szCs w:val="20"/>
                <w:color w:val="auto"/>
              </w:rPr>
            </w:pPr>
            <w:r>
              <w:rPr>
                <w:rFonts w:ascii="Arial" w:cs="Arial" w:eastAsia="Arial" w:hAnsi="Arial"/>
                <w:sz w:val="17"/>
                <w:szCs w:val="17"/>
                <w:color w:val="auto"/>
              </w:rPr>
              <w:t>Deferred tax assets</w:t>
            </w: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2,037</w:t>
            </w:r>
          </w:p>
        </w:tc>
        <w:tc>
          <w:tcPr>
            <w:tcW w:w="120" w:type="dxa"/>
            <w:vAlign w:val="bottom"/>
          </w:tcPr>
          <w:p>
            <w:pPr>
              <w:spacing w:after="0"/>
              <w:rPr>
                <w:sz w:val="16"/>
                <w:szCs w:val="16"/>
                <w:color w:val="auto"/>
              </w:rPr>
            </w:pP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2,249</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8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Indefinite-lived intangible assets</w:t>
            </w: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3,166</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4,567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40"/>
              <w:spacing w:after="0"/>
              <w:rPr>
                <w:sz w:val="20"/>
                <w:szCs w:val="20"/>
                <w:color w:val="auto"/>
              </w:rPr>
            </w:pPr>
            <w:r>
              <w:rPr>
                <w:rFonts w:ascii="Arial" w:cs="Arial" w:eastAsia="Arial" w:hAnsi="Arial"/>
                <w:sz w:val="17"/>
                <w:szCs w:val="17"/>
                <w:color w:val="auto"/>
              </w:rPr>
              <w:t>Definite-lived intangible assets</w:t>
            </w:r>
          </w:p>
        </w:tc>
        <w:tc>
          <w:tcPr>
            <w:tcW w:w="980" w:type="dxa"/>
            <w:vAlign w:val="bottom"/>
          </w:tcPr>
          <w:p>
            <w:pPr>
              <w:spacing w:after="0"/>
              <w:rPr>
                <w:sz w:val="17"/>
                <w:szCs w:val="17"/>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2,383</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2,593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accrued liabilities</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270</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195"/>
        </w:trPr>
        <w:tc>
          <w:tcPr>
            <w:tcW w:w="8120" w:type="dxa"/>
            <w:vAlign w:val="bottom"/>
            <w:gridSpan w:val="2"/>
          </w:tcPr>
          <w:p>
            <w:pPr>
              <w:spacing w:after="0"/>
              <w:rPr>
                <w:sz w:val="20"/>
                <w:szCs w:val="20"/>
                <w:color w:val="auto"/>
              </w:rPr>
            </w:pPr>
            <w:r>
              <w:rPr>
                <w:rFonts w:ascii="Arial" w:cs="Arial" w:eastAsia="Arial" w:hAnsi="Arial"/>
                <w:sz w:val="17"/>
                <w:szCs w:val="17"/>
                <w:color w:val="auto"/>
              </w:rPr>
              <w:t>Total deferred tax liabilities</w:t>
            </w:r>
          </w:p>
        </w:tc>
        <w:tc>
          <w:tcPr>
            <w:tcW w:w="980" w:type="dxa"/>
            <w:vAlign w:val="bottom"/>
          </w:tcPr>
          <w:p>
            <w:pPr>
              <w:spacing w:after="0"/>
              <w:rPr>
                <w:sz w:val="16"/>
                <w:szCs w:val="16"/>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5,819</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7,509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deferred tax liabilities</w:t>
            </w:r>
          </w:p>
        </w:tc>
        <w:tc>
          <w:tcPr>
            <w:tcW w:w="980" w:type="dxa"/>
            <w:vAlign w:val="bottom"/>
            <w:tcBorders>
              <w:top w:val="single" w:sz="8" w:color="auto"/>
              <w:bottom w:val="single" w:sz="8" w:color="auto"/>
            </w:tcBorders>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8" w:right="2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725551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type w:val="continuous"/>
        </w:sectPr>
      </w:pPr>
    </w:p>
    <w:bookmarkStart w:id="69" w:name="page70"/>
    <w:bookmarkEnd w:id="6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60" w:firstLine="413"/>
        <w:spacing w:after="0" w:line="271" w:lineRule="auto"/>
        <w:rPr>
          <w:sz w:val="20"/>
          <w:szCs w:val="20"/>
          <w:color w:val="auto"/>
        </w:rPr>
      </w:pPr>
      <w:r>
        <w:rPr>
          <w:rFonts w:ascii="Arial" w:cs="Arial" w:eastAsia="Arial" w:hAnsi="Arial"/>
          <w:sz w:val="17"/>
          <w:szCs w:val="17"/>
          <w:color w:val="auto"/>
        </w:rPr>
        <w:t>Certain prior year amounts in the above table have been reclassified for consistency with the current year presentation. These reclassifications had no effect on the Company’s consolidated financial statements.</w:t>
      </w:r>
    </w:p>
    <w:p>
      <w:pPr>
        <w:spacing w:after="0" w:line="166" w:lineRule="exact"/>
        <w:rPr>
          <w:sz w:val="20"/>
          <w:szCs w:val="20"/>
          <w:color w:val="auto"/>
        </w:rPr>
      </w:pPr>
    </w:p>
    <w:p>
      <w:pPr>
        <w:ind w:right="220" w:firstLine="413"/>
        <w:spacing w:after="0" w:line="293" w:lineRule="auto"/>
        <w:rPr>
          <w:sz w:val="20"/>
          <w:szCs w:val="20"/>
          <w:color w:val="auto"/>
        </w:rPr>
      </w:pPr>
      <w:r>
        <w:rPr>
          <w:rFonts w:ascii="Arial" w:cs="Arial" w:eastAsia="Arial" w:hAnsi="Arial"/>
          <w:sz w:val="15"/>
          <w:szCs w:val="15"/>
          <w:color w:val="auto"/>
        </w:rPr>
        <w:t xml:space="preserve">The Company adopted the provisions of ASU 2016-09, </w:t>
      </w:r>
      <w:r>
        <w:rPr>
          <w:rFonts w:ascii="Arial" w:cs="Arial" w:eastAsia="Arial" w:hAnsi="Arial"/>
          <w:sz w:val="15"/>
          <w:szCs w:val="15"/>
          <w:i w:val="1"/>
          <w:iCs w:val="1"/>
          <w:color w:val="auto"/>
        </w:rPr>
        <w:t>Improvements to Employee Share-based Payment Accounting,</w:t>
      </w:r>
      <w:r>
        <w:rPr>
          <w:rFonts w:ascii="Arial" w:cs="Arial" w:eastAsia="Arial" w:hAnsi="Arial"/>
          <w:sz w:val="15"/>
          <w:szCs w:val="15"/>
          <w:color w:val="auto"/>
        </w:rPr>
        <w:t xml:space="preserve"> on January 1, 2017. Upon adoption, the company recorded previously unrecognized excess tax benefits from the exercise of employee stock options as an increase in its deferred tax asset for net operating losses of approximately $0.5 million. The tax benefit of this increased deferred tax asset is fully offset by an increase in the valuation allowance. Following adoption, excess tax benefits or tax deficit is reflected as income tax benefit or expense in the year the tax impact is generated. Approximately $96 thousand of tax deficit was recorded as income tax expense in 2017. Prior to the adoption of ASU 2016-09, these excess tax benefits could only be recognized when the related tax deduction reduces income taxes payable and the benefit would be reflected as a credit to additional paid-in capital if realized.</w:t>
      </w:r>
    </w:p>
    <w:p>
      <w:pPr>
        <w:spacing w:after="0" w:line="154" w:lineRule="exact"/>
        <w:rPr>
          <w:sz w:val="20"/>
          <w:szCs w:val="20"/>
          <w:color w:val="auto"/>
        </w:rPr>
      </w:pPr>
    </w:p>
    <w:p>
      <w:pPr>
        <w:ind w:right="20" w:firstLine="413"/>
        <w:spacing w:after="0" w:line="288" w:lineRule="auto"/>
        <w:rPr>
          <w:sz w:val="20"/>
          <w:szCs w:val="20"/>
          <w:color w:val="auto"/>
        </w:rPr>
      </w:pPr>
      <w:r>
        <w:rPr>
          <w:rFonts w:ascii="Arial" w:cs="Arial" w:eastAsia="Arial" w:hAnsi="Arial"/>
          <w:sz w:val="15"/>
          <w:szCs w:val="15"/>
          <w:color w:val="auto"/>
        </w:rPr>
        <w:t>The amounts recorded as deferred tax assets as of December 31, 2017 and 2016 represent the amount of tax benefits of existing deductible temporary differences and carryforwards that are more likely than not to be realized through the generation of sufficient future taxable income within the carryforward period. Significant management judgment is required in determining any valuation allowance recorded against deferred tax assets and liabilities. During the year ended December 31, 2015, the Company determined that it was more likely than not that its U.S. deferred tax assets would not be realized and therefore recorded a net increase to the valuation allowance of $16.4 million to offset U.S. deferred tax assets net of deferred tax liabilities except for deferred tax liabilities associated with certain indefinite-lived intangible assets. The Company’s judgment was based on consideration of all available evidence. At December 31, 2017 and 2016, the Company continues to maintain a valuation allowance against substantially all net U.S. deferred tax assets, exclusive of deferred tax liabilities associated with certain indefinite-lived intangible assets. During the year ended December 31, 2017, the Company determined that it was more likely than not that deferred tax assets of certain foreign subsidiaries would not be realized and therefore recorded a valuation allowance of $0.5 million on net deferred tax assets.</w:t>
      </w:r>
    </w:p>
    <w:p>
      <w:pPr>
        <w:spacing w:after="0" w:line="162" w:lineRule="exact"/>
        <w:rPr>
          <w:sz w:val="20"/>
          <w:szCs w:val="20"/>
          <w:color w:val="auto"/>
        </w:rPr>
      </w:pPr>
    </w:p>
    <w:p>
      <w:pPr>
        <w:ind w:right="40" w:firstLine="413"/>
        <w:spacing w:after="0" w:line="288" w:lineRule="auto"/>
        <w:rPr>
          <w:sz w:val="20"/>
          <w:szCs w:val="20"/>
          <w:color w:val="auto"/>
        </w:rPr>
      </w:pPr>
      <w:r>
        <w:rPr>
          <w:rFonts w:ascii="Arial" w:cs="Arial" w:eastAsia="Arial" w:hAnsi="Arial"/>
          <w:sz w:val="15"/>
          <w:szCs w:val="15"/>
          <w:color w:val="auto"/>
        </w:rPr>
        <w:t>On December 22, 2017, tax reform legislation known as the Tax Cuts and Jobs Act (the Tax Act) was signed into law. The Tax Act makes broad and complex changes to the U.S. Internal Revenue Code, including the reduction of the corporate income tax rate from 35% to 21% and the implementation of a modified territorial tax system; the latter includes a one-time transition tax on previously unremitted earnings of foreign subsidiaries. Recent SEC guidance under Staff Accounting Bulletin No. 118, Income Tax Accounting Implications of the Tax Cuts and Jobs Act (SAB 118) provides for a measurement-period approach for the recording of income tax effects related to tax reform for which the accounting is incomplete. The accounting for the impact of the Tax Act is incomplete, however the Company has recorded provisional estimates for the impact of changes related to the revaluation of deferred taxes, the impact of the mandatory repatriation of foreign earnings after electing the utilization of existing tax attributes, and for the reduction in valuation allowance on net federal deferred tax assets. Since these provisions were based on estimates, the Company will continue to measure the impact of these areas and record any changes in subsequent quarters when information and guidance become available. Those areas include the analysis of various elections available including the transition tax, state-tax impact and adoption by the various states, completion of foreign earnings and profits calculations and additional guidance from the Treasury on various provisions under the new law.</w:t>
      </w:r>
    </w:p>
    <w:p>
      <w:pPr>
        <w:spacing w:after="0" w:line="157" w:lineRule="exact"/>
        <w:rPr>
          <w:sz w:val="20"/>
          <w:szCs w:val="20"/>
          <w:color w:val="auto"/>
        </w:rPr>
      </w:pPr>
    </w:p>
    <w:p>
      <w:pPr>
        <w:ind w:right="80" w:firstLine="413"/>
        <w:spacing w:after="0" w:line="283" w:lineRule="auto"/>
        <w:rPr>
          <w:sz w:val="20"/>
          <w:szCs w:val="20"/>
          <w:color w:val="auto"/>
        </w:rPr>
      </w:pPr>
      <w:r>
        <w:rPr>
          <w:rFonts w:ascii="Arial" w:cs="Arial" w:eastAsia="Arial" w:hAnsi="Arial"/>
          <w:sz w:val="16"/>
          <w:szCs w:val="16"/>
          <w:color w:val="auto"/>
        </w:rPr>
        <w:t>Other law changes implemented by the Act such as changes to the calculation for Section 162(m) executive compensation deduction, interest deduction limitation and Global Intangible Low Taxed Income (GILTI), and others will not have any impact on the Company until the year ended December 31, 2018. The Company will continue to monitor guidance regarding these changes for how it will impact the financial statements in later periods.</w:t>
      </w:r>
    </w:p>
    <w:p>
      <w:pPr>
        <w:spacing w:after="0" w:line="159" w:lineRule="exact"/>
        <w:rPr>
          <w:sz w:val="20"/>
          <w:szCs w:val="20"/>
          <w:color w:val="auto"/>
        </w:rPr>
      </w:pPr>
    </w:p>
    <w:p>
      <w:pPr>
        <w:ind w:firstLine="413"/>
        <w:spacing w:after="0" w:line="269" w:lineRule="auto"/>
        <w:rPr>
          <w:sz w:val="20"/>
          <w:szCs w:val="20"/>
          <w:color w:val="auto"/>
        </w:rPr>
      </w:pPr>
      <w:r>
        <w:rPr>
          <w:rFonts w:ascii="Arial" w:cs="Arial" w:eastAsia="Arial" w:hAnsi="Arial"/>
          <w:sz w:val="16"/>
          <w:szCs w:val="16"/>
          <w:color w:val="auto"/>
        </w:rPr>
        <w:t>At December 31, 2017, the Company had federal net operating loss carryforwards of $14.4 million, which begin to expire in 2021 and state net operating loss carryforwards of $8.6 million, which begin to expire in 2018. Approximately $8.0 million of federal net operating loss carryforwards are expected to be utilized during 2017 to offset the transition impact. The Company also had research and development tax credit carryforwards of $1.7 million which begin to expire in 2020. The Company had $0.4 million of alternative minimum tax credit carryforwards which are not subject to expiration and become refundable under the Tax Act beginning in 2018 subject to sequestration. In addition, the Company had a total of $1.1 million of state investment tax credit carryforwards, research and development tax credit carryforwards, and EZ credit carryforwards, which begin to expire in 2018. Approximately $3.3 million of net operating losses are subject to an annual limitation of $0.7 million imposed by change in ownership provisions of Section 382 of the Internal Revenue Code. As mentioned above, these net operating loss and credit carryforwards have full valuation allowances set up against them.</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160" w:firstLine="413"/>
        <w:spacing w:after="0" w:line="270" w:lineRule="auto"/>
        <w:rPr>
          <w:sz w:val="20"/>
          <w:szCs w:val="20"/>
          <w:color w:val="auto"/>
        </w:rPr>
      </w:pPr>
      <w:r>
        <w:rPr>
          <w:rFonts w:ascii="Arial" w:cs="Arial" w:eastAsia="Arial" w:hAnsi="Arial"/>
          <w:sz w:val="16"/>
          <w:szCs w:val="16"/>
          <w:color w:val="auto"/>
        </w:rPr>
        <w:t>Undistributed earnings of the Company’s foreign subsidiaries amounted to approximately $49.2 million, $48.6 million, and $48.7 million at December 31, 2017, 2016 and 2015, respectively. As of December 31, 2017, the Company changed its indefinite reinvestment assertion to provide that all foreign earnings above the level required for local operating expenses would be repatriated to the U.S. in tax years after 2017. Prior to 2017, this modified assertion only applied to the Company’s subsidiaries in France and Canada. At December 31, 2017, as the Company was considering a potential U.S. acquisition, the Company changed its assertion and it was anticipated that U.S. needs would require repatriation of all foreign subsidiaries’ earnings rather than just France and Canada. As a result of the Tax Act, all prior unremitted earnings are deemed paid and included in the current provision under the one-time repatriation tax calculation. Therefore, as a result of the change in this assertion, only $38 thousand of additional withholding has been accrued as of December 31, 2017.</w:t>
      </w:r>
    </w:p>
    <w:p>
      <w:pPr>
        <w:spacing w:after="0" w:line="171" w:lineRule="exact"/>
        <w:rPr>
          <w:sz w:val="20"/>
          <w:szCs w:val="20"/>
          <w:color w:val="auto"/>
        </w:rPr>
      </w:pPr>
    </w:p>
    <w:p>
      <w:pPr>
        <w:ind w:right="140" w:firstLine="413"/>
        <w:spacing w:after="0" w:line="256" w:lineRule="auto"/>
        <w:rPr>
          <w:sz w:val="20"/>
          <w:szCs w:val="20"/>
          <w:color w:val="auto"/>
        </w:rPr>
      </w:pPr>
      <w:r>
        <w:rPr>
          <w:rFonts w:ascii="Arial" w:cs="Arial" w:eastAsia="Arial" w:hAnsi="Arial"/>
          <w:sz w:val="17"/>
          <w:szCs w:val="17"/>
          <w:color w:val="auto"/>
        </w:rPr>
        <w:t>In 2016, the Company recorded a tax reserve in the amount of $59 thousand related to the disposition of a foreign subsidiary. Additionally in 2016, the Company recorded a reserve for $62 thousand related to issues raised in an ongoing German income tax audit. In 2017, the Company recorded a $21 thousand adjustment to the reserve related to the disposition of a foreign subsidiary. Also in 2017, the German income tax audit was settled for $30 thousand and $32 thousand of the remaining reserve was reversed. A reconciliation of uncertain tax liabilities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w w:val="96"/>
              </w:rPr>
              <w:t>(in thousands)</w:t>
            </w:r>
          </w:p>
        </w:tc>
      </w:tr>
      <w:tr>
        <w:trPr>
          <w:trHeight w:val="195"/>
        </w:trPr>
        <w:tc>
          <w:tcPr>
            <w:tcW w:w="98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285</w:t>
            </w:r>
          </w:p>
        </w:tc>
      </w:tr>
      <w:tr>
        <w:trPr>
          <w:trHeight w:val="202"/>
        </w:trPr>
        <w:tc>
          <w:tcPr>
            <w:tcW w:w="9840" w:type="dxa"/>
            <w:vAlign w:val="bottom"/>
          </w:tcPr>
          <w:p>
            <w:pPr>
              <w:spacing w:after="0"/>
              <w:rPr>
                <w:sz w:val="20"/>
                <w:szCs w:val="20"/>
                <w:color w:val="auto"/>
              </w:rPr>
            </w:pPr>
            <w:r>
              <w:rPr>
                <w:rFonts w:ascii="Arial" w:cs="Arial" w:eastAsia="Arial" w:hAnsi="Arial"/>
                <w:sz w:val="17"/>
                <w:szCs w:val="17"/>
                <w:color w:val="auto"/>
              </w:rPr>
              <w:t>Additions based on current year tax positions</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59</w:t>
            </w:r>
          </w:p>
        </w:tc>
      </w:tr>
      <w:tr>
        <w:trPr>
          <w:trHeight w:val="215"/>
        </w:trPr>
        <w:tc>
          <w:tcPr>
            <w:tcW w:w="9840" w:type="dxa"/>
            <w:vAlign w:val="bottom"/>
            <w:shd w:val="clear" w:color="auto" w:fill="CCEEFF"/>
          </w:tcPr>
          <w:p>
            <w:pPr>
              <w:spacing w:after="0"/>
              <w:rPr>
                <w:sz w:val="20"/>
                <w:szCs w:val="20"/>
                <w:color w:val="auto"/>
              </w:rPr>
            </w:pPr>
            <w:r>
              <w:rPr>
                <w:rFonts w:ascii="Arial" w:cs="Arial" w:eastAsia="Arial" w:hAnsi="Arial"/>
                <w:sz w:val="17"/>
                <w:szCs w:val="17"/>
                <w:color w:val="auto"/>
              </w:rPr>
              <w:t>Additions based on tax positions of prior years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62</w:t>
            </w:r>
          </w:p>
        </w:tc>
      </w:tr>
      <w:tr>
        <w:trPr>
          <w:trHeight w:val="195"/>
        </w:trPr>
        <w:tc>
          <w:tcPr>
            <w:tcW w:w="9840" w:type="dxa"/>
            <w:vAlign w:val="bottom"/>
          </w:tcPr>
          <w:p>
            <w:pPr>
              <w:spacing w:after="0"/>
              <w:rPr>
                <w:sz w:val="20"/>
                <w:szCs w:val="20"/>
                <w:color w:val="auto"/>
              </w:rPr>
            </w:pPr>
            <w:r>
              <w:rPr>
                <w:rFonts w:ascii="Arial" w:cs="Arial" w:eastAsia="Arial" w:hAnsi="Arial"/>
                <w:sz w:val="17"/>
                <w:szCs w:val="17"/>
                <w:color w:val="auto"/>
              </w:rPr>
              <w:t>Balance at December 31, 2016</w:t>
            </w:r>
          </w:p>
        </w:tc>
        <w:tc>
          <w:tcPr>
            <w:tcW w:w="200" w:type="dxa"/>
            <w:vAlign w:val="bottom"/>
          </w:tcPr>
          <w:p>
            <w:pPr>
              <w:spacing w:after="0"/>
              <w:rPr>
                <w:sz w:val="16"/>
                <w:szCs w:val="16"/>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406</w:t>
            </w:r>
          </w:p>
        </w:tc>
      </w:tr>
      <w:tr>
        <w:trPr>
          <w:trHeight w:val="202"/>
        </w:trPr>
        <w:tc>
          <w:tcPr>
            <w:tcW w:w="9840" w:type="dxa"/>
            <w:vAlign w:val="bottom"/>
            <w:shd w:val="clear" w:color="auto" w:fill="CCEEFF"/>
          </w:tcPr>
          <w:p>
            <w:pPr>
              <w:spacing w:after="0"/>
              <w:rPr>
                <w:sz w:val="20"/>
                <w:szCs w:val="20"/>
                <w:color w:val="auto"/>
              </w:rPr>
            </w:pPr>
            <w:r>
              <w:rPr>
                <w:rFonts w:ascii="Arial" w:cs="Arial" w:eastAsia="Arial" w:hAnsi="Arial"/>
                <w:sz w:val="17"/>
                <w:szCs w:val="17"/>
                <w:color w:val="auto"/>
              </w:rPr>
              <w:t>Decreases based on tax positions of prior years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r>
      <w:tr>
        <w:trPr>
          <w:trHeight w:val="214"/>
        </w:trPr>
        <w:tc>
          <w:tcPr>
            <w:tcW w:w="98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Settlements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r>
      <w:tr>
        <w:trPr>
          <w:trHeight w:val="208"/>
        </w:trPr>
        <w:tc>
          <w:tcPr>
            <w:tcW w:w="9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323</w:t>
            </w:r>
          </w:p>
        </w:tc>
      </w:tr>
      <w:tr>
        <w:trPr>
          <w:trHeight w:val="20"/>
        </w:trPr>
        <w:tc>
          <w:tcPr>
            <w:tcW w:w="9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right="200" w:firstLine="413"/>
        <w:spacing w:after="0" w:line="310" w:lineRule="auto"/>
        <w:rPr>
          <w:sz w:val="20"/>
          <w:szCs w:val="20"/>
          <w:color w:val="auto"/>
        </w:rPr>
      </w:pPr>
      <w:r>
        <w:rPr>
          <w:rFonts w:ascii="Arial" w:cs="Arial" w:eastAsia="Arial" w:hAnsi="Arial"/>
          <w:sz w:val="15"/>
          <w:szCs w:val="15"/>
          <w:color w:val="auto"/>
        </w:rPr>
        <w:t>At December 31, 2017 and 2016 the amount of unrecognized tax benefits that would affect the Company’s effective tax rate was $0.3 million and $0.4 million, respectively. The Company classifies interest and penalties related to unrecognized tax benefits as a component of income tax expense. For the years ended December 31, 2017 and 2016, respectively, interest recognized in the consolidated statement of operations was immaterial, and there were no penalties recognized.</w:t>
      </w:r>
    </w:p>
    <w:p>
      <w:pPr>
        <w:spacing w:after="0" w:line="141" w:lineRule="exact"/>
        <w:rPr>
          <w:sz w:val="20"/>
          <w:szCs w:val="20"/>
          <w:color w:val="auto"/>
        </w:rPr>
      </w:pPr>
    </w:p>
    <w:p>
      <w:pPr>
        <w:jc w:val="both"/>
        <w:ind w:right="140" w:firstLine="413"/>
        <w:spacing w:after="0" w:line="287" w:lineRule="auto"/>
        <w:rPr>
          <w:sz w:val="20"/>
          <w:szCs w:val="20"/>
          <w:color w:val="auto"/>
        </w:rPr>
      </w:pPr>
      <w:r>
        <w:rPr>
          <w:rFonts w:ascii="Arial" w:cs="Arial" w:eastAsia="Arial" w:hAnsi="Arial"/>
          <w:sz w:val="15"/>
          <w:szCs w:val="15"/>
          <w:color w:val="auto"/>
        </w:rPr>
        <w:t>The Company or one of its subsidiaries files income tax returns in the U.S. federal jurisdiction, and various states and foreign jurisdictions. With few exceptions, the Company is no longer subject to income tax examinations by tax authorities in foreign jurisdictions for years before 2013. In the U.S., the Company's net operating loss and tax credit carryforward amounts remain subject to federal and state examination for tax years starting in 2000 as a result of tax losses incurred in prior years.</w:t>
      </w:r>
    </w:p>
    <w:p>
      <w:pPr>
        <w:ind w:right="240"/>
        <w:spacing w:after="0" w:line="257" w:lineRule="auto"/>
        <w:rPr>
          <w:sz w:val="20"/>
          <w:szCs w:val="20"/>
          <w:color w:val="auto"/>
        </w:rPr>
      </w:pPr>
      <w:r>
        <w:rPr>
          <w:rFonts w:ascii="Arial" w:cs="Arial" w:eastAsia="Arial" w:hAnsi="Arial"/>
          <w:sz w:val="17"/>
          <w:szCs w:val="17"/>
          <w:color w:val="auto"/>
        </w:rPr>
        <w:t>There are currently no pending federal or state tax examinations. The Company is subject to audits by various taxing jurisdictions. Additional reserves are established when necessary. No ongoing audits are expected to have a material impact.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Employee Benefit Plans</w:t>
      </w:r>
    </w:p>
    <w:p>
      <w:pPr>
        <w:spacing w:after="0" w:line="315" w:lineRule="exact"/>
        <w:rPr>
          <w:sz w:val="20"/>
          <w:szCs w:val="20"/>
          <w:color w:val="auto"/>
        </w:rPr>
      </w:pPr>
    </w:p>
    <w:p>
      <w:pPr>
        <w:ind w:firstLine="413"/>
        <w:spacing w:after="0" w:line="256" w:lineRule="auto"/>
        <w:rPr>
          <w:sz w:val="20"/>
          <w:szCs w:val="20"/>
          <w:color w:val="auto"/>
        </w:rPr>
      </w:pPr>
      <w:r>
        <w:rPr>
          <w:rFonts w:ascii="Arial" w:cs="Arial" w:eastAsia="Arial" w:hAnsi="Arial"/>
          <w:sz w:val="17"/>
          <w:szCs w:val="17"/>
          <w:color w:val="auto"/>
        </w:rPr>
        <w:t>The Company sponsors profit sharing retirement plans for its U.S. employees, which includes employee savings plans established under Section 401(k) of the U.S. Internal Revenue Code (the 401(k) Plans). The 401(k) Plans cover substantially all full-time employees who meet certain eligibility requirements. Contributions to the profit sharing retirement plans are at the discretion of management. For the years ended December 31, 2017, 2016 and 2015, the Company contributed approximately $0.6 million, $0.6 million and $0.5 million, respectively, to the 401(k) Plans.</w:t>
      </w:r>
    </w:p>
    <w:p>
      <w:pPr>
        <w:spacing w:after="0" w:line="178" w:lineRule="exact"/>
        <w:rPr>
          <w:sz w:val="20"/>
          <w:szCs w:val="20"/>
          <w:color w:val="auto"/>
        </w:rPr>
      </w:pPr>
    </w:p>
    <w:p>
      <w:pPr>
        <w:ind w:right="40" w:firstLine="413"/>
        <w:spacing w:after="0" w:line="296" w:lineRule="auto"/>
        <w:rPr>
          <w:sz w:val="20"/>
          <w:szCs w:val="20"/>
          <w:color w:val="auto"/>
        </w:rPr>
      </w:pPr>
      <w:r>
        <w:rPr>
          <w:rFonts w:ascii="Arial" w:cs="Arial" w:eastAsia="Arial" w:hAnsi="Arial"/>
          <w:sz w:val="15"/>
          <w:szCs w:val="15"/>
          <w:color w:val="auto"/>
        </w:rPr>
        <w:t>The Company’s subsidiary in the United Kingdom, Biochrom, maintains contributory, defined benefit or defined contribution pension plans for substantially all of its employees. These defined benefit pension plans have been closed to new employees since 2014, as well as closed to the future accrual of benefits for existing employees. The provisions of FASB ASC 715-20 require that the funded status of the Company’s pension plans be recognized in its balance sheet. FASB ASC 715-20 does not change the measurement or income statement recognition of these plans, although it does require that plan assets and benefit obligations be measured as of the balance sheet date. The Company has historically measured the plan assets and benefit obligations as of the balance sheet date.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EE"/>
            </w:tcBorders>
          </w:tcPr>
          <w:p>
            <w:pPr>
              <w:spacing w:after="0"/>
              <w:rPr>
                <w:rFonts w:ascii="Arial" w:cs="Arial" w:eastAsia="Arial" w:hAnsi="Arial"/>
                <w:sz w:val="17"/>
                <w:szCs w:val="17"/>
                <w:color w:val="0000EE"/>
                <w:w w:val="87"/>
              </w:rPr>
            </w:pPr>
            <w:hyperlink w:anchor="page2">
              <w:r>
                <w:rPr>
                  <w:rFonts w:ascii="Arial" w:cs="Arial" w:eastAsia="Arial" w:hAnsi="Arial"/>
                  <w:sz w:val="17"/>
                  <w:szCs w:val="17"/>
                  <w:color w:val="0000EE"/>
                  <w:w w:val="87"/>
                </w:rPr>
                <w:t>Table of Contents</w:t>
              </w:r>
            </w:hyperlink>
          </w:p>
        </w:tc>
        <w:tc>
          <w:tcPr>
            <w:tcW w:w="5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422"/>
        </w:trPr>
        <w:tc>
          <w:tcPr>
            <w:tcW w:w="6280" w:type="dxa"/>
            <w:vAlign w:val="bottom"/>
            <w:gridSpan w:val="2"/>
          </w:tcPr>
          <w:p>
            <w:pPr>
              <w:ind w:left="420"/>
              <w:spacing w:after="0"/>
              <w:rPr>
                <w:sz w:val="20"/>
                <w:szCs w:val="20"/>
                <w:color w:val="auto"/>
              </w:rPr>
            </w:pPr>
            <w:r>
              <w:rPr>
                <w:rFonts w:ascii="Arial" w:cs="Arial" w:eastAsia="Arial" w:hAnsi="Arial"/>
                <w:sz w:val="17"/>
                <w:szCs w:val="17"/>
                <w:color w:val="auto"/>
                <w:w w:val="91"/>
              </w:rPr>
              <w:t>The components of the Company’s defined benefit pension expense were as follows: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8"/>
        </w:trPr>
        <w:tc>
          <w:tcPr>
            <w:tcW w:w="12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ind w:right="226"/>
              <w:spacing w:after="0"/>
              <w:rPr>
                <w:sz w:val="20"/>
                <w:szCs w:val="20"/>
                <w:color w:val="auto"/>
              </w:rPr>
            </w:pPr>
            <w:r>
              <w:rPr>
                <w:rFonts w:ascii="Arial" w:cs="Arial" w:eastAsia="Arial" w:hAnsi="Arial"/>
                <w:sz w:val="17"/>
                <w:szCs w:val="17"/>
                <w:b w:val="1"/>
                <w:bCs w:val="1"/>
                <w:color w:val="auto"/>
                <w:w w:val="90"/>
              </w:rPr>
              <w:t>Year Ended December 31,</w:t>
            </w:r>
          </w:p>
        </w:tc>
        <w:tc>
          <w:tcPr>
            <w:tcW w:w="1240" w:type="dxa"/>
            <w:vAlign w:val="bottom"/>
            <w:tcBorders>
              <w:bottom w:val="single" w:sz="8" w:color="auto"/>
            </w:tcBorders>
          </w:tcPr>
          <w:p>
            <w:pPr>
              <w:spacing w:after="0"/>
              <w:rPr>
                <w:sz w:val="24"/>
                <w:szCs w:val="24"/>
                <w:color w:val="auto"/>
              </w:rPr>
            </w:pPr>
          </w:p>
        </w:tc>
      </w:tr>
      <w:tr>
        <w:trPr>
          <w:trHeight w:val="208"/>
        </w:trPr>
        <w:tc>
          <w:tcPr>
            <w:tcW w:w="12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2017</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b w:val="1"/>
                <w:bCs w:val="1"/>
                <w:color w:val="auto"/>
                <w:w w:val="89"/>
              </w:rPr>
              <w:t>2016</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2015</w:t>
            </w:r>
          </w:p>
        </w:tc>
      </w:tr>
      <w:tr>
        <w:trPr>
          <w:trHeight w:val="195"/>
        </w:trPr>
        <w:tc>
          <w:tcPr>
            <w:tcW w:w="12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(in thousands)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2"/>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Components of net periodic benefit cost: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2"/>
        </w:trPr>
        <w:tc>
          <w:tcPr>
            <w:tcW w:w="6280" w:type="dxa"/>
            <w:vAlign w:val="bottom"/>
            <w:gridSpan w:val="2"/>
          </w:tcPr>
          <w:p>
            <w:pPr>
              <w:spacing w:after="0"/>
              <w:rPr>
                <w:sz w:val="20"/>
                <w:szCs w:val="20"/>
                <w:color w:val="auto"/>
              </w:rPr>
            </w:pPr>
            <w:r>
              <w:rPr>
                <w:rFonts w:ascii="Arial" w:cs="Arial" w:eastAsia="Arial" w:hAnsi="Arial"/>
                <w:sz w:val="17"/>
                <w:szCs w:val="17"/>
                <w:color w:val="auto"/>
              </w:rPr>
              <w:t>Interest cost</w:t>
            </w:r>
          </w:p>
        </w:tc>
        <w:tc>
          <w:tcPr>
            <w:tcW w:w="1200" w:type="dxa"/>
            <w:vAlign w:val="bottom"/>
            <w:gridSpan w:val="2"/>
          </w:tcPr>
          <w:p>
            <w:pPr>
              <w:jc w:val="right"/>
              <w:ind w:right="896"/>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524</w:t>
            </w:r>
          </w:p>
        </w:tc>
        <w:tc>
          <w:tcPr>
            <w:tcW w:w="3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632</w:t>
            </w:r>
          </w:p>
        </w:tc>
        <w:tc>
          <w:tcPr>
            <w:tcW w:w="120" w:type="dxa"/>
            <w:vAlign w:val="bottom"/>
          </w:tcPr>
          <w:p>
            <w:pPr>
              <w:spacing w:after="0"/>
              <w:rPr>
                <w:sz w:val="17"/>
                <w:szCs w:val="17"/>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711</w:t>
            </w:r>
          </w:p>
        </w:tc>
      </w:tr>
      <w:tr>
        <w:trPr>
          <w:trHeight w:val="202"/>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w:t>
            </w:r>
          </w:p>
        </w:tc>
      </w:tr>
      <w:tr>
        <w:trPr>
          <w:trHeight w:val="214"/>
        </w:trPr>
        <w:tc>
          <w:tcPr>
            <w:tcW w:w="62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Net amortization loss</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304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306</w:t>
            </w:r>
          </w:p>
        </w:tc>
      </w:tr>
      <w:tr>
        <w:trPr>
          <w:trHeight w:val="208"/>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periodic benefit cost</w:t>
            </w:r>
          </w:p>
        </w:tc>
        <w:tc>
          <w:tcPr>
            <w:tcW w:w="1200" w:type="dxa"/>
            <w:vAlign w:val="bottom"/>
            <w:gridSpan w:val="2"/>
            <w:shd w:val="clear" w:color="auto" w:fill="CCEEFF"/>
          </w:tcPr>
          <w:p>
            <w:pPr>
              <w:jc w:val="right"/>
              <w:ind w:right="896"/>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349</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520" w:firstLine="413"/>
        <w:spacing w:after="0" w:line="271" w:lineRule="auto"/>
        <w:rPr>
          <w:sz w:val="20"/>
          <w:szCs w:val="20"/>
          <w:color w:val="auto"/>
        </w:rPr>
      </w:pPr>
      <w:r>
        <w:rPr>
          <w:rFonts w:ascii="Arial" w:cs="Arial" w:eastAsia="Arial" w:hAnsi="Arial"/>
          <w:sz w:val="17"/>
          <w:szCs w:val="17"/>
          <w:color w:val="auto"/>
        </w:rPr>
        <w:t>The measurement date is December 31 for these plans. The funded status of the Company’s defined benefit pension plans and the amount recognized in the consolidated balance sheets at December 31, 2017 and 2016 is as follows:</w:t>
      </w:r>
    </w:p>
    <w:p>
      <w:pPr>
        <w:sectPr>
          <w:pgSz w:w="11900" w:h="16838" w:orient="portrait"/>
          <w:cols w:equalWidth="0" w:num="1">
            <w:col w:w="11420"/>
          </w:cols>
          <w:pgMar w:left="240" w:top="21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Change in benefit obligation:</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Balance at beginning of year</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Interest cost</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Actuarial loss</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Benefits paid</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Currency translation adjustment</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Balance at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color w:val="auto"/>
        </w:rPr>
        <w:t>Change in fair value of plan assets:</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Balance at beginning of year</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Actual return on plan assets</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Employer contributions</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Benefits paid</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Currency translation adjustment</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Balance at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Change in benefit obligation: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Funded status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Unrecognized net loss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Net amount recognized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2016</w:t>
            </w:r>
          </w:p>
        </w:tc>
      </w:tr>
      <w:tr>
        <w:trPr>
          <w:trHeight w:val="207"/>
        </w:trPr>
        <w:tc>
          <w:tcPr>
            <w:tcW w:w="360" w:type="dxa"/>
            <w:vAlign w:val="bottom"/>
          </w:tcPr>
          <w:p>
            <w:pPr>
              <w:spacing w:after="0"/>
              <w:rPr>
                <w:sz w:val="17"/>
                <w:szCs w:val="17"/>
                <w:color w:val="auto"/>
              </w:rPr>
            </w:pPr>
          </w:p>
        </w:tc>
        <w:tc>
          <w:tcPr>
            <w:tcW w:w="1880" w:type="dxa"/>
            <w:vAlign w:val="bottom"/>
            <w:gridSpan w:val="3"/>
          </w:tcPr>
          <w:p>
            <w:pPr>
              <w:jc w:val="right"/>
              <w:ind w:right="26"/>
              <w:spacing w:after="0"/>
              <w:rPr>
                <w:sz w:val="20"/>
                <w:szCs w:val="20"/>
                <w:color w:val="auto"/>
              </w:rPr>
            </w:pPr>
            <w:r>
              <w:rPr>
                <w:rFonts w:ascii="Arial" w:cs="Arial" w:eastAsia="Arial" w:hAnsi="Arial"/>
                <w:sz w:val="17"/>
                <w:szCs w:val="17"/>
                <w:color w:val="auto"/>
              </w:rPr>
              <w:t>(in thousands)</w:t>
            </w:r>
          </w:p>
        </w:tc>
        <w:tc>
          <w:tcPr>
            <w:tcW w:w="1060" w:type="dxa"/>
            <w:vAlign w:val="bottom"/>
          </w:tcPr>
          <w:p>
            <w:pPr>
              <w:spacing w:after="0"/>
              <w:rPr>
                <w:sz w:val="17"/>
                <w:szCs w:val="17"/>
                <w:color w:val="auto"/>
              </w:rPr>
            </w:pPr>
          </w:p>
        </w:tc>
      </w:tr>
      <w:tr>
        <w:trPr>
          <w:trHeight w:val="381"/>
        </w:trPr>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19,214</w:t>
            </w:r>
          </w:p>
        </w:tc>
        <w:tc>
          <w:tcPr>
            <w:tcW w:w="120" w:type="dxa"/>
            <w:vAlign w:val="bottom"/>
          </w:tcPr>
          <w:p>
            <w:pPr>
              <w:spacing w:after="0"/>
              <w:rPr>
                <w:sz w:val="24"/>
                <w:szCs w:val="24"/>
                <w:color w:val="auto"/>
              </w:rPr>
            </w:pP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18,582</w:t>
            </w:r>
          </w:p>
        </w:tc>
      </w:tr>
      <w:tr>
        <w:trPr>
          <w:trHeight w:val="202"/>
        </w:trPr>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524</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632</w:t>
            </w:r>
          </w:p>
        </w:tc>
      </w:tr>
      <w:tr>
        <w:trPr>
          <w:trHeight w:val="202"/>
        </w:trPr>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4,636</w:t>
            </w:r>
          </w:p>
        </w:tc>
      </w:tr>
      <w:tr>
        <w:trPr>
          <w:trHeight w:val="214"/>
        </w:trPr>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(514)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(982)</w:t>
            </w:r>
          </w:p>
        </w:tc>
      </w:tr>
      <w:tr>
        <w:trPr>
          <w:trHeight w:val="215"/>
        </w:trPr>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1,876</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(3,654)</w:t>
            </w:r>
          </w:p>
        </w:tc>
      </w:tr>
      <w:tr>
        <w:trPr>
          <w:trHeight w:val="208"/>
        </w:trPr>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21,126</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19,214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-947420</wp:posOffset>
            </wp:positionV>
            <wp:extent cx="7255510" cy="1282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5510" cy="12827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-690245</wp:posOffset>
            </wp:positionV>
            <wp:extent cx="7255510" cy="1282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5510" cy="12827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-433070</wp:posOffset>
            </wp:positionV>
            <wp:extent cx="7255510" cy="1282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5510" cy="12827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-168275</wp:posOffset>
            </wp:positionV>
            <wp:extent cx="7255510" cy="152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5510" cy="152400"/>
                    </a:xfrm>
                    <a:prstGeom prst="rect">
                      <a:avLst/>
                    </a:prstGeom>
                    <a:noFill/>
                  </pic:spPr>
                </pic:pic>
              </a:graphicData>
            </a:graphic>
          </wp:anchor>
        </w:drawing>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2016</w:t>
            </w:r>
          </w:p>
        </w:tc>
      </w:tr>
      <w:tr>
        <w:trPr>
          <w:trHeight w:val="207"/>
        </w:trPr>
        <w:tc>
          <w:tcPr>
            <w:tcW w:w="360" w:type="dxa"/>
            <w:vAlign w:val="bottom"/>
          </w:tcPr>
          <w:p>
            <w:pPr>
              <w:spacing w:after="0"/>
              <w:rPr>
                <w:sz w:val="17"/>
                <w:szCs w:val="17"/>
                <w:color w:val="auto"/>
              </w:rPr>
            </w:pPr>
          </w:p>
        </w:tc>
        <w:tc>
          <w:tcPr>
            <w:tcW w:w="1880" w:type="dxa"/>
            <w:vAlign w:val="bottom"/>
            <w:gridSpan w:val="3"/>
          </w:tcPr>
          <w:p>
            <w:pPr>
              <w:jc w:val="right"/>
              <w:ind w:right="26"/>
              <w:spacing w:after="0"/>
              <w:rPr>
                <w:sz w:val="20"/>
                <w:szCs w:val="20"/>
                <w:color w:val="auto"/>
              </w:rPr>
            </w:pPr>
            <w:r>
              <w:rPr>
                <w:rFonts w:ascii="Arial" w:cs="Arial" w:eastAsia="Arial" w:hAnsi="Arial"/>
                <w:sz w:val="17"/>
                <w:szCs w:val="17"/>
                <w:color w:val="auto"/>
              </w:rPr>
              <w:t>(in thousands)</w:t>
            </w:r>
          </w:p>
        </w:tc>
        <w:tc>
          <w:tcPr>
            <w:tcW w:w="1060" w:type="dxa"/>
            <w:vAlign w:val="bottom"/>
          </w:tcPr>
          <w:p>
            <w:pPr>
              <w:spacing w:after="0"/>
              <w:rPr>
                <w:sz w:val="17"/>
                <w:szCs w:val="17"/>
                <w:color w:val="auto"/>
              </w:rPr>
            </w:pPr>
          </w:p>
        </w:tc>
      </w:tr>
      <w:tr>
        <w:trPr>
          <w:trHeight w:val="381"/>
        </w:trPr>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16,252</w:t>
            </w:r>
          </w:p>
        </w:tc>
        <w:tc>
          <w:tcPr>
            <w:tcW w:w="120" w:type="dxa"/>
            <w:vAlign w:val="bottom"/>
          </w:tcPr>
          <w:p>
            <w:pPr>
              <w:spacing w:after="0"/>
              <w:rPr>
                <w:sz w:val="24"/>
                <w:szCs w:val="24"/>
                <w:color w:val="auto"/>
              </w:rPr>
            </w:pP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15,767</w:t>
            </w:r>
          </w:p>
        </w:tc>
      </w:tr>
      <w:tr>
        <w:trPr>
          <w:trHeight w:val="202"/>
        </w:trPr>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1,871</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3,868</w:t>
            </w:r>
          </w:p>
        </w:tc>
      </w:tr>
      <w:tr>
        <w:trPr>
          <w:trHeight w:val="202"/>
        </w:trPr>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689</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694</w:t>
            </w:r>
          </w:p>
        </w:tc>
      </w:tr>
      <w:tr>
        <w:trPr>
          <w:trHeight w:val="214"/>
        </w:trPr>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(514)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(982)</w:t>
            </w:r>
          </w:p>
        </w:tc>
      </w:tr>
      <w:tr>
        <w:trPr>
          <w:trHeight w:val="215"/>
        </w:trPr>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1,674</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(3,095)</w:t>
            </w:r>
          </w:p>
        </w:tc>
      </w:tr>
      <w:tr>
        <w:trPr>
          <w:trHeight w:val="208"/>
        </w:trPr>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19,972</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16,252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-947420</wp:posOffset>
            </wp:positionV>
            <wp:extent cx="7255510" cy="1282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5510" cy="12827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-690245</wp:posOffset>
            </wp:positionV>
            <wp:extent cx="7255510" cy="1282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5510" cy="12827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-433070</wp:posOffset>
            </wp:positionV>
            <wp:extent cx="7255510" cy="1282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5510" cy="12827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-168275</wp:posOffset>
            </wp:positionV>
            <wp:extent cx="7255510" cy="152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5510" cy="152400"/>
                    </a:xfrm>
                    <a:prstGeom prst="rect">
                      <a:avLst/>
                    </a:prstGeom>
                    <a:noFill/>
                  </pic:spPr>
                </pic:pic>
              </a:graphicData>
            </a:graphic>
          </wp:anchor>
        </w:drawing>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2016</w:t>
            </w:r>
          </w:p>
        </w:tc>
      </w:tr>
      <w:tr>
        <w:trPr>
          <w:trHeight w:val="207"/>
        </w:trPr>
        <w:tc>
          <w:tcPr>
            <w:tcW w:w="360" w:type="dxa"/>
            <w:vAlign w:val="bottom"/>
          </w:tcPr>
          <w:p>
            <w:pPr>
              <w:spacing w:after="0"/>
              <w:rPr>
                <w:sz w:val="17"/>
                <w:szCs w:val="17"/>
                <w:color w:val="auto"/>
              </w:rPr>
            </w:pPr>
          </w:p>
        </w:tc>
        <w:tc>
          <w:tcPr>
            <w:tcW w:w="1880" w:type="dxa"/>
            <w:vAlign w:val="bottom"/>
            <w:gridSpan w:val="3"/>
          </w:tcPr>
          <w:p>
            <w:pPr>
              <w:ind w:left="820"/>
              <w:spacing w:after="0"/>
              <w:rPr>
                <w:sz w:val="20"/>
                <w:szCs w:val="20"/>
                <w:color w:val="auto"/>
              </w:rPr>
            </w:pPr>
            <w:r>
              <w:rPr>
                <w:rFonts w:ascii="Arial" w:cs="Arial" w:eastAsia="Arial" w:hAnsi="Arial"/>
                <w:sz w:val="17"/>
                <w:szCs w:val="17"/>
                <w:color w:val="auto"/>
                <w:w w:val="96"/>
              </w:rPr>
              <w:t>(in thousands)</w:t>
            </w:r>
          </w:p>
        </w:tc>
        <w:tc>
          <w:tcPr>
            <w:tcW w:w="1060" w:type="dxa"/>
            <w:vAlign w:val="bottom"/>
          </w:tcPr>
          <w:p>
            <w:pPr>
              <w:spacing w:after="0"/>
              <w:rPr>
                <w:sz w:val="17"/>
                <w:szCs w:val="17"/>
                <w:color w:val="auto"/>
              </w:rPr>
            </w:pPr>
          </w:p>
        </w:tc>
      </w:tr>
      <w:tr>
        <w:trPr>
          <w:trHeight w:val="392"/>
        </w:trPr>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(1,154)</w:t>
            </w:r>
          </w:p>
        </w:tc>
        <w:tc>
          <w:tcPr>
            <w:tcW w:w="120" w:type="dxa"/>
            <w:vAlign w:val="bottom"/>
          </w:tcPr>
          <w:p>
            <w:pPr>
              <w:spacing w:after="0"/>
              <w:rPr>
                <w:sz w:val="24"/>
                <w:szCs w:val="24"/>
                <w:color w:val="auto"/>
              </w:rPr>
            </w:pP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(2,962)</w:t>
            </w:r>
          </w:p>
        </w:tc>
      </w:tr>
      <w:tr>
        <w:trPr>
          <w:trHeight w:val="215"/>
        </w:trPr>
        <w:tc>
          <w:tcPr>
            <w:tcW w:w="360" w:type="dxa"/>
            <w:vAlign w:val="bottom"/>
          </w:tcPr>
          <w:p>
            <w:pPr>
              <w:spacing w:after="0"/>
              <w:rPr>
                <w:sz w:val="18"/>
                <w:szCs w:val="18"/>
                <w:color w:val="auto"/>
              </w:rPr>
            </w:pPr>
          </w:p>
        </w:tc>
        <w:tc>
          <w:tcPr>
            <w:tcW w:w="1360" w:type="dxa"/>
            <w:vAlign w:val="bottom"/>
            <w:gridSpan w:val="2"/>
          </w:tcPr>
          <w:p>
            <w:pPr>
              <w:ind w:left="840"/>
              <w:spacing w:after="0"/>
              <w:rPr>
                <w:sz w:val="20"/>
                <w:szCs w:val="20"/>
                <w:color w:val="auto"/>
              </w:rPr>
            </w:pPr>
            <w:r>
              <w:rPr>
                <w:rFonts w:ascii="Arial" w:cs="Arial" w:eastAsia="Arial" w:hAnsi="Arial"/>
                <w:sz w:val="17"/>
                <w:szCs w:val="17"/>
                <w:color w:val="auto"/>
              </w:rPr>
              <w:t>N/A</w:t>
            </w:r>
          </w:p>
        </w:tc>
        <w:tc>
          <w:tcPr>
            <w:tcW w:w="520" w:type="dxa"/>
            <w:vAlign w:val="bottom"/>
          </w:tcPr>
          <w:p>
            <w:pPr>
              <w:spacing w:after="0"/>
              <w:rPr>
                <w:sz w:val="18"/>
                <w:szCs w:val="18"/>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N/A</w:t>
            </w:r>
          </w:p>
        </w:tc>
      </w:tr>
      <w:tr>
        <w:trPr>
          <w:trHeight w:val="208"/>
        </w:trPr>
        <w:tc>
          <w:tcPr>
            <w:tcW w:w="36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(1,154)</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(2,962)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-561975</wp:posOffset>
            </wp:positionV>
            <wp:extent cx="7255510" cy="1282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5510" cy="12827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-304800</wp:posOffset>
            </wp:positionV>
            <wp:extent cx="7255510" cy="1365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5510" cy="13652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7400" w:space="720"/>
            <w:col w:w="3300"/>
          </w:cols>
          <w:pgMar w:left="240" w:top="210" w:right="239" w:bottom="1440" w:gutter="0" w:footer="0" w:header="0"/>
          <w:type w:val="continuous"/>
        </w:sectPr>
      </w:pPr>
    </w:p>
    <w:p>
      <w:pPr>
        <w:ind w:left="420"/>
        <w:spacing w:after="0"/>
        <w:rPr>
          <w:sz w:val="20"/>
          <w:szCs w:val="20"/>
          <w:color w:val="auto"/>
        </w:rPr>
      </w:pPr>
      <w:r>
        <w:rPr>
          <w:rFonts w:ascii="Arial" w:cs="Arial" w:eastAsia="Arial" w:hAnsi="Arial"/>
          <w:sz w:val="15"/>
          <w:szCs w:val="15"/>
          <w:color w:val="auto"/>
        </w:rPr>
        <w:t>The accumulated benefit obligation for all defined benefit pension plans was $21.1 million and $19.2 million at December 31, 2017 and 2016, respectively.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10" w:right="239" w:bottom="1440" w:gutter="0" w:footer="0" w:header="0"/>
          <w:type w:val="continuous"/>
        </w:sectPr>
      </w:pPr>
    </w:p>
    <w:bookmarkStart w:id="72" w:name="page73"/>
    <w:bookmarkEnd w:id="7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amounts recognized in the consolidated balance sheets consist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Deferred income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1282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5510" cy="12827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Other long term liabilities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Net amount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152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5510" cy="152400"/>
                    </a:xfrm>
                    <a:prstGeom prst="rect">
                      <a:avLst/>
                    </a:prstGeom>
                    <a:noFill/>
                  </pic:spPr>
                </pic:pic>
              </a:graphicData>
            </a:graphic>
          </wp:anchor>
        </w:drawing>
      </w:r>
    </w:p>
    <w:p>
      <w:pPr>
        <w:spacing w:after="0" w:line="2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amounts recognized in accumulated other comprehensive loss, net of tax consist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Underfunded status of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1365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5510" cy="1365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Net amount recognized</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weighted average assumptions used in determining the net pension cost for these plans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2016</w:t>
            </w:r>
          </w:p>
        </w:tc>
      </w:tr>
      <w:tr>
        <w:trPr>
          <w:trHeight w:val="183"/>
        </w:trPr>
        <w:tc>
          <w:tcPr>
            <w:tcW w:w="360" w:type="dxa"/>
            <w:vAlign w:val="bottom"/>
          </w:tcPr>
          <w:p>
            <w:pPr>
              <w:spacing w:after="0"/>
              <w:rPr>
                <w:sz w:val="15"/>
                <w:szCs w:val="15"/>
                <w:color w:val="auto"/>
              </w:rPr>
            </w:pPr>
          </w:p>
        </w:tc>
        <w:tc>
          <w:tcPr>
            <w:tcW w:w="1880" w:type="dxa"/>
            <w:vAlign w:val="bottom"/>
            <w:gridSpan w:val="3"/>
          </w:tcPr>
          <w:p>
            <w:pPr>
              <w:jc w:val="right"/>
              <w:ind w:right="26"/>
              <w:spacing w:after="0" w:line="183" w:lineRule="exact"/>
              <w:rPr>
                <w:sz w:val="20"/>
                <w:szCs w:val="20"/>
                <w:color w:val="auto"/>
              </w:rPr>
            </w:pPr>
            <w:r>
              <w:rPr>
                <w:rFonts w:ascii="Arial" w:cs="Arial" w:eastAsia="Arial" w:hAnsi="Arial"/>
                <w:sz w:val="17"/>
                <w:szCs w:val="17"/>
                <w:color w:val="auto"/>
              </w:rPr>
              <w:t>(in thousands)</w:t>
            </w:r>
          </w:p>
        </w:tc>
        <w:tc>
          <w:tcPr>
            <w:tcW w:w="1060" w:type="dxa"/>
            <w:vAlign w:val="bottom"/>
          </w:tcPr>
          <w:p>
            <w:pPr>
              <w:spacing w:after="0"/>
              <w:rPr>
                <w:sz w:val="15"/>
                <w:szCs w:val="15"/>
                <w:color w:val="auto"/>
              </w:rPr>
            </w:pPr>
          </w:p>
        </w:tc>
      </w:tr>
      <w:tr>
        <w:trPr>
          <w:trHeight w:val="214"/>
        </w:trPr>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196</w:t>
            </w:r>
          </w:p>
        </w:tc>
        <w:tc>
          <w:tcPr>
            <w:tcW w:w="120" w:type="dxa"/>
            <w:vAlign w:val="bottom"/>
          </w:tcPr>
          <w:p>
            <w:pPr>
              <w:spacing w:after="0"/>
              <w:rPr>
                <w:sz w:val="18"/>
                <w:szCs w:val="18"/>
                <w:color w:val="auto"/>
              </w:rPr>
            </w:pP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504</w:t>
            </w:r>
          </w:p>
        </w:tc>
      </w:tr>
      <w:tr>
        <w:trPr>
          <w:trHeight w:val="215"/>
        </w:trPr>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(1,154)</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(2,962)</w:t>
            </w:r>
          </w:p>
        </w:tc>
      </w:tr>
      <w:tr>
        <w:trPr>
          <w:trHeight w:val="208"/>
        </w:trPr>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(958)</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(2,458)</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7"/>
                <w:szCs w:val="17"/>
                <w:b w:val="1"/>
                <w:bCs w:val="1"/>
                <w:color w:val="auto"/>
              </w:rPr>
              <w:t>2017</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2016</w:t>
            </w:r>
          </w:p>
        </w:tc>
      </w:tr>
      <w:tr>
        <w:trPr>
          <w:trHeight w:val="195"/>
        </w:trPr>
        <w:tc>
          <w:tcPr>
            <w:tcW w:w="1080" w:type="dxa"/>
            <w:vAlign w:val="bottom"/>
          </w:tcPr>
          <w:p>
            <w:pPr>
              <w:spacing w:after="0"/>
              <w:rPr>
                <w:sz w:val="16"/>
                <w:szCs w:val="16"/>
                <w:color w:val="auto"/>
              </w:rPr>
            </w:pPr>
          </w:p>
        </w:tc>
        <w:tc>
          <w:tcPr>
            <w:tcW w:w="1160" w:type="dxa"/>
            <w:vAlign w:val="bottom"/>
            <w:gridSpan w:val="3"/>
          </w:tcPr>
          <w:p>
            <w:pPr>
              <w:ind w:left="100"/>
              <w:spacing w:after="0"/>
              <w:rPr>
                <w:sz w:val="20"/>
                <w:szCs w:val="20"/>
                <w:color w:val="auto"/>
              </w:rPr>
            </w:pPr>
            <w:r>
              <w:rPr>
                <w:rFonts w:ascii="Arial" w:cs="Arial" w:eastAsia="Arial" w:hAnsi="Arial"/>
                <w:sz w:val="17"/>
                <w:szCs w:val="17"/>
                <w:color w:val="auto"/>
                <w:w w:val="96"/>
              </w:rPr>
              <w:t>(in thousands)</w:t>
            </w:r>
          </w:p>
        </w:tc>
        <w:tc>
          <w:tcPr>
            <w:tcW w:w="1060" w:type="dxa"/>
            <w:vAlign w:val="bottom"/>
          </w:tcPr>
          <w:p>
            <w:pPr>
              <w:spacing w:after="0"/>
              <w:rPr>
                <w:sz w:val="16"/>
                <w:szCs w:val="16"/>
                <w:color w:val="auto"/>
              </w:rPr>
            </w:pPr>
          </w:p>
        </w:tc>
      </w:tr>
      <w:tr>
        <w:trPr>
          <w:trHeight w:val="215"/>
        </w:trPr>
        <w:tc>
          <w:tcPr>
            <w:tcW w:w="1080" w:type="dxa"/>
            <w:vAlign w:val="bottom"/>
            <w:tcBorders>
              <w:bottom w:val="single" w:sz="8" w:color="auto"/>
            </w:tcBorders>
          </w:tcPr>
          <w:p>
            <w:pPr>
              <w:jc w:val="right"/>
              <w:ind w:right="923"/>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(958)</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(2,458)</w:t>
            </w:r>
          </w:p>
        </w:tc>
      </w:tr>
      <w:tr>
        <w:trPr>
          <w:trHeight w:val="208"/>
        </w:trPr>
        <w:tc>
          <w:tcPr>
            <w:tcW w:w="1080" w:type="dxa"/>
            <w:vAlign w:val="bottom"/>
            <w:tcBorders>
              <w:bottom w:val="single" w:sz="8" w:color="auto"/>
            </w:tcBorders>
          </w:tcPr>
          <w:p>
            <w:pPr>
              <w:jc w:val="right"/>
              <w:ind w:right="923"/>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(958)</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(2,458)</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562" w:lineRule="exact"/>
        <w:rPr>
          <w:sz w:val="20"/>
          <w:szCs w:val="20"/>
          <w:color w:val="auto"/>
        </w:rPr>
      </w:pPr>
    </w:p>
    <w:p>
      <w:pPr>
        <w:sectPr>
          <w:pgSz w:w="11900" w:h="16838" w:orient="portrait"/>
          <w:cols w:equalWidth="0" w:num="2">
            <w:col w:w="7400" w:space="720"/>
            <w:col w:w="3300"/>
          </w:cols>
          <w:pgMar w:left="240" w:top="228" w:right="239" w:bottom="1440" w:gutter="0" w:footer="0" w:header="0"/>
        </w:sectPr>
      </w:pPr>
    </w:p>
    <w:p>
      <w:pPr>
        <w:spacing w:after="0" w:line="41" w:lineRule="exact"/>
        <w:rPr>
          <w:sz w:val="20"/>
          <w:szCs w:val="20"/>
          <w:color w:val="auto"/>
        </w:rPr>
      </w:pPr>
    </w:p>
    <w:p>
      <w:pPr>
        <w:ind w:left="7940"/>
        <w:spacing w:after="0"/>
        <w:rPr>
          <w:sz w:val="20"/>
          <w:szCs w:val="20"/>
          <w:color w:val="auto"/>
        </w:rPr>
      </w:pPr>
      <w:r>
        <w:rPr>
          <w:rFonts w:ascii="Arial" w:cs="Arial" w:eastAsia="Arial" w:hAnsi="Arial"/>
          <w:sz w:val="17"/>
          <w:szCs w:val="17"/>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20" w:type="dxa"/>
            <w:vAlign w:val="bottom"/>
            <w:gridSpan w:val="2"/>
          </w:tcPr>
          <w:p>
            <w:pPr>
              <w:spacing w:after="0"/>
              <w:rPr>
                <w:sz w:val="18"/>
                <w:szCs w:val="18"/>
                <w:color w:val="auto"/>
              </w:rPr>
            </w:pP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2017</w:t>
            </w:r>
          </w:p>
        </w:tc>
        <w:tc>
          <w:tcPr>
            <w:tcW w:w="17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rPr>
              <w:t>2016</w:t>
            </w: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3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Discount rate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7"/>
                <w:szCs w:val="17"/>
                <w:color w:val="auto"/>
              </w:rPr>
              <w:t>Expected return on assets</w:t>
            </w:r>
          </w:p>
        </w:tc>
        <w:tc>
          <w:tcPr>
            <w:tcW w:w="540" w:type="dxa"/>
            <w:vAlign w:val="bottom"/>
          </w:tcPr>
          <w:p>
            <w:pPr>
              <w:jc w:val="right"/>
              <w:spacing w:after="0"/>
              <w:rPr>
                <w:sz w:val="20"/>
                <w:szCs w:val="20"/>
                <w:color w:val="auto"/>
              </w:rPr>
            </w:pPr>
            <w:r>
              <w:rPr>
                <w:rFonts w:ascii="Arial" w:cs="Arial" w:eastAsia="Arial" w:hAnsi="Arial"/>
                <w:sz w:val="17"/>
                <w:szCs w:val="17"/>
                <w:color w:val="auto"/>
              </w:rPr>
              <w:t>3.86%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4.68%</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right="300" w:firstLine="413"/>
        <w:spacing w:after="0" w:line="277" w:lineRule="auto"/>
        <w:rPr>
          <w:sz w:val="20"/>
          <w:szCs w:val="20"/>
          <w:color w:val="auto"/>
        </w:rPr>
      </w:pPr>
      <w:r>
        <w:rPr>
          <w:rFonts w:ascii="Arial" w:cs="Arial" w:eastAsia="Arial" w:hAnsi="Arial"/>
          <w:sz w:val="16"/>
          <w:szCs w:val="16"/>
          <w:color w:val="auto"/>
        </w:rPr>
        <w:t>The discount rate assumptions used for pension accounting reflect the prevailing rates available on high-quality, fixed-income debt instruments with terms that match the average expected duration of the Company’s defined benefit pension plan obligations. The Company uses the iBoxx AA 15yr+ index, which matches the average duration of its pension plan liability of approximately 15 years. With the current base of assets in the pension plans, a one percent increase/decrease in the discount rate assumption would decrease/increase annual pension expense by approximately $12,000.</w:t>
      </w:r>
    </w:p>
    <w:p>
      <w:pPr>
        <w:spacing w:after="0" w:line="163" w:lineRule="exact"/>
        <w:rPr>
          <w:sz w:val="20"/>
          <w:szCs w:val="20"/>
          <w:color w:val="auto"/>
        </w:rPr>
      </w:pPr>
    </w:p>
    <w:p>
      <w:pPr>
        <w:ind w:right="60" w:firstLine="413"/>
        <w:spacing w:after="0" w:line="301" w:lineRule="auto"/>
        <w:rPr>
          <w:sz w:val="20"/>
          <w:szCs w:val="20"/>
          <w:color w:val="auto"/>
        </w:rPr>
      </w:pPr>
      <w:r>
        <w:rPr>
          <w:rFonts w:ascii="Arial" w:cs="Arial" w:eastAsia="Arial" w:hAnsi="Arial"/>
          <w:sz w:val="15"/>
          <w:szCs w:val="15"/>
          <w:color w:val="auto"/>
        </w:rPr>
        <w:t>The Company’s mix of pension plan investments among asset classes also affects the long-term expected rate of return on plan assets. As of December 31, 2017, the Company’s actual asset mix approximated its target mix. Differences between actual and expected returns are recognized in the calculation of net periodic pension (income)/cost over the average remaining expected future working lifetime, which is approximately 15 years, of active plan participants. With the current base of assets, a one percent increase/decrease in the asset return assumption would decrease/increase annual pension expense by approximately $200,000.</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fair value and asset allocations of the Company’s pension benefits as of December 31, 2017 and 2016 measurement dates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6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7"/>
                <w:szCs w:val="17"/>
                <w:b w:val="1"/>
                <w:bCs w:val="1"/>
                <w:color w:val="auto"/>
              </w:rPr>
              <w:t>December 31,</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08"/>
        </w:trPr>
        <w:tc>
          <w:tcPr>
            <w:tcW w:w="46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7"/>
                <w:szCs w:val="17"/>
                <w:b w:val="1"/>
                <w:bCs w:val="1"/>
                <w:color w:val="auto"/>
              </w:rPr>
              <w:t>2017</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1416"/>
              <w:spacing w:after="0"/>
              <w:rPr>
                <w:sz w:val="20"/>
                <w:szCs w:val="20"/>
                <w:color w:val="auto"/>
              </w:rPr>
            </w:pPr>
            <w:r>
              <w:rPr>
                <w:rFonts w:ascii="Arial" w:cs="Arial" w:eastAsia="Arial" w:hAnsi="Arial"/>
                <w:sz w:val="17"/>
                <w:szCs w:val="17"/>
                <w:b w:val="1"/>
                <w:bCs w:val="1"/>
                <w:color w:val="auto"/>
                <w:w w:val="84"/>
              </w:rPr>
              <w:t>2016</w:t>
            </w:r>
          </w:p>
        </w:tc>
      </w:tr>
      <w:tr>
        <w:trPr>
          <w:trHeight w:val="195"/>
        </w:trPr>
        <w:tc>
          <w:tcPr>
            <w:tcW w:w="4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20" w:type="dxa"/>
            <w:vAlign w:val="bottom"/>
            <w:gridSpan w:val="3"/>
          </w:tcPr>
          <w:p>
            <w:pPr>
              <w:jc w:val="right"/>
              <w:ind w:right="320"/>
              <w:spacing w:after="0"/>
              <w:rPr>
                <w:sz w:val="20"/>
                <w:szCs w:val="20"/>
                <w:color w:val="auto"/>
              </w:rPr>
            </w:pPr>
            <w:r>
              <w:rPr>
                <w:rFonts w:ascii="Arial" w:cs="Arial" w:eastAsia="Arial" w:hAnsi="Arial"/>
                <w:sz w:val="17"/>
                <w:szCs w:val="17"/>
                <w:color w:val="auto"/>
              </w:rPr>
              <w:t>(in thousands)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2"/>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Asset category:</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2"/>
        </w:trPr>
        <w:tc>
          <w:tcPr>
            <w:tcW w:w="4640" w:type="dxa"/>
            <w:vAlign w:val="bottom"/>
          </w:tcPr>
          <w:p>
            <w:pPr>
              <w:ind w:left="160"/>
              <w:spacing w:after="0"/>
              <w:rPr>
                <w:sz w:val="20"/>
                <w:szCs w:val="20"/>
                <w:color w:val="auto"/>
              </w:rPr>
            </w:pPr>
            <w:r>
              <w:rPr>
                <w:rFonts w:ascii="Arial" w:cs="Arial" w:eastAsia="Arial" w:hAnsi="Arial"/>
                <w:sz w:val="17"/>
                <w:szCs w:val="17"/>
                <w:color w:val="auto"/>
              </w:rPr>
              <w:t>Equity securities</w:t>
            </w:r>
          </w:p>
        </w:tc>
        <w:tc>
          <w:tcPr>
            <w:tcW w:w="500" w:type="dxa"/>
            <w:vAlign w:val="bottom"/>
          </w:tcPr>
          <w:p>
            <w:pPr>
              <w:jc w:val="right"/>
              <w:ind w:right="34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10,774</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54%</w:t>
            </w:r>
          </w:p>
        </w:tc>
        <w:tc>
          <w:tcPr>
            <w:tcW w:w="84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8,577</w:t>
            </w: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53%</w:t>
            </w:r>
          </w:p>
        </w:tc>
      </w:tr>
      <w:tr>
        <w:trPr>
          <w:trHeight w:val="202"/>
        </w:trPr>
        <w:tc>
          <w:tcPr>
            <w:tcW w:w="4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Debt securities</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3,204</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7,447</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02"/>
        </w:trPr>
        <w:tc>
          <w:tcPr>
            <w:tcW w:w="4640" w:type="dxa"/>
            <w:vAlign w:val="bottom"/>
          </w:tcPr>
          <w:p>
            <w:pPr>
              <w:ind w:left="160"/>
              <w:spacing w:after="0"/>
              <w:rPr>
                <w:sz w:val="20"/>
                <w:szCs w:val="20"/>
                <w:color w:val="auto"/>
              </w:rPr>
            </w:pPr>
            <w:r>
              <w:rPr>
                <w:rFonts w:ascii="Arial" w:cs="Arial" w:eastAsia="Arial" w:hAnsi="Arial"/>
                <w:sz w:val="17"/>
                <w:szCs w:val="17"/>
                <w:color w:val="auto"/>
              </w:rPr>
              <w:t>Liability driven investment funds</w:t>
            </w:r>
          </w:p>
        </w:tc>
        <w:tc>
          <w:tcPr>
            <w:tcW w:w="500" w:type="dxa"/>
            <w:vAlign w:val="bottom"/>
          </w:tcPr>
          <w:p>
            <w:pPr>
              <w:spacing w:after="0"/>
              <w:rPr>
                <w:sz w:val="17"/>
                <w:szCs w:val="17"/>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4,685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0%</w:t>
            </w:r>
          </w:p>
        </w:tc>
      </w:tr>
      <w:tr>
        <w:trPr>
          <w:trHeight w:val="202"/>
        </w:trPr>
        <w:tc>
          <w:tcPr>
            <w:tcW w:w="4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856</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5"/>
        </w:trPr>
        <w:tc>
          <w:tcPr>
            <w:tcW w:w="464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Other</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453</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r>
      <w:tr>
        <w:trPr>
          <w:trHeight w:val="208"/>
        </w:trPr>
        <w:tc>
          <w:tcPr>
            <w:tcW w:w="4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19,972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4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16,252</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788"/>
        </w:trPr>
        <w:tc>
          <w:tcPr>
            <w:tcW w:w="4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gridSpan w:val="3"/>
          </w:tcPr>
          <w:p>
            <w:pPr>
              <w:jc w:val="right"/>
              <w:ind w:right="1120"/>
              <w:spacing w:after="0"/>
              <w:rPr>
                <w:sz w:val="20"/>
                <w:szCs w:val="20"/>
                <w:color w:val="auto"/>
              </w:rPr>
            </w:pPr>
            <w:r>
              <w:rPr>
                <w:rFonts w:ascii="Arial" w:cs="Arial" w:eastAsia="Arial" w:hAnsi="Arial"/>
                <w:sz w:val="17"/>
                <w:szCs w:val="17"/>
                <w:color w:val="auto"/>
              </w:rPr>
              <w:t>F-29</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64"/>
        </w:trPr>
        <w:tc>
          <w:tcPr>
            <w:tcW w:w="464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228" w:right="239" w:bottom="1440" w:gutter="0" w:footer="0" w:header="0"/>
          <w:type w:val="continuous"/>
        </w:sectPr>
      </w:pPr>
    </w:p>
    <w:bookmarkStart w:id="73" w:name="page74"/>
    <w:bookmarkEnd w:id="7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Financial reporting standards define a fair value hierarchy that consists of three levels. The fair values of the plan assets by fair value hierarchy level as of</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and 2016 is as follows:</w:t>
      </w:r>
    </w:p>
    <w:p>
      <w:pPr>
        <w:sectPr>
          <w:pgSz w:w="11900" w:h="16838" w:orient="portrait"/>
          <w:cols w:equalWidth="0" w:num="1">
            <w:col w:w="11420"/>
          </w:cols>
          <w:pgMar w:left="240" w:top="22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auto"/>
        </w:rPr>
        <w:t>Quoted Prices in Active Markets for Identical Assets (Level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7255510" cy="1282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5510" cy="12827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Significant Other Observable Inputs (Level 2)</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Significant Other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255510" cy="1365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5510" cy="13652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2016</w:t>
            </w:r>
          </w:p>
        </w:tc>
      </w:tr>
      <w:tr>
        <w:trPr>
          <w:trHeight w:val="183"/>
        </w:trPr>
        <w:tc>
          <w:tcPr>
            <w:tcW w:w="360" w:type="dxa"/>
            <w:vAlign w:val="bottom"/>
          </w:tcPr>
          <w:p>
            <w:pPr>
              <w:spacing w:after="0"/>
              <w:rPr>
                <w:sz w:val="15"/>
                <w:szCs w:val="15"/>
                <w:color w:val="auto"/>
              </w:rPr>
            </w:pPr>
          </w:p>
        </w:tc>
        <w:tc>
          <w:tcPr>
            <w:tcW w:w="1880" w:type="dxa"/>
            <w:vAlign w:val="bottom"/>
            <w:gridSpan w:val="3"/>
          </w:tcPr>
          <w:p>
            <w:pPr>
              <w:jc w:val="right"/>
              <w:ind w:right="26"/>
              <w:spacing w:after="0" w:line="183" w:lineRule="exact"/>
              <w:rPr>
                <w:sz w:val="20"/>
                <w:szCs w:val="20"/>
                <w:color w:val="auto"/>
              </w:rPr>
            </w:pPr>
            <w:r>
              <w:rPr>
                <w:rFonts w:ascii="Arial" w:cs="Arial" w:eastAsia="Arial" w:hAnsi="Arial"/>
                <w:sz w:val="17"/>
                <w:szCs w:val="17"/>
                <w:color w:val="auto"/>
              </w:rPr>
              <w:t>(in thousands)</w:t>
            </w:r>
          </w:p>
        </w:tc>
        <w:tc>
          <w:tcPr>
            <w:tcW w:w="1060" w:type="dxa"/>
            <w:vAlign w:val="bottom"/>
          </w:tcPr>
          <w:p>
            <w:pPr>
              <w:spacing w:after="0"/>
              <w:rPr>
                <w:sz w:val="15"/>
                <w:szCs w:val="15"/>
                <w:color w:val="auto"/>
              </w:rPr>
            </w:pPr>
          </w:p>
        </w:tc>
      </w:tr>
      <w:tr>
        <w:trPr>
          <w:trHeight w:val="202"/>
        </w:trPr>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856</w:t>
            </w:r>
          </w:p>
        </w:tc>
        <w:tc>
          <w:tcPr>
            <w:tcW w:w="120" w:type="dxa"/>
            <w:vAlign w:val="bottom"/>
          </w:tcPr>
          <w:p>
            <w:pPr>
              <w:spacing w:after="0"/>
              <w:rPr>
                <w:sz w:val="17"/>
                <w:szCs w:val="17"/>
                <w:color w:val="auto"/>
              </w:rPr>
            </w:pP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228</w:t>
            </w:r>
          </w:p>
        </w:tc>
      </w:tr>
      <w:tr>
        <w:trPr>
          <w:trHeight w:val="214"/>
        </w:trPr>
        <w:tc>
          <w:tcPr>
            <w:tcW w:w="360" w:type="dxa"/>
            <w:vAlign w:val="bottom"/>
          </w:tcPr>
          <w:p>
            <w:pPr>
              <w:spacing w:after="0"/>
              <w:rPr>
                <w:sz w:val="18"/>
                <w:szCs w:val="18"/>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19,116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16,024</w:t>
            </w:r>
          </w:p>
        </w:tc>
      </w:tr>
      <w:tr>
        <w:trPr>
          <w:trHeight w:val="215"/>
        </w:trPr>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r>
      <w:tr>
        <w:trPr>
          <w:trHeight w:val="208"/>
        </w:trPr>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19,972</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16,252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ectPr>
          <w:pgSz w:w="11900" w:h="16838" w:orient="portrait"/>
          <w:cols w:equalWidth="0" w:num="2">
            <w:col w:w="7400" w:space="720"/>
            <w:col w:w="3300"/>
          </w:cols>
          <w:pgMar w:left="240" w:top="228" w:right="239" w:bottom="1440" w:gutter="0" w:footer="0" w:header="0"/>
          <w:type w:val="continuous"/>
        </w:sectPr>
      </w:pPr>
    </w:p>
    <w:p>
      <w:pPr>
        <w:ind w:right="100" w:firstLine="413"/>
        <w:spacing w:after="0" w:line="283" w:lineRule="auto"/>
        <w:rPr>
          <w:sz w:val="20"/>
          <w:szCs w:val="20"/>
          <w:color w:val="auto"/>
        </w:rPr>
      </w:pPr>
      <w:r>
        <w:rPr>
          <w:rFonts w:ascii="Arial" w:cs="Arial" w:eastAsia="Arial" w:hAnsi="Arial"/>
          <w:sz w:val="16"/>
          <w:szCs w:val="16"/>
          <w:color w:val="auto"/>
        </w:rPr>
        <w:t>Level 1 assets consist of cash and cash equivalents held in the pension plans at December 31, 2017. The Level 2 assets primarily consist of investments in private investment funds that are valued using the net asset values provided by the trust or fund, including an insurance contract. Although these funds are not traded in an active market with quoted prices, the investments underlying the net asset value are based on quoted prices.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expects to contribute approximately $0.7 million to its pension plans during 2018.</w:t>
      </w:r>
    </w:p>
    <w:p>
      <w:pPr>
        <w:spacing w:after="0" w:line="209" w:lineRule="exact"/>
        <w:rPr>
          <w:sz w:val="20"/>
          <w:szCs w:val="20"/>
          <w:color w:val="auto"/>
        </w:rPr>
      </w:pPr>
    </w:p>
    <w:p>
      <w:pPr>
        <w:ind w:right="120" w:firstLine="456"/>
        <w:spacing w:after="0" w:line="260" w:lineRule="auto"/>
        <w:rPr>
          <w:sz w:val="20"/>
          <w:szCs w:val="20"/>
          <w:color w:val="auto"/>
        </w:rPr>
      </w:pPr>
      <w:r>
        <w:rPr>
          <w:rFonts w:ascii="Arial" w:cs="Arial" w:eastAsia="Arial" w:hAnsi="Arial"/>
          <w:sz w:val="17"/>
          <w:szCs w:val="17"/>
          <w:color w:val="auto"/>
        </w:rPr>
        <w:t>The benefits expected to be paid from the pension plans are $0.5 million in 2018, $0.6 million in 2019, $0.6 million in 2020, $0.6 million in 2021 and $0.7 million in 2022. The expected benefits to be paid in the five years from 2023—2027 are $4.2 million. The expected benefits are based on the same assumptions used to measure the Company’s benefit obligation at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Commitments and Contingent Liabilities</w:t>
      </w:r>
    </w:p>
    <w:p>
      <w:pPr>
        <w:spacing w:after="0" w:line="315" w:lineRule="exact"/>
        <w:rPr>
          <w:sz w:val="20"/>
          <w:szCs w:val="20"/>
          <w:color w:val="auto"/>
        </w:rPr>
      </w:pPr>
    </w:p>
    <w:p>
      <w:pPr>
        <w:ind w:firstLine="413"/>
        <w:spacing w:after="0" w:line="271" w:lineRule="auto"/>
        <w:rPr>
          <w:sz w:val="20"/>
          <w:szCs w:val="20"/>
          <w:color w:val="auto"/>
        </w:rPr>
      </w:pPr>
      <w:r>
        <w:rPr>
          <w:rFonts w:ascii="Arial" w:cs="Arial" w:eastAsia="Arial" w:hAnsi="Arial"/>
          <w:sz w:val="17"/>
          <w:szCs w:val="17"/>
          <w:color w:val="auto"/>
        </w:rPr>
        <w:t>From time to time, the Company may be involved in various claims and legal proceedings arising in the ordinary course of business. The Company is not currently a party to any such material claims or proceedings.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Capital Stock</w:t>
      </w:r>
    </w:p>
    <w:p>
      <w:pPr>
        <w:spacing w:after="0" w:line="31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Common Stock</w:t>
      </w:r>
    </w:p>
    <w:p>
      <w:pPr>
        <w:spacing w:after="0" w:line="209" w:lineRule="exact"/>
        <w:rPr>
          <w:sz w:val="20"/>
          <w:szCs w:val="20"/>
          <w:color w:val="auto"/>
        </w:rPr>
      </w:pPr>
    </w:p>
    <w:p>
      <w:pPr>
        <w:ind w:right="40" w:firstLine="413"/>
        <w:spacing w:after="0" w:line="288" w:lineRule="auto"/>
        <w:rPr>
          <w:sz w:val="20"/>
          <w:szCs w:val="20"/>
          <w:color w:val="auto"/>
        </w:rPr>
      </w:pPr>
      <w:r>
        <w:rPr>
          <w:rFonts w:ascii="Arial" w:cs="Arial" w:eastAsia="Arial" w:hAnsi="Arial"/>
          <w:sz w:val="15"/>
          <w:szCs w:val="15"/>
          <w:color w:val="auto"/>
        </w:rPr>
        <w:t>On February 5, 2008, the Company’s Board of Directors adopted a Shareholder Rights Plan and declared a dividend distribution of one preferred stock purchase right for each outstanding share of the Company’s common stock to shareholders of record as of the close of business on February 6, 2008. Initially, these rights would not be exercisable and would trade with the shares of the Company’s common stock. Under the Shareholder Rights Plan, the rights generally would become exercisable if a person became an “acquiring person” by acquiring 20% or more of the common stock of the Company or if a person commences a tender offer that could result in that person owning 20% or more of the common stock of the Company. If a person became an acquiring person, each holder of a right (other than the acquiring person) would be entitled to purchase, at the then-current exercise price, such number of shares of preferred stock which are equivalent to shares of the Company’s common stock having a value of twice the exercise price of the right. If the Company were acquired in a merger or other business combination transaction after any such event, each holder of a right would then be entitled to purchase, at the then-current exercise price, shares of the acquiring company’s common stock having a value of twice the exercise price of the right. The Shareholder Rights Plan expired in accordance with its terms on the close of business on February 6, 2018.</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Preferred Stock</w:t>
      </w:r>
    </w:p>
    <w:p>
      <w:pPr>
        <w:spacing w:after="0" w:line="209" w:lineRule="exact"/>
        <w:rPr>
          <w:sz w:val="20"/>
          <w:szCs w:val="20"/>
          <w:color w:val="auto"/>
        </w:rPr>
      </w:pPr>
    </w:p>
    <w:p>
      <w:pPr>
        <w:jc w:val="both"/>
        <w:ind w:firstLine="413"/>
        <w:spacing w:after="0" w:line="260" w:lineRule="auto"/>
        <w:rPr>
          <w:sz w:val="20"/>
          <w:szCs w:val="20"/>
          <w:color w:val="auto"/>
        </w:rPr>
      </w:pPr>
      <w:r>
        <w:rPr>
          <w:rFonts w:ascii="Arial" w:cs="Arial" w:eastAsia="Arial" w:hAnsi="Arial"/>
          <w:sz w:val="17"/>
          <w:szCs w:val="17"/>
          <w:color w:val="auto"/>
        </w:rPr>
        <w:t>The Company’s Board of Directors has the authority to issue up to 5.0 million shares of preferred stock and to determine the price privileges and other terms of the shares. The Board of Directors may exercise this authority without any further approval of stockholders. As of December 31, 2017, the Company had no preferred stock issued or outstanding.</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Employee Stock Purchase Plan (as amended, the “ESPP”)</w:t>
      </w:r>
    </w:p>
    <w:p>
      <w:pPr>
        <w:spacing w:after="0" w:line="209" w:lineRule="exact"/>
        <w:rPr>
          <w:sz w:val="20"/>
          <w:szCs w:val="20"/>
          <w:color w:val="auto"/>
        </w:rPr>
      </w:pPr>
    </w:p>
    <w:p>
      <w:pPr>
        <w:ind w:right="20" w:firstLine="413"/>
        <w:spacing w:after="0" w:line="271" w:lineRule="auto"/>
        <w:rPr>
          <w:sz w:val="20"/>
          <w:szCs w:val="20"/>
          <w:color w:val="auto"/>
        </w:rPr>
      </w:pPr>
      <w:r>
        <w:rPr>
          <w:rFonts w:ascii="Arial" w:cs="Arial" w:eastAsia="Arial" w:hAnsi="Arial"/>
          <w:sz w:val="16"/>
          <w:szCs w:val="16"/>
          <w:color w:val="auto"/>
        </w:rPr>
        <w:t>In 2000, the Company approved the ESPP. Under this ESPP, participating employees can authorize the Company to withhold a portion of their base pay during consecutive six-month payment periods for the purchase of shares of the Company’s common stock. At the conclusion of the period, participating employees can purchase shares of the Company’s common stock at 85% of the lower of the fair market value of the Company’s common stock at the beginning or end of the period. Shares are issued under the ESPP for the six-month periods ending June 30 and December 31. Under this plan, 1,050,000 shares of common stock are authorized for issuance of which 801,454 shares were issued as of December 31, 2017. During the years ended December 31, 2017, 2016 and 2015, the Company issued 76,215 shares, 81,228 shares and 58,823 shares, respectively, of the Company’s common stock under the ESPP.</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type w:val="continuous"/>
        </w:sectPr>
      </w:pPr>
    </w:p>
    <w:bookmarkStart w:id="74" w:name="page75"/>
    <w:bookmarkEnd w:id="7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Third Amended and Restated 2000 Stock Option and Incentive Plan (as amended, the “Third A&amp;R Plan”)</w:t>
      </w:r>
    </w:p>
    <w:p>
      <w:pPr>
        <w:spacing w:after="0" w:line="209" w:lineRule="exact"/>
        <w:rPr>
          <w:sz w:val="20"/>
          <w:szCs w:val="20"/>
          <w:color w:val="auto"/>
        </w:rPr>
      </w:pPr>
    </w:p>
    <w:p>
      <w:pPr>
        <w:jc w:val="both"/>
        <w:ind w:right="20" w:firstLine="413"/>
        <w:spacing w:after="0" w:line="260" w:lineRule="auto"/>
        <w:rPr>
          <w:sz w:val="20"/>
          <w:szCs w:val="20"/>
          <w:color w:val="auto"/>
        </w:rPr>
      </w:pPr>
      <w:r>
        <w:rPr>
          <w:rFonts w:ascii="Arial" w:cs="Arial" w:eastAsia="Arial" w:hAnsi="Arial"/>
          <w:sz w:val="17"/>
          <w:szCs w:val="17"/>
          <w:color w:val="auto"/>
        </w:rPr>
        <w:t>The Second Amendment to the Third A&amp;R Plan (the “Amendment”) was adopted by the Board of Directors on April 3, 2015. Such Amendment was approved by the stockholders at the Company’s 2015 Annual Meeting of Stockholders. Pursuant to the Amendment, the aggregate number of shares authorized for issuance under the Third A&amp;R Plan was increased by 2,500,000 shares to 17,508,929.</w:t>
      </w:r>
    </w:p>
    <w:p>
      <w:pPr>
        <w:spacing w:after="0" w:line="174" w:lineRule="exact"/>
        <w:rPr>
          <w:sz w:val="20"/>
          <w:szCs w:val="20"/>
          <w:color w:val="auto"/>
        </w:rPr>
      </w:pPr>
    </w:p>
    <w:p>
      <w:pPr>
        <w:ind w:right="20" w:firstLine="413"/>
        <w:spacing w:after="0" w:line="260" w:lineRule="auto"/>
        <w:rPr>
          <w:sz w:val="20"/>
          <w:szCs w:val="20"/>
          <w:color w:val="auto"/>
        </w:rPr>
      </w:pPr>
      <w:r>
        <w:rPr>
          <w:rFonts w:ascii="Arial" w:cs="Arial" w:eastAsia="Arial" w:hAnsi="Arial"/>
          <w:sz w:val="17"/>
          <w:szCs w:val="17"/>
          <w:color w:val="auto"/>
        </w:rPr>
        <w:t>Through December 31, 2017, 2016 and 2015, incentive stock options to purchase 10,218,057 shares and non-qualified stock options to purchase 13,369,074, 13,131,374 and 13,088,374 shares, respectively, had been granted to employees and directors under the Stock Plans. Generally, both the incentive stock options and non-qualified stock options become fully vested over a range of one to four-year periods.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Restricted Stock Units with a Market Condition (the “Market Condition RSU’s”)</w:t>
      </w:r>
    </w:p>
    <w:p>
      <w:pPr>
        <w:spacing w:after="0" w:line="209" w:lineRule="exact"/>
        <w:rPr>
          <w:sz w:val="20"/>
          <w:szCs w:val="20"/>
          <w:color w:val="auto"/>
        </w:rPr>
      </w:pPr>
    </w:p>
    <w:p>
      <w:pPr>
        <w:ind w:right="100" w:firstLine="413"/>
        <w:spacing w:after="0" w:line="273" w:lineRule="auto"/>
        <w:rPr>
          <w:sz w:val="20"/>
          <w:szCs w:val="20"/>
          <w:color w:val="auto"/>
        </w:rPr>
      </w:pPr>
      <w:r>
        <w:rPr>
          <w:rFonts w:ascii="Arial" w:cs="Arial" w:eastAsia="Arial" w:hAnsi="Arial"/>
          <w:sz w:val="16"/>
          <w:szCs w:val="16"/>
          <w:color w:val="auto"/>
        </w:rPr>
        <w:t>On August 3, 2015, the Compensation Committee of the Board of Directors of the Company approved and granted deferred stock awards of Market Condition RSU’s to members of the Company’s management team under the Third A&amp;R Plan. The vesting of these Market Condition RSU’s is cliff-based and linked to the achievement of a relative total shareholder return of the Company’s common stock from August 3, 2015 to the earlier of (i) August 3, 2018 or (ii) upon a change of control (measured relative to the Russell 3000 index and based on the 20-day trading average price before each such date). As of December 31, 2017, the target number of these restricted stock units that may be earned is 164,127 shares; the maximum amount is 150% of the target number.</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Stock-Based Payment Awards</w:t>
      </w:r>
    </w:p>
    <w:p>
      <w:pPr>
        <w:spacing w:after="0" w:line="209" w:lineRule="exact"/>
        <w:rPr>
          <w:sz w:val="20"/>
          <w:szCs w:val="20"/>
          <w:color w:val="auto"/>
        </w:rPr>
      </w:pPr>
    </w:p>
    <w:p>
      <w:pPr>
        <w:ind w:right="340" w:firstLine="456"/>
        <w:spacing w:after="0" w:line="260" w:lineRule="auto"/>
        <w:rPr>
          <w:sz w:val="20"/>
          <w:szCs w:val="20"/>
          <w:color w:val="auto"/>
        </w:rPr>
      </w:pPr>
      <w:r>
        <w:rPr>
          <w:rFonts w:ascii="Arial" w:cs="Arial" w:eastAsia="Arial" w:hAnsi="Arial"/>
          <w:sz w:val="17"/>
          <w:szCs w:val="17"/>
          <w:color w:val="auto"/>
        </w:rPr>
        <w:t>The Company accounts for stock-based payment awards in accordance with the provisions of FASB ASC 718, which requires it to recognize compensation expense for all stock-based payment awards made to employees and directors including stock options, restricted stock units, Market Condition RSU’s and employee stock purchases related to the ESPP.</w:t>
      </w:r>
    </w:p>
    <w:p>
      <w:pPr>
        <w:spacing w:after="0" w:line="174" w:lineRule="exact"/>
        <w:rPr>
          <w:sz w:val="20"/>
          <w:szCs w:val="20"/>
          <w:color w:val="auto"/>
        </w:rPr>
      </w:pPr>
    </w:p>
    <w:p>
      <w:pPr>
        <w:ind w:right="180" w:firstLine="456"/>
        <w:spacing w:after="0" w:line="339" w:lineRule="auto"/>
        <w:rPr>
          <w:sz w:val="20"/>
          <w:szCs w:val="20"/>
          <w:color w:val="auto"/>
        </w:rPr>
      </w:pPr>
      <w:r>
        <w:rPr>
          <w:rFonts w:ascii="Arial" w:cs="Arial" w:eastAsia="Arial" w:hAnsi="Arial"/>
          <w:sz w:val="15"/>
          <w:szCs w:val="15"/>
          <w:color w:val="auto"/>
        </w:rPr>
        <w:t>FASB ASC 718 requires companies to estimate the fair value of stock-based payment awards, except restricted stock units, on the date of grant using an option-pricing model. The value of the award is recognized as expense as it vests over the requisite service periods in the Company’s consolidated statements of operations.</w:t>
      </w:r>
    </w:p>
    <w:p>
      <w:pPr>
        <w:spacing w:after="0" w:line="120"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The Company adopted ASU 2016-09 as of January 1, 2017. As disclosed in footnote 2, as a result of this adoption, the Company has elected as an accounting policy to account for forfeitures for service based awards as they occur, with no adjustment for estimated forfeitures. The Company recognized as of January 1, 2017, a cumulative effect adjustment of $0.1 million to reduce retained earnings as required under the modified retrospective approach.</w:t>
      </w:r>
    </w:p>
    <w:p>
      <w:pPr>
        <w:spacing w:after="0" w:line="159" w:lineRule="exact"/>
        <w:rPr>
          <w:sz w:val="20"/>
          <w:szCs w:val="20"/>
          <w:color w:val="auto"/>
        </w:rPr>
      </w:pPr>
    </w:p>
    <w:p>
      <w:pPr>
        <w:ind w:right="80" w:firstLine="413"/>
        <w:spacing w:after="0" w:line="296" w:lineRule="auto"/>
        <w:rPr>
          <w:sz w:val="20"/>
          <w:szCs w:val="20"/>
          <w:color w:val="auto"/>
        </w:rPr>
      </w:pPr>
      <w:r>
        <w:rPr>
          <w:rFonts w:ascii="Arial" w:cs="Arial" w:eastAsia="Arial" w:hAnsi="Arial"/>
          <w:sz w:val="15"/>
          <w:szCs w:val="15"/>
          <w:color w:val="auto"/>
        </w:rPr>
        <w:t>The Company values stock-based payment awards, except restricted stock units, using the Black-Scholes option-pricing model. The Company values the Market Condition RSU’s using a Monte-Carlo valuation simulation. The determination of fair value of stock-based payment awards on the date of grant using an option-pricing model or Monte-Carlo valuation simulation is affected by its stock price as well as assumptions regarding certain variables. These variables include, but are not limited to its expected stock price volatility over the term of the awards and actual and projected stock option exercise behaviors. The Company records stock compensation expense on a straight-line basis over the requisite service period for all awards granted since the adoption of FASB ASC 718.</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Earnings per share</w:t>
      </w:r>
    </w:p>
    <w:p>
      <w:pPr>
        <w:spacing w:after="0" w:line="209" w:lineRule="exact"/>
        <w:rPr>
          <w:sz w:val="20"/>
          <w:szCs w:val="20"/>
          <w:color w:val="auto"/>
        </w:rPr>
      </w:pPr>
    </w:p>
    <w:p>
      <w:pPr>
        <w:jc w:val="both"/>
        <w:ind w:right="200" w:firstLine="413"/>
        <w:spacing w:after="0" w:line="283" w:lineRule="auto"/>
        <w:rPr>
          <w:sz w:val="20"/>
          <w:szCs w:val="20"/>
          <w:color w:val="auto"/>
        </w:rPr>
      </w:pPr>
      <w:r>
        <w:rPr>
          <w:rFonts w:ascii="Arial" w:cs="Arial" w:eastAsia="Arial" w:hAnsi="Arial"/>
          <w:sz w:val="16"/>
          <w:szCs w:val="16"/>
          <w:color w:val="auto"/>
        </w:rPr>
        <w:t>Basic earnings per share is based upon net income divided by the number of weighted average common shares outstanding during the period. The calculation of diluted earnings per share assumes conversion of stock options, restricted stock units and Market Condition RSU’s into common stock using the treasury method. The weighted average number of shares used to compute basic and diluted earnings per share consists of the following:</w:t>
      </w:r>
    </w:p>
    <w:p>
      <w:pPr>
        <w:sectPr>
          <w:pgSz w:w="11900" w:h="16838" w:orient="portrait"/>
          <w:cols w:equalWidth="0" w:num="1">
            <w:col w:w="11420"/>
          </w:cols>
          <w:pgMar w:left="240" w:top="22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1282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5510" cy="128270"/>
                    </a:xfrm>
                    <a:prstGeom prst="rect">
                      <a:avLst/>
                    </a:prstGeom>
                    <a:noFill/>
                  </pic:spPr>
                </pic:pic>
              </a:graphicData>
            </a:graphic>
          </wp:anchor>
        </w:drawing>
      </w:r>
    </w:p>
    <w:p>
      <w:pPr>
        <w:spacing w:after="0" w:line="249" w:lineRule="auto"/>
        <w:rPr>
          <w:sz w:val="20"/>
          <w:szCs w:val="20"/>
          <w:color w:val="auto"/>
        </w:rPr>
      </w:pPr>
      <w:r>
        <w:rPr>
          <w:rFonts w:ascii="Arial" w:cs="Arial" w:eastAsia="Arial" w:hAnsi="Arial"/>
          <w:sz w:val="17"/>
          <w:szCs w:val="17"/>
          <w:color w:val="auto"/>
        </w:rPr>
        <w:t>Effect of assumed conversion of employee and director stock options, restricted stock units and Market Condition RSU's</w:t>
      </w:r>
    </w:p>
    <w:p>
      <w:pPr>
        <w:spacing w:after="0"/>
        <w:rPr>
          <w:sz w:val="20"/>
          <w:szCs w:val="20"/>
          <w:color w:val="auto"/>
        </w:rPr>
      </w:pPr>
      <w:r>
        <w:rPr>
          <w:rFonts w:ascii="Arial" w:cs="Arial" w:eastAsia="Arial" w:hAnsi="Arial"/>
          <w:sz w:val="17"/>
          <w:szCs w:val="17"/>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152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5510" cy="152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560"/>
        <w:spacing w:after="0"/>
        <w:rPr>
          <w:sz w:val="20"/>
          <w:szCs w:val="20"/>
          <w:color w:val="auto"/>
        </w:rPr>
      </w:pPr>
      <w:r>
        <w:rPr>
          <w:rFonts w:ascii="Arial" w:cs="Arial" w:eastAsia="Arial" w:hAnsi="Arial"/>
          <w:sz w:val="17"/>
          <w:szCs w:val="17"/>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6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2015</w:t>
            </w:r>
          </w:p>
        </w:tc>
      </w:tr>
      <w:tr>
        <w:trPr>
          <w:trHeight w:val="397"/>
        </w:trPr>
        <w:tc>
          <w:tcPr>
            <w:tcW w:w="1600" w:type="dxa"/>
            <w:vAlign w:val="bottom"/>
          </w:tcPr>
          <w:p>
            <w:pPr>
              <w:jc w:val="right"/>
              <w:ind w:right="36"/>
              <w:spacing w:after="0"/>
              <w:rPr>
                <w:sz w:val="20"/>
                <w:szCs w:val="20"/>
                <w:color w:val="auto"/>
              </w:rPr>
            </w:pPr>
            <w:r>
              <w:rPr>
                <w:rFonts w:ascii="Arial" w:cs="Arial" w:eastAsia="Arial" w:hAnsi="Arial"/>
                <w:sz w:val="17"/>
                <w:szCs w:val="17"/>
                <w:color w:val="auto"/>
              </w:rPr>
              <w:t>34,753,325</w:t>
            </w:r>
          </w:p>
        </w:tc>
        <w:tc>
          <w:tcPr>
            <w:tcW w:w="100" w:type="dxa"/>
            <w:vAlign w:val="bottom"/>
          </w:tcPr>
          <w:p>
            <w:pPr>
              <w:spacing w:after="0"/>
              <w:rPr>
                <w:sz w:val="24"/>
                <w:szCs w:val="24"/>
                <w:color w:val="auto"/>
              </w:rPr>
            </w:pPr>
          </w:p>
        </w:tc>
        <w:tc>
          <w:tcPr>
            <w:tcW w:w="1600" w:type="dxa"/>
            <w:vAlign w:val="bottom"/>
          </w:tcPr>
          <w:p>
            <w:pPr>
              <w:jc w:val="right"/>
              <w:ind w:right="36"/>
              <w:spacing w:after="0"/>
              <w:rPr>
                <w:sz w:val="20"/>
                <w:szCs w:val="20"/>
                <w:color w:val="auto"/>
              </w:rPr>
            </w:pPr>
            <w:r>
              <w:rPr>
                <w:rFonts w:ascii="Arial" w:cs="Arial" w:eastAsia="Arial" w:hAnsi="Arial"/>
                <w:sz w:val="17"/>
                <w:szCs w:val="17"/>
                <w:color w:val="auto"/>
              </w:rPr>
              <w:t>34,211,521</w:t>
            </w:r>
          </w:p>
        </w:tc>
        <w:tc>
          <w:tcPr>
            <w:tcW w:w="120" w:type="dxa"/>
            <w:vAlign w:val="bottom"/>
          </w:tcPr>
          <w:p>
            <w:pPr>
              <w:spacing w:after="0"/>
              <w:rPr>
                <w:sz w:val="24"/>
                <w:szCs w:val="24"/>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33,592,775</w:t>
            </w:r>
          </w:p>
        </w:tc>
      </w:tr>
      <w:tr>
        <w:trPr>
          <w:trHeight w:val="418"/>
        </w:trPr>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15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r>
      <w:tr>
        <w:trPr>
          <w:trHeight w:val="208"/>
        </w:trPr>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34,753,325</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34,211,521</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33,592,775</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40" w:space="280"/>
            <w:col w:w="5000"/>
          </w:cols>
          <w:pgMar w:left="240" w:top="228" w:right="239" w:bottom="1440" w:gutter="0" w:footer="0" w:header="0"/>
          <w:type w:val="continuous"/>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7255510"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type w:val="continuous"/>
        </w:sectPr>
      </w:pPr>
    </w:p>
    <w:bookmarkStart w:id="75" w:name="page76"/>
    <w:bookmarkEnd w:id="7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300" w:firstLine="413"/>
        <w:spacing w:after="0" w:line="260" w:lineRule="auto"/>
        <w:rPr>
          <w:sz w:val="20"/>
          <w:szCs w:val="20"/>
          <w:color w:val="auto"/>
        </w:rPr>
      </w:pPr>
      <w:r>
        <w:rPr>
          <w:rFonts w:ascii="Arial" w:cs="Arial" w:eastAsia="Arial" w:hAnsi="Arial"/>
          <w:sz w:val="17"/>
          <w:szCs w:val="17"/>
          <w:color w:val="auto"/>
        </w:rPr>
        <w:t>Excluded from the shares used in calculating the diluted earnings per common share in the above table are options, restricted stock units and Market Condition RSU’s of approximately 5,741,298, 5,351,261 and 5,521,283 shares of common stock for the years ended December 31, 2017, 2016 and 2015, respectively, as the impact of these shares would be anti-dilutive.</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General Option Information</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is a summary of stock option and the restricted stock unit activity: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300" w:type="dxa"/>
            <w:vAlign w:val="bottom"/>
            <w:gridSpan w:val="5"/>
          </w:tcPr>
          <w:p>
            <w:pPr>
              <w:ind w:left="540"/>
              <w:spacing w:after="0"/>
              <w:rPr>
                <w:sz w:val="20"/>
                <w:szCs w:val="20"/>
                <w:color w:val="auto"/>
              </w:rPr>
            </w:pPr>
            <w:r>
              <w:rPr>
                <w:rFonts w:ascii="Arial" w:cs="Arial" w:eastAsia="Arial" w:hAnsi="Arial"/>
                <w:sz w:val="17"/>
                <w:szCs w:val="17"/>
                <w:b w:val="1"/>
                <w:bCs w:val="1"/>
                <w:color w:val="auto"/>
              </w:rPr>
              <w:t>Stock Options</w:t>
            </w:r>
          </w:p>
        </w:tc>
        <w:tc>
          <w:tcPr>
            <w:tcW w:w="2240" w:type="dxa"/>
            <w:vAlign w:val="bottom"/>
            <w:gridSpan w:val="5"/>
          </w:tcPr>
          <w:p>
            <w:pPr>
              <w:ind w:left="200"/>
              <w:spacing w:after="0"/>
              <w:rPr>
                <w:sz w:val="20"/>
                <w:szCs w:val="20"/>
                <w:color w:val="auto"/>
              </w:rPr>
            </w:pPr>
            <w:r>
              <w:rPr>
                <w:rFonts w:ascii="Arial" w:cs="Arial" w:eastAsia="Arial" w:hAnsi="Arial"/>
                <w:sz w:val="17"/>
                <w:szCs w:val="17"/>
                <w:b w:val="1"/>
                <w:bCs w:val="1"/>
                <w:color w:val="auto"/>
              </w:rPr>
              <w:t>Restricted Stock Units</w:t>
            </w:r>
          </w:p>
        </w:tc>
        <w:tc>
          <w:tcPr>
            <w:tcW w:w="2340" w:type="dxa"/>
            <w:vAlign w:val="bottom"/>
            <w:gridSpan w:val="4"/>
          </w:tcPr>
          <w:p>
            <w:pPr>
              <w:jc w:val="right"/>
              <w:ind w:right="176"/>
              <w:spacing w:after="0"/>
              <w:rPr>
                <w:sz w:val="20"/>
                <w:szCs w:val="20"/>
                <w:color w:val="auto"/>
              </w:rPr>
            </w:pPr>
            <w:r>
              <w:rPr>
                <w:rFonts w:ascii="Arial" w:cs="Arial" w:eastAsia="Arial" w:hAnsi="Arial"/>
                <w:sz w:val="17"/>
                <w:szCs w:val="17"/>
                <w:b w:val="1"/>
                <w:bCs w:val="1"/>
                <w:color w:val="auto"/>
              </w:rPr>
              <w:t>Market Condition RSU's</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center"/>
              <w:ind w:right="16"/>
              <w:spacing w:after="0" w:line="180" w:lineRule="exact"/>
              <w:rPr>
                <w:sz w:val="20"/>
                <w:szCs w:val="20"/>
                <w:color w:val="auto"/>
              </w:rPr>
            </w:pPr>
            <w:r>
              <w:rPr>
                <w:rFonts w:ascii="Arial" w:cs="Arial" w:eastAsia="Arial" w:hAnsi="Arial"/>
                <w:sz w:val="17"/>
                <w:szCs w:val="17"/>
                <w:b w:val="1"/>
                <w:bCs w:val="1"/>
                <w:color w:val="auto"/>
                <w:w w:val="91"/>
              </w:rPr>
              <w:t>Weighted</w:t>
            </w:r>
          </w:p>
        </w:tc>
        <w:tc>
          <w:tcPr>
            <w:tcW w:w="2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auto"/>
                <w:w w:val="86"/>
              </w:rPr>
              <w:t>Stock</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6"/>
              </w:rPr>
              <w:t>Average</w:t>
            </w: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88"/>
              </w:rPr>
              <w:t>Restricted</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8"/>
              </w:rPr>
              <w:t>Market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auto"/>
                <w:w w:val="90"/>
              </w:rPr>
              <w:t>Options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Exercise</w:t>
            </w: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87"/>
              </w:rPr>
              <w:t>Stock Units</w:t>
            </w:r>
          </w:p>
        </w:tc>
        <w:tc>
          <w:tcPr>
            <w:tcW w:w="2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4"/>
              </w:rPr>
              <w:t>Grant Date</w:t>
            </w: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1"/>
              </w:rPr>
              <w:t>Condition RSU's</w:t>
            </w: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auto"/>
                <w:w w:val="96"/>
              </w:rPr>
              <w:t>Grant Date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Price</w:t>
            </w: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220" w:type="dxa"/>
            <w:vAlign w:val="bottom"/>
          </w:tcPr>
          <w:p>
            <w:pPr>
              <w:spacing w:after="0"/>
              <w:rPr>
                <w:sz w:val="19"/>
                <w:szCs w:val="19"/>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3"/>
              </w:rPr>
              <w:t>Fair Value</w:t>
            </w: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5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2014</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6,263,112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3.42</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306,397</w:t>
            </w:r>
          </w:p>
        </w:tc>
        <w:tc>
          <w:tcPr>
            <w:tcW w:w="52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4.30</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ind w:left="140"/>
              <w:spacing w:after="0"/>
              <w:rPr>
                <w:sz w:val="20"/>
                <w:szCs w:val="20"/>
                <w:color w:val="auto"/>
              </w:rPr>
            </w:pPr>
            <w:r>
              <w:rPr>
                <w:rFonts w:ascii="Arial" w:cs="Arial" w:eastAsia="Arial" w:hAnsi="Arial"/>
                <w:sz w:val="17"/>
                <w:szCs w:val="17"/>
                <w:color w:val="auto"/>
              </w:rPr>
              <w:t>Granted</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945,000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5.31</w:t>
            </w:r>
          </w:p>
        </w:tc>
        <w:tc>
          <w:tcPr>
            <w:tcW w:w="220" w:type="dxa"/>
            <w:vAlign w:val="bottom"/>
          </w:tcPr>
          <w:p>
            <w:pPr>
              <w:spacing w:after="0"/>
              <w:rPr>
                <w:sz w:val="17"/>
                <w:szCs w:val="17"/>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254,685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5.56</w:t>
            </w:r>
          </w:p>
        </w:tc>
        <w:tc>
          <w:tcPr>
            <w:tcW w:w="200" w:type="dxa"/>
            <w:vAlign w:val="bottom"/>
          </w:tcPr>
          <w:p>
            <w:pPr>
              <w:spacing w:after="0"/>
              <w:rPr>
                <w:sz w:val="17"/>
                <w:szCs w:val="17"/>
                <w:color w:val="auto"/>
              </w:rPr>
            </w:pPr>
          </w:p>
        </w:tc>
        <w:tc>
          <w:tcPr>
            <w:tcW w:w="1220" w:type="dxa"/>
            <w:vAlign w:val="bottom"/>
          </w:tcPr>
          <w:p>
            <w:pPr>
              <w:jc w:val="right"/>
              <w:ind w:right="76"/>
              <w:spacing w:after="0"/>
              <w:rPr>
                <w:sz w:val="20"/>
                <w:szCs w:val="20"/>
                <w:color w:val="auto"/>
              </w:rPr>
            </w:pPr>
            <w:r>
              <w:rPr>
                <w:rFonts w:ascii="Arial" w:cs="Arial" w:eastAsia="Arial" w:hAnsi="Arial"/>
                <w:sz w:val="17"/>
                <w:szCs w:val="17"/>
                <w:color w:val="auto"/>
              </w:rPr>
              <w:t>196,785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Exercised</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(1,772,062)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3.04</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ind w:left="140"/>
              <w:spacing w:after="0"/>
              <w:rPr>
                <w:sz w:val="20"/>
                <w:szCs w:val="20"/>
                <w:color w:val="auto"/>
              </w:rPr>
            </w:pPr>
            <w:r>
              <w:rPr>
                <w:rFonts w:ascii="Arial" w:cs="Arial" w:eastAsia="Arial" w:hAnsi="Arial"/>
                <w:sz w:val="17"/>
                <w:szCs w:val="17"/>
                <w:color w:val="auto"/>
              </w:rPr>
              <w:t>Vested (RSUs)</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(237,188)</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5.65</w:t>
            </w:r>
          </w:p>
        </w:tc>
        <w:tc>
          <w:tcPr>
            <w:tcW w:w="200" w:type="dxa"/>
            <w:vAlign w:val="bottom"/>
          </w:tcPr>
          <w:p>
            <w:pPr>
              <w:spacing w:after="0"/>
              <w:rPr>
                <w:sz w:val="17"/>
                <w:szCs w:val="17"/>
                <w:color w:val="auto"/>
              </w:rPr>
            </w:pPr>
          </w:p>
        </w:tc>
        <w:tc>
          <w:tcPr>
            <w:tcW w:w="12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Cancelled / forfeited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(413,864)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4.15</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(10,335)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5.56</w:t>
            </w:r>
          </w:p>
        </w:tc>
        <w:tc>
          <w:tcPr>
            <w:tcW w:w="2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(11,247)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195"/>
        </w:trPr>
        <w:tc>
          <w:tcPr>
            <w:tcW w:w="4540" w:type="dxa"/>
            <w:vAlign w:val="bottom"/>
            <w:gridSpan w:val="2"/>
          </w:tcPr>
          <w:p>
            <w:pPr>
              <w:spacing w:after="0"/>
              <w:rPr>
                <w:sz w:val="20"/>
                <w:szCs w:val="20"/>
                <w:color w:val="auto"/>
              </w:rPr>
            </w:pPr>
            <w:r>
              <w:rPr>
                <w:rFonts w:ascii="Arial" w:cs="Arial" w:eastAsia="Arial" w:hAnsi="Arial"/>
                <w:sz w:val="17"/>
                <w:szCs w:val="17"/>
                <w:color w:val="auto"/>
              </w:rPr>
              <w:t>Balance at December 31, 2015</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5,022,186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3.85</w:t>
            </w:r>
          </w:p>
        </w:tc>
        <w:tc>
          <w:tcPr>
            <w:tcW w:w="22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313,559</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5.29</w:t>
            </w:r>
          </w:p>
        </w:tc>
        <w:tc>
          <w:tcPr>
            <w:tcW w:w="20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Arial" w:cs="Arial" w:eastAsia="Arial" w:hAnsi="Arial"/>
                <w:sz w:val="17"/>
                <w:szCs w:val="17"/>
                <w:color w:val="auto"/>
              </w:rPr>
              <w:t>185,538</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Granted</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43,000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3.10</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1,095,190</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2.92</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ind w:left="140"/>
              <w:spacing w:after="0"/>
              <w:rPr>
                <w:sz w:val="20"/>
                <w:szCs w:val="20"/>
                <w:color w:val="auto"/>
              </w:rPr>
            </w:pPr>
            <w:r>
              <w:rPr>
                <w:rFonts w:ascii="Arial" w:cs="Arial" w:eastAsia="Arial" w:hAnsi="Arial"/>
                <w:sz w:val="17"/>
                <w:szCs w:val="17"/>
                <w:color w:val="auto"/>
              </w:rPr>
              <w:t>Exercised</w:t>
            </w:r>
          </w:p>
        </w:tc>
        <w:tc>
          <w:tcPr>
            <w:tcW w:w="960" w:type="dxa"/>
            <w:vAlign w:val="bottom"/>
          </w:tcPr>
          <w:p>
            <w:pPr>
              <w:jc w:val="right"/>
              <w:spacing w:after="0"/>
              <w:rPr>
                <w:sz w:val="20"/>
                <w:szCs w:val="20"/>
                <w:color w:val="auto"/>
              </w:rPr>
            </w:pPr>
            <w:r>
              <w:rPr>
                <w:rFonts w:ascii="Arial" w:cs="Arial" w:eastAsia="Arial" w:hAnsi="Arial"/>
                <w:sz w:val="17"/>
                <w:szCs w:val="17"/>
                <w:color w:val="auto"/>
              </w:rPr>
              <w:t>(374,772)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2.80</w:t>
            </w:r>
          </w:p>
        </w:tc>
        <w:tc>
          <w:tcPr>
            <w:tcW w:w="220" w:type="dxa"/>
            <w:vAlign w:val="bottom"/>
          </w:tcPr>
          <w:p>
            <w:pPr>
              <w:spacing w:after="0"/>
              <w:rPr>
                <w:sz w:val="17"/>
                <w:szCs w:val="17"/>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Vested (RSUs)</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(301,520)</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4.45</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Cancelled / forfeited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(593,596)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ind w:right="36"/>
              <w:spacing w:after="0"/>
              <w:rPr>
                <w:sz w:val="20"/>
                <w:szCs w:val="20"/>
                <w:color w:val="auto"/>
              </w:rPr>
            </w:pPr>
            <w:r>
              <w:rPr>
                <w:rFonts w:ascii="Arial" w:cs="Arial" w:eastAsia="Arial" w:hAnsi="Arial"/>
                <w:sz w:val="17"/>
                <w:szCs w:val="17"/>
                <w:color w:val="auto"/>
              </w:rPr>
              <w:t>3.84</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(34,576)</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ind w:right="36"/>
              <w:spacing w:after="0"/>
              <w:rPr>
                <w:sz w:val="20"/>
                <w:szCs w:val="20"/>
                <w:color w:val="auto"/>
              </w:rPr>
            </w:pPr>
            <w:r>
              <w:rPr>
                <w:rFonts w:ascii="Arial" w:cs="Arial" w:eastAsia="Arial" w:hAnsi="Arial"/>
                <w:sz w:val="17"/>
                <w:szCs w:val="17"/>
                <w:color w:val="auto"/>
              </w:rPr>
              <w:t>3.89</w:t>
            </w: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(3,388)</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ind w:right="16"/>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2016</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4,096,818</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3.94</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1,072,653</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3.15</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182,150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ind w:left="140"/>
              <w:spacing w:after="0"/>
              <w:rPr>
                <w:sz w:val="20"/>
                <w:szCs w:val="20"/>
                <w:color w:val="auto"/>
              </w:rPr>
            </w:pPr>
            <w:r>
              <w:rPr>
                <w:rFonts w:ascii="Arial" w:cs="Arial" w:eastAsia="Arial" w:hAnsi="Arial"/>
                <w:sz w:val="17"/>
                <w:szCs w:val="17"/>
                <w:color w:val="auto"/>
              </w:rPr>
              <w:t>Granted</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237,700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3.24</w:t>
            </w:r>
          </w:p>
        </w:tc>
        <w:tc>
          <w:tcPr>
            <w:tcW w:w="220" w:type="dxa"/>
            <w:vAlign w:val="bottom"/>
          </w:tcPr>
          <w:p>
            <w:pPr>
              <w:spacing w:after="0"/>
              <w:rPr>
                <w:sz w:val="17"/>
                <w:szCs w:val="17"/>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1,298,371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2.49</w:t>
            </w:r>
          </w:p>
        </w:tc>
        <w:tc>
          <w:tcPr>
            <w:tcW w:w="200" w:type="dxa"/>
            <w:vAlign w:val="bottom"/>
          </w:tcPr>
          <w:p>
            <w:pPr>
              <w:spacing w:after="0"/>
              <w:rPr>
                <w:sz w:val="17"/>
                <w:szCs w:val="17"/>
                <w:color w:val="auto"/>
              </w:rPr>
            </w:pPr>
          </w:p>
        </w:tc>
        <w:tc>
          <w:tcPr>
            <w:tcW w:w="12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Exercised</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(143,391)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2.48</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ind w:left="140"/>
              <w:spacing w:after="0"/>
              <w:rPr>
                <w:sz w:val="20"/>
                <w:szCs w:val="20"/>
                <w:color w:val="auto"/>
              </w:rPr>
            </w:pPr>
            <w:r>
              <w:rPr>
                <w:rFonts w:ascii="Arial" w:cs="Arial" w:eastAsia="Arial" w:hAnsi="Arial"/>
                <w:sz w:val="17"/>
                <w:szCs w:val="17"/>
                <w:color w:val="auto"/>
              </w:rPr>
              <w:t>Vested (RSUs)</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(488,570)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3.08</w:t>
            </w:r>
          </w:p>
        </w:tc>
        <w:tc>
          <w:tcPr>
            <w:tcW w:w="200" w:type="dxa"/>
            <w:vAlign w:val="bottom"/>
          </w:tcPr>
          <w:p>
            <w:pPr>
              <w:spacing w:after="0"/>
              <w:rPr>
                <w:sz w:val="17"/>
                <w:szCs w:val="17"/>
                <w:color w:val="auto"/>
              </w:rPr>
            </w:pPr>
          </w:p>
        </w:tc>
        <w:tc>
          <w:tcPr>
            <w:tcW w:w="12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Cancelled / forfeited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(410,883)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3.93</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(85,527)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3.05</w:t>
            </w:r>
          </w:p>
        </w:tc>
        <w:tc>
          <w:tcPr>
            <w:tcW w:w="2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(18,023)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08"/>
        </w:trPr>
        <w:tc>
          <w:tcPr>
            <w:tcW w:w="4540" w:type="dxa"/>
            <w:vAlign w:val="bottom"/>
            <w:gridSpan w:val="2"/>
          </w:tcPr>
          <w:p>
            <w:pPr>
              <w:spacing w:after="0"/>
              <w:rPr>
                <w:sz w:val="20"/>
                <w:szCs w:val="20"/>
                <w:color w:val="auto"/>
              </w:rPr>
            </w:pPr>
            <w:r>
              <w:rPr>
                <w:rFonts w:ascii="Arial" w:cs="Arial" w:eastAsia="Arial" w:hAnsi="Arial"/>
                <w:sz w:val="17"/>
                <w:szCs w:val="17"/>
                <w:color w:val="auto"/>
              </w:rPr>
              <w:t>Balance at December 31, 2017</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3,780,244</w:t>
            </w:r>
          </w:p>
        </w:tc>
        <w:tc>
          <w:tcPr>
            <w:tcW w:w="3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800" w:type="dxa"/>
            <w:vAlign w:val="bottom"/>
          </w:tcPr>
          <w:p>
            <w:pPr>
              <w:jc w:val="right"/>
              <w:ind w:right="36"/>
              <w:spacing w:after="0" w:line="194" w:lineRule="exact"/>
              <w:rPr>
                <w:sz w:val="20"/>
                <w:szCs w:val="20"/>
                <w:color w:val="auto"/>
              </w:rPr>
            </w:pPr>
            <w:r>
              <w:rPr>
                <w:rFonts w:ascii="Arial" w:cs="Arial" w:eastAsia="Arial" w:hAnsi="Arial"/>
                <w:sz w:val="17"/>
                <w:szCs w:val="17"/>
                <w:color w:val="auto"/>
              </w:rPr>
              <w:t>3.95</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1,796,927</w:t>
            </w:r>
          </w:p>
        </w:tc>
        <w:tc>
          <w:tcPr>
            <w:tcW w:w="520" w:type="dxa"/>
            <w:vAlign w:val="bottom"/>
            <w:gridSpan w:val="2"/>
          </w:tcPr>
          <w:p>
            <w:pPr>
              <w:jc w:val="right"/>
              <w:ind w:right="136"/>
              <w:spacing w:after="0" w:line="194" w:lineRule="exact"/>
              <w:rPr>
                <w:sz w:val="20"/>
                <w:szCs w:val="20"/>
                <w:color w:val="auto"/>
              </w:rPr>
            </w:pPr>
            <w:r>
              <w:rPr>
                <w:rFonts w:ascii="Arial" w:cs="Arial" w:eastAsia="Arial" w:hAnsi="Arial"/>
                <w:sz w:val="17"/>
                <w:szCs w:val="17"/>
                <w:color w:val="auto"/>
              </w:rPr>
              <w:t>$</w:t>
            </w:r>
          </w:p>
        </w:tc>
        <w:tc>
          <w:tcPr>
            <w:tcW w:w="620" w:type="dxa"/>
            <w:vAlign w:val="bottom"/>
          </w:tcPr>
          <w:p>
            <w:pPr>
              <w:jc w:val="right"/>
              <w:ind w:right="36"/>
              <w:spacing w:after="0" w:line="194" w:lineRule="exact"/>
              <w:rPr>
                <w:sz w:val="20"/>
                <w:szCs w:val="20"/>
                <w:color w:val="auto"/>
              </w:rPr>
            </w:pPr>
            <w:r>
              <w:rPr>
                <w:rFonts w:ascii="Arial" w:cs="Arial" w:eastAsia="Arial" w:hAnsi="Arial"/>
                <w:sz w:val="17"/>
                <w:szCs w:val="17"/>
                <w:color w:val="auto"/>
              </w:rPr>
              <w:t>2.69</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164,127</w:t>
            </w:r>
          </w:p>
        </w:tc>
        <w:tc>
          <w:tcPr>
            <w:tcW w:w="500" w:type="dxa"/>
            <w:vAlign w:val="bottom"/>
            <w:gridSpan w:val="2"/>
          </w:tcPr>
          <w:p>
            <w:pPr>
              <w:jc w:val="right"/>
              <w:ind w:right="116"/>
              <w:spacing w:after="0" w:line="194" w:lineRule="exact"/>
              <w:rPr>
                <w:sz w:val="20"/>
                <w:szCs w:val="20"/>
                <w:color w:val="auto"/>
              </w:rPr>
            </w:pPr>
            <w:r>
              <w:rPr>
                <w:rFonts w:ascii="Arial" w:cs="Arial" w:eastAsia="Arial" w:hAnsi="Arial"/>
                <w:sz w:val="17"/>
                <w:szCs w:val="17"/>
                <w:color w:val="auto"/>
              </w:rPr>
              <w:t>$</w:t>
            </w:r>
          </w:p>
        </w:tc>
        <w:tc>
          <w:tcPr>
            <w:tcW w:w="620" w:type="dxa"/>
            <w:vAlign w:val="bottom"/>
          </w:tcPr>
          <w:p>
            <w:pPr>
              <w:jc w:val="right"/>
              <w:ind w:right="16"/>
              <w:spacing w:after="0" w:line="194" w:lineRule="exact"/>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80" w:firstLine="413"/>
        <w:spacing w:after="0" w:line="271" w:lineRule="auto"/>
        <w:rPr>
          <w:sz w:val="20"/>
          <w:szCs w:val="20"/>
          <w:color w:val="auto"/>
        </w:rPr>
      </w:pPr>
      <w:r>
        <w:rPr>
          <w:rFonts w:ascii="Arial" w:cs="Arial" w:eastAsia="Arial" w:hAnsi="Arial"/>
          <w:sz w:val="17"/>
          <w:szCs w:val="17"/>
          <w:color w:val="auto"/>
        </w:rPr>
        <w:t>The Company’s policy is to issue stock available from its registered but unissued stock pool through its transfer agent to satisfy stock option exercises and vesting of the restricted stock units.</w:t>
      </w:r>
    </w:p>
    <w:p>
      <w:pPr>
        <w:spacing w:after="0" w:line="166" w:lineRule="exact"/>
        <w:rPr>
          <w:sz w:val="20"/>
          <w:szCs w:val="20"/>
          <w:color w:val="auto"/>
        </w:rPr>
      </w:pPr>
    </w:p>
    <w:p>
      <w:pPr>
        <w:ind w:right="340" w:firstLine="413"/>
        <w:spacing w:after="0" w:line="271" w:lineRule="auto"/>
        <w:rPr>
          <w:sz w:val="20"/>
          <w:szCs w:val="20"/>
          <w:color w:val="auto"/>
        </w:rPr>
      </w:pPr>
      <w:r>
        <w:rPr>
          <w:rFonts w:ascii="Arial" w:cs="Arial" w:eastAsia="Arial" w:hAnsi="Arial"/>
          <w:sz w:val="17"/>
          <w:szCs w:val="17"/>
          <w:color w:val="auto"/>
        </w:rPr>
        <w:t>The following table summarizes information concerning currently outstanding and exercisable options as of December 31, 2017 (Aggregate Intrinsic Value,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5"/>
          </w:tcPr>
          <w:p>
            <w:pPr>
              <w:ind w:left="80"/>
              <w:spacing w:after="0"/>
              <w:rPr>
                <w:sz w:val="20"/>
                <w:szCs w:val="20"/>
                <w:color w:val="auto"/>
              </w:rPr>
            </w:pPr>
            <w:r>
              <w:rPr>
                <w:rFonts w:ascii="Arial" w:cs="Arial" w:eastAsia="Arial" w:hAnsi="Arial"/>
                <w:sz w:val="17"/>
                <w:szCs w:val="17"/>
                <w:b w:val="1"/>
                <w:bCs w:val="1"/>
                <w:color w:val="auto"/>
              </w:rPr>
              <w:t>Options Outstanding</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7"/>
                <w:szCs w:val="17"/>
                <w:b w:val="1"/>
                <w:bCs w:val="1"/>
                <w:color w:val="auto"/>
                <w:w w:val="88"/>
              </w:rPr>
              <w:t>Options Exercisable</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80"/>
              <w:spacing w:after="0" w:line="179" w:lineRule="exact"/>
              <w:rPr>
                <w:sz w:val="20"/>
                <w:szCs w:val="20"/>
                <w:color w:val="auto"/>
              </w:rPr>
            </w:pPr>
            <w:r>
              <w:rPr>
                <w:rFonts w:ascii="Arial" w:cs="Arial" w:eastAsia="Arial" w:hAnsi="Arial"/>
                <w:sz w:val="17"/>
                <w:szCs w:val="17"/>
                <w:b w:val="1"/>
                <w:bCs w:val="1"/>
                <w:color w:val="auto"/>
                <w:w w:val="88"/>
              </w:rPr>
              <w:t>Weighted</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spacing w:after="0" w:line="179" w:lineRule="exact"/>
              <w:rPr>
                <w:sz w:val="20"/>
                <w:szCs w:val="20"/>
                <w:color w:val="auto"/>
              </w:rPr>
            </w:pPr>
            <w:r>
              <w:rPr>
                <w:rFonts w:ascii="Arial" w:cs="Arial" w:eastAsia="Arial" w:hAnsi="Arial"/>
                <w:sz w:val="17"/>
                <w:szCs w:val="17"/>
                <w:b w:val="1"/>
                <w:bCs w:val="1"/>
                <w:color w:val="auto"/>
                <w:w w:val="88"/>
              </w:rPr>
              <w:t>Weighted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6"/>
              </w:rPr>
              <w:t>Average</w:t>
            </w:r>
          </w:p>
        </w:tc>
        <w:tc>
          <w:tcPr>
            <w:tcW w:w="74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88"/>
              </w:rPr>
              <w:t>Weighted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86"/>
              </w:rPr>
              <w:t>Average</w:t>
            </w:r>
          </w:p>
        </w:tc>
        <w:tc>
          <w:tcPr>
            <w:tcW w:w="880" w:type="dxa"/>
            <w:vAlign w:val="bottom"/>
            <w:gridSpan w:val="4"/>
          </w:tcPr>
          <w:p>
            <w:pPr>
              <w:jc w:val="center"/>
              <w:spacing w:after="0"/>
              <w:rPr>
                <w:sz w:val="20"/>
                <w:szCs w:val="20"/>
                <w:color w:val="auto"/>
              </w:rPr>
            </w:pPr>
            <w:r>
              <w:rPr>
                <w:rFonts w:ascii="Arial" w:cs="Arial" w:eastAsia="Arial" w:hAnsi="Arial"/>
                <w:sz w:val="17"/>
                <w:szCs w:val="17"/>
                <w:b w:val="1"/>
                <w:bCs w:val="1"/>
                <w:color w:val="auto"/>
                <w:w w:val="88"/>
              </w:rPr>
              <w:t>Weighted</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7"/>
              </w:rPr>
              <w:t>Range of</w:t>
            </w:r>
          </w:p>
        </w:tc>
        <w:tc>
          <w:tcPr>
            <w:tcW w:w="11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8"/>
              </w:rPr>
              <w:t>Shares</w:t>
            </w: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Remaining</w:t>
            </w:r>
          </w:p>
        </w:tc>
        <w:tc>
          <w:tcPr>
            <w:tcW w:w="740" w:type="dxa"/>
            <w:vAlign w:val="bottom"/>
            <w:gridSpan w:val="3"/>
          </w:tcPr>
          <w:p>
            <w:pPr>
              <w:jc w:val="center"/>
              <w:ind w:right="40"/>
              <w:spacing w:after="0"/>
              <w:rPr>
                <w:sz w:val="20"/>
                <w:szCs w:val="20"/>
                <w:color w:val="auto"/>
              </w:rPr>
            </w:pPr>
            <w:r>
              <w:rPr>
                <w:rFonts w:ascii="Arial" w:cs="Arial" w:eastAsia="Arial" w:hAnsi="Arial"/>
                <w:sz w:val="17"/>
                <w:szCs w:val="17"/>
                <w:b w:val="1"/>
                <w:bCs w:val="1"/>
                <w:color w:val="auto"/>
                <w:w w:val="86"/>
              </w:rPr>
              <w:t>Average</w:t>
            </w:r>
          </w:p>
        </w:tc>
        <w:tc>
          <w:tcPr>
            <w:tcW w:w="880" w:type="dxa"/>
            <w:vAlign w:val="bottom"/>
            <w:gridSpan w:val="4"/>
          </w:tcPr>
          <w:p>
            <w:pPr>
              <w:ind w:left="40"/>
              <w:spacing w:after="0"/>
              <w:rPr>
                <w:sz w:val="20"/>
                <w:szCs w:val="20"/>
                <w:color w:val="auto"/>
              </w:rPr>
            </w:pPr>
            <w:r>
              <w:rPr>
                <w:rFonts w:ascii="Arial" w:cs="Arial" w:eastAsia="Arial" w:hAnsi="Arial"/>
                <w:sz w:val="17"/>
                <w:szCs w:val="17"/>
                <w:b w:val="1"/>
                <w:bCs w:val="1"/>
                <w:color w:val="auto"/>
                <w:w w:val="97"/>
              </w:rPr>
              <w:t>Aggregate</w:t>
            </w:r>
          </w:p>
        </w:tc>
        <w:tc>
          <w:tcPr>
            <w:tcW w:w="11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4"/>
              </w:rPr>
              <w:t>Shares</w:t>
            </w: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89"/>
              </w:rPr>
              <w:t>Remaining</w:t>
            </w:r>
          </w:p>
        </w:tc>
        <w:tc>
          <w:tcPr>
            <w:tcW w:w="100" w:type="dxa"/>
            <w:vAlign w:val="bottom"/>
          </w:tcPr>
          <w:p>
            <w:pPr>
              <w:spacing w:after="0"/>
              <w:rPr>
                <w:sz w:val="17"/>
                <w:szCs w:val="17"/>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9"/>
              </w:rPr>
              <w:t>Average</w:t>
            </w:r>
          </w:p>
        </w:tc>
        <w:tc>
          <w:tcPr>
            <w:tcW w:w="740" w:type="dxa"/>
            <w:vAlign w:val="bottom"/>
            <w:gridSpan w:val="3"/>
          </w:tcPr>
          <w:p>
            <w:pPr>
              <w:spacing w:after="0"/>
              <w:rPr>
                <w:sz w:val="20"/>
                <w:szCs w:val="20"/>
                <w:color w:val="auto"/>
              </w:rPr>
            </w:pPr>
            <w:r>
              <w:rPr>
                <w:rFonts w:ascii="Arial" w:cs="Arial" w:eastAsia="Arial" w:hAnsi="Arial"/>
                <w:sz w:val="17"/>
                <w:szCs w:val="17"/>
                <w:b w:val="1"/>
                <w:bCs w:val="1"/>
                <w:color w:val="auto"/>
                <w:w w:val="85"/>
              </w:rPr>
              <w:t>Aggregate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Exercise</w:t>
            </w:r>
          </w:p>
        </w:tc>
        <w:tc>
          <w:tcPr>
            <w:tcW w:w="11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9"/>
              </w:rPr>
              <w:t>Outstanding at</w:t>
            </w:r>
          </w:p>
        </w:tc>
        <w:tc>
          <w:tcPr>
            <w:tcW w:w="13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2"/>
              </w:rPr>
              <w:t>Contractual Life</w:t>
            </w:r>
          </w:p>
        </w:tc>
        <w:tc>
          <w:tcPr>
            <w:tcW w:w="74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85"/>
              </w:rPr>
              <w:t>Exercise</w:t>
            </w:r>
          </w:p>
        </w:tc>
        <w:tc>
          <w:tcPr>
            <w:tcW w:w="40" w:type="dxa"/>
            <w:vAlign w:val="bottom"/>
          </w:tcPr>
          <w:p>
            <w:pPr>
              <w:spacing w:after="0"/>
              <w:rPr>
                <w:sz w:val="18"/>
                <w:szCs w:val="18"/>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3"/>
              </w:rPr>
              <w:t>Intrinsic</w:t>
            </w:r>
          </w:p>
        </w:tc>
        <w:tc>
          <w:tcPr>
            <w:tcW w:w="11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7"/>
              </w:rPr>
              <w:t>Exercisable at</w:t>
            </w: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2"/>
              </w:rPr>
              <w:t>Contractual Life</w:t>
            </w:r>
          </w:p>
        </w:tc>
        <w:tc>
          <w:tcPr>
            <w:tcW w:w="100" w:type="dxa"/>
            <w:vAlign w:val="bottom"/>
          </w:tcPr>
          <w:p>
            <w:pPr>
              <w:spacing w:after="0"/>
              <w:rPr>
                <w:sz w:val="18"/>
                <w:szCs w:val="18"/>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5"/>
              </w:rPr>
              <w:t>Exercise</w:t>
            </w:r>
          </w:p>
        </w:tc>
        <w:tc>
          <w:tcPr>
            <w:tcW w:w="7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Intrinsic</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Price</w:t>
            </w:r>
          </w:p>
        </w:tc>
        <w:tc>
          <w:tcPr>
            <w:tcW w:w="11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7"/>
              </w:rPr>
              <w:t>Dec. 31, 2017</w:t>
            </w: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7"/>
              </w:rPr>
              <w:t>in Years</w:t>
            </w:r>
          </w:p>
        </w:tc>
        <w:tc>
          <w:tcPr>
            <w:tcW w:w="120" w:type="dxa"/>
            <w:vAlign w:val="bottom"/>
          </w:tcPr>
          <w:p>
            <w:pPr>
              <w:spacing w:after="0"/>
              <w:rPr>
                <w:sz w:val="19"/>
                <w:szCs w:val="19"/>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Price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Value</w:t>
            </w:r>
          </w:p>
        </w:tc>
        <w:tc>
          <w:tcPr>
            <w:tcW w:w="11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Dec. 31, 2017</w:t>
            </w: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87"/>
              </w:rPr>
              <w:t>in Years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Price</w:t>
            </w:r>
          </w:p>
        </w:tc>
        <w:tc>
          <w:tcPr>
            <w:tcW w:w="120" w:type="dxa"/>
            <w:vAlign w:val="bottom"/>
          </w:tcPr>
          <w:p>
            <w:pPr>
              <w:spacing w:after="0"/>
              <w:rPr>
                <w:sz w:val="19"/>
                <w:szCs w:val="19"/>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8"/>
              </w:rPr>
              <w:t>Value</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$2.02-2.37</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415,024</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2.20</w:t>
            </w: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457</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415,024</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436"/>
              <w:spacing w:after="0"/>
              <w:rPr>
                <w:sz w:val="20"/>
                <w:szCs w:val="20"/>
                <w:color w:val="auto"/>
              </w:rPr>
            </w:pPr>
            <w:r>
              <w:rPr>
                <w:rFonts w:ascii="Arial" w:cs="Arial" w:eastAsia="Arial" w:hAnsi="Arial"/>
                <w:sz w:val="17"/>
                <w:szCs w:val="17"/>
                <w:color w:val="auto"/>
                <w:w w:val="90"/>
              </w:rPr>
              <w:t>1.22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Arial" w:cs="Arial" w:eastAsia="Arial" w:hAnsi="Arial"/>
                <w:sz w:val="17"/>
                <w:szCs w:val="17"/>
                <w:color w:val="auto"/>
              </w:rPr>
              <w:t>2.38-2.94</w:t>
            </w:r>
          </w:p>
        </w:tc>
        <w:tc>
          <w:tcPr>
            <w:tcW w:w="100" w:type="dxa"/>
            <w:vAlign w:val="bottom"/>
          </w:tcPr>
          <w:p>
            <w:pPr>
              <w:spacing w:after="0"/>
              <w:rPr>
                <w:sz w:val="17"/>
                <w:szCs w:val="17"/>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357,095</w:t>
            </w:r>
          </w:p>
        </w:tc>
        <w:tc>
          <w:tcPr>
            <w:tcW w:w="100" w:type="dxa"/>
            <w:vAlign w:val="bottom"/>
          </w:tcPr>
          <w:p>
            <w:pPr>
              <w:spacing w:after="0"/>
              <w:rPr>
                <w:sz w:val="17"/>
                <w:szCs w:val="17"/>
                <w:color w:val="auto"/>
              </w:rPr>
            </w:pP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4.78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2.58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6"/>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7"/>
                <w:szCs w:val="17"/>
                <w:color w:val="auto"/>
              </w:rPr>
            </w:pPr>
          </w:p>
        </w:tc>
        <w:tc>
          <w:tcPr>
            <w:tcW w:w="1000" w:type="dxa"/>
            <w:vAlign w:val="bottom"/>
          </w:tcPr>
          <w:p>
            <w:pPr>
              <w:jc w:val="right"/>
              <w:ind w:right="76"/>
              <w:spacing w:after="0"/>
              <w:rPr>
                <w:sz w:val="20"/>
                <w:szCs w:val="20"/>
                <w:color w:val="auto"/>
              </w:rPr>
            </w:pPr>
            <w:r>
              <w:rPr>
                <w:rFonts w:ascii="Arial" w:cs="Arial" w:eastAsia="Arial" w:hAnsi="Arial"/>
                <w:sz w:val="17"/>
                <w:szCs w:val="17"/>
                <w:color w:val="auto"/>
              </w:rPr>
              <w:t>315,845</w:t>
            </w:r>
          </w:p>
        </w:tc>
        <w:tc>
          <w:tcPr>
            <w:tcW w:w="100" w:type="dxa"/>
            <w:vAlign w:val="bottom"/>
          </w:tcPr>
          <w:p>
            <w:pPr>
              <w:spacing w:after="0"/>
              <w:rPr>
                <w:sz w:val="17"/>
                <w:szCs w:val="17"/>
                <w:color w:val="auto"/>
              </w:rPr>
            </w:pPr>
          </w:p>
        </w:tc>
        <w:tc>
          <w:tcPr>
            <w:tcW w:w="1220" w:type="dxa"/>
            <w:vAlign w:val="bottom"/>
          </w:tcPr>
          <w:p>
            <w:pPr>
              <w:jc w:val="center"/>
              <w:ind w:left="436"/>
              <w:spacing w:after="0"/>
              <w:rPr>
                <w:sz w:val="20"/>
                <w:szCs w:val="20"/>
                <w:color w:val="auto"/>
              </w:rPr>
            </w:pPr>
            <w:r>
              <w:rPr>
                <w:rFonts w:ascii="Arial" w:cs="Arial" w:eastAsia="Arial" w:hAnsi="Arial"/>
                <w:sz w:val="17"/>
                <w:szCs w:val="17"/>
                <w:color w:val="auto"/>
                <w:w w:val="90"/>
              </w:rPr>
              <w:t>4.25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231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2.95-3.59</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321,239</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3.30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79,039</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436"/>
              <w:spacing w:after="0"/>
              <w:rPr>
                <w:sz w:val="20"/>
                <w:szCs w:val="20"/>
                <w:color w:val="auto"/>
              </w:rPr>
            </w:pPr>
            <w:r>
              <w:rPr>
                <w:rFonts w:ascii="Arial" w:cs="Arial" w:eastAsia="Arial" w:hAnsi="Arial"/>
                <w:sz w:val="17"/>
                <w:szCs w:val="17"/>
                <w:color w:val="auto"/>
                <w:w w:val="90"/>
              </w:rPr>
              <w:t>2.93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Arial" w:cs="Arial" w:eastAsia="Arial" w:hAnsi="Arial"/>
                <w:sz w:val="17"/>
                <w:szCs w:val="17"/>
                <w:color w:val="auto"/>
              </w:rPr>
              <w:t>3.60-3.95</w:t>
            </w:r>
          </w:p>
        </w:tc>
        <w:tc>
          <w:tcPr>
            <w:tcW w:w="100" w:type="dxa"/>
            <w:vAlign w:val="bottom"/>
          </w:tcPr>
          <w:p>
            <w:pPr>
              <w:spacing w:after="0"/>
              <w:rPr>
                <w:sz w:val="17"/>
                <w:szCs w:val="17"/>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277,429</w:t>
            </w:r>
          </w:p>
        </w:tc>
        <w:tc>
          <w:tcPr>
            <w:tcW w:w="100" w:type="dxa"/>
            <w:vAlign w:val="bottom"/>
          </w:tcPr>
          <w:p>
            <w:pPr>
              <w:spacing w:after="0"/>
              <w:rPr>
                <w:sz w:val="17"/>
                <w:szCs w:val="17"/>
                <w:color w:val="auto"/>
              </w:rPr>
            </w:pP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5.47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3.65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0" w:type="dxa"/>
            <w:vAlign w:val="bottom"/>
          </w:tcPr>
          <w:p>
            <w:pPr>
              <w:jc w:val="right"/>
              <w:ind w:right="76"/>
              <w:spacing w:after="0"/>
              <w:rPr>
                <w:sz w:val="20"/>
                <w:szCs w:val="20"/>
                <w:color w:val="auto"/>
              </w:rPr>
            </w:pPr>
            <w:r>
              <w:rPr>
                <w:rFonts w:ascii="Arial" w:cs="Arial" w:eastAsia="Arial" w:hAnsi="Arial"/>
                <w:sz w:val="17"/>
                <w:szCs w:val="17"/>
                <w:color w:val="auto"/>
              </w:rPr>
              <w:t>273,679</w:t>
            </w:r>
          </w:p>
        </w:tc>
        <w:tc>
          <w:tcPr>
            <w:tcW w:w="100" w:type="dxa"/>
            <w:vAlign w:val="bottom"/>
          </w:tcPr>
          <w:p>
            <w:pPr>
              <w:spacing w:after="0"/>
              <w:rPr>
                <w:sz w:val="17"/>
                <w:szCs w:val="17"/>
                <w:color w:val="auto"/>
              </w:rPr>
            </w:pPr>
          </w:p>
        </w:tc>
        <w:tc>
          <w:tcPr>
            <w:tcW w:w="1220" w:type="dxa"/>
            <w:vAlign w:val="bottom"/>
          </w:tcPr>
          <w:p>
            <w:pPr>
              <w:jc w:val="center"/>
              <w:ind w:left="436"/>
              <w:spacing w:after="0"/>
              <w:rPr>
                <w:sz w:val="20"/>
                <w:szCs w:val="20"/>
                <w:color w:val="auto"/>
              </w:rPr>
            </w:pPr>
            <w:r>
              <w:rPr>
                <w:rFonts w:ascii="Arial" w:cs="Arial" w:eastAsia="Arial" w:hAnsi="Arial"/>
                <w:sz w:val="17"/>
                <w:szCs w:val="17"/>
                <w:color w:val="auto"/>
                <w:w w:val="90"/>
              </w:rPr>
              <w:t>5.46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3.96-4.11</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252,282</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4.04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250,782</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436"/>
              <w:spacing w:after="0"/>
              <w:rPr>
                <w:sz w:val="20"/>
                <w:szCs w:val="20"/>
                <w:color w:val="auto"/>
              </w:rPr>
            </w:pPr>
            <w:r>
              <w:rPr>
                <w:rFonts w:ascii="Arial" w:cs="Arial" w:eastAsia="Arial" w:hAnsi="Arial"/>
                <w:sz w:val="17"/>
                <w:szCs w:val="17"/>
                <w:color w:val="auto"/>
                <w:w w:val="90"/>
              </w:rPr>
              <w:t>3.47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Arial" w:cs="Arial" w:eastAsia="Arial" w:hAnsi="Arial"/>
                <w:sz w:val="17"/>
                <w:szCs w:val="17"/>
                <w:color w:val="auto"/>
              </w:rPr>
              <w:t>4.12-4.17</w:t>
            </w:r>
          </w:p>
        </w:tc>
        <w:tc>
          <w:tcPr>
            <w:tcW w:w="100" w:type="dxa"/>
            <w:vAlign w:val="bottom"/>
          </w:tcPr>
          <w:p>
            <w:pPr>
              <w:spacing w:after="0"/>
              <w:rPr>
                <w:sz w:val="17"/>
                <w:szCs w:val="17"/>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607,875</w:t>
            </w:r>
          </w:p>
        </w:tc>
        <w:tc>
          <w:tcPr>
            <w:tcW w:w="100" w:type="dxa"/>
            <w:vAlign w:val="bottom"/>
          </w:tcPr>
          <w:p>
            <w:pPr>
              <w:spacing w:after="0"/>
              <w:rPr>
                <w:sz w:val="17"/>
                <w:szCs w:val="17"/>
                <w:color w:val="auto"/>
              </w:rPr>
            </w:pP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6.41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4.12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0" w:type="dxa"/>
            <w:vAlign w:val="bottom"/>
          </w:tcPr>
          <w:p>
            <w:pPr>
              <w:jc w:val="right"/>
              <w:ind w:right="76"/>
              <w:spacing w:after="0"/>
              <w:rPr>
                <w:sz w:val="20"/>
                <w:szCs w:val="20"/>
                <w:color w:val="auto"/>
              </w:rPr>
            </w:pPr>
            <w:r>
              <w:rPr>
                <w:rFonts w:ascii="Arial" w:cs="Arial" w:eastAsia="Arial" w:hAnsi="Arial"/>
                <w:sz w:val="17"/>
                <w:szCs w:val="17"/>
                <w:color w:val="auto"/>
              </w:rPr>
              <w:t>452,750</w:t>
            </w:r>
          </w:p>
        </w:tc>
        <w:tc>
          <w:tcPr>
            <w:tcW w:w="100" w:type="dxa"/>
            <w:vAlign w:val="bottom"/>
          </w:tcPr>
          <w:p>
            <w:pPr>
              <w:spacing w:after="0"/>
              <w:rPr>
                <w:sz w:val="17"/>
                <w:szCs w:val="17"/>
                <w:color w:val="auto"/>
              </w:rPr>
            </w:pPr>
          </w:p>
        </w:tc>
        <w:tc>
          <w:tcPr>
            <w:tcW w:w="1220" w:type="dxa"/>
            <w:vAlign w:val="bottom"/>
          </w:tcPr>
          <w:p>
            <w:pPr>
              <w:jc w:val="center"/>
              <w:ind w:left="436"/>
              <w:spacing w:after="0"/>
              <w:rPr>
                <w:sz w:val="20"/>
                <w:szCs w:val="20"/>
                <w:color w:val="auto"/>
              </w:rPr>
            </w:pPr>
            <w:r>
              <w:rPr>
                <w:rFonts w:ascii="Arial" w:cs="Arial" w:eastAsia="Arial" w:hAnsi="Arial"/>
                <w:sz w:val="17"/>
                <w:szCs w:val="17"/>
                <w:color w:val="auto"/>
                <w:w w:val="90"/>
              </w:rPr>
              <w:t>6.41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4.12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4.18-4.26</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71,500</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6.66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4.21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55,500</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436"/>
              <w:spacing w:after="0"/>
              <w:rPr>
                <w:sz w:val="20"/>
                <w:szCs w:val="20"/>
                <w:color w:val="auto"/>
              </w:rPr>
            </w:pPr>
            <w:r>
              <w:rPr>
                <w:rFonts w:ascii="Arial" w:cs="Arial" w:eastAsia="Arial" w:hAnsi="Arial"/>
                <w:sz w:val="17"/>
                <w:szCs w:val="17"/>
                <w:color w:val="auto"/>
                <w:w w:val="90"/>
              </w:rPr>
              <w:t>6.63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Arial" w:cs="Arial" w:eastAsia="Arial" w:hAnsi="Arial"/>
                <w:sz w:val="17"/>
                <w:szCs w:val="17"/>
                <w:color w:val="auto"/>
              </w:rPr>
              <w:t>4.27-4.41</w:t>
            </w:r>
          </w:p>
        </w:tc>
        <w:tc>
          <w:tcPr>
            <w:tcW w:w="100" w:type="dxa"/>
            <w:vAlign w:val="bottom"/>
          </w:tcPr>
          <w:p>
            <w:pPr>
              <w:spacing w:after="0"/>
              <w:rPr>
                <w:sz w:val="17"/>
                <w:szCs w:val="17"/>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750,000</w:t>
            </w:r>
          </w:p>
        </w:tc>
        <w:tc>
          <w:tcPr>
            <w:tcW w:w="100" w:type="dxa"/>
            <w:vAlign w:val="bottom"/>
          </w:tcPr>
          <w:p>
            <w:pPr>
              <w:spacing w:after="0"/>
              <w:rPr>
                <w:sz w:val="17"/>
                <w:szCs w:val="17"/>
                <w:color w:val="auto"/>
              </w:rPr>
            </w:pP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5.88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4.31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0" w:type="dxa"/>
            <w:vAlign w:val="bottom"/>
          </w:tcPr>
          <w:p>
            <w:pPr>
              <w:jc w:val="right"/>
              <w:ind w:right="76"/>
              <w:spacing w:after="0"/>
              <w:rPr>
                <w:sz w:val="20"/>
                <w:szCs w:val="20"/>
                <w:color w:val="auto"/>
              </w:rPr>
            </w:pPr>
            <w:r>
              <w:rPr>
                <w:rFonts w:ascii="Arial" w:cs="Arial" w:eastAsia="Arial" w:hAnsi="Arial"/>
                <w:sz w:val="17"/>
                <w:szCs w:val="17"/>
                <w:color w:val="auto"/>
              </w:rPr>
              <w:t>750,000</w:t>
            </w:r>
          </w:p>
        </w:tc>
        <w:tc>
          <w:tcPr>
            <w:tcW w:w="100" w:type="dxa"/>
            <w:vAlign w:val="bottom"/>
          </w:tcPr>
          <w:p>
            <w:pPr>
              <w:spacing w:after="0"/>
              <w:rPr>
                <w:sz w:val="17"/>
                <w:szCs w:val="17"/>
                <w:color w:val="auto"/>
              </w:rPr>
            </w:pPr>
          </w:p>
        </w:tc>
        <w:tc>
          <w:tcPr>
            <w:tcW w:w="1220" w:type="dxa"/>
            <w:vAlign w:val="bottom"/>
          </w:tcPr>
          <w:p>
            <w:pPr>
              <w:jc w:val="center"/>
              <w:ind w:left="436"/>
              <w:spacing w:after="0"/>
              <w:rPr>
                <w:sz w:val="20"/>
                <w:szCs w:val="20"/>
                <w:color w:val="auto"/>
              </w:rPr>
            </w:pPr>
            <w:r>
              <w:rPr>
                <w:rFonts w:ascii="Arial" w:cs="Arial" w:eastAsia="Arial" w:hAnsi="Arial"/>
                <w:sz w:val="17"/>
                <w:szCs w:val="17"/>
                <w:color w:val="auto"/>
                <w:w w:val="90"/>
              </w:rPr>
              <w:t>5.88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4.31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4.42-5.51</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462,300</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5.37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273,175</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436"/>
              <w:spacing w:after="0"/>
              <w:rPr>
                <w:sz w:val="20"/>
                <w:szCs w:val="20"/>
                <w:color w:val="auto"/>
              </w:rPr>
            </w:pPr>
            <w:r>
              <w:rPr>
                <w:rFonts w:ascii="Arial" w:cs="Arial" w:eastAsia="Arial" w:hAnsi="Arial"/>
                <w:sz w:val="17"/>
                <w:szCs w:val="17"/>
                <w:color w:val="auto"/>
                <w:w w:val="90"/>
              </w:rPr>
              <w:t>7.11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5.52-5.63</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265,500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ind w:right="116"/>
              <w:spacing w:after="0"/>
              <w:rPr>
                <w:sz w:val="20"/>
                <w:szCs w:val="20"/>
                <w:color w:val="auto"/>
              </w:rPr>
            </w:pPr>
            <w:r>
              <w:rPr>
                <w:rFonts w:ascii="Arial" w:cs="Arial" w:eastAsia="Arial" w:hAnsi="Arial"/>
                <w:sz w:val="17"/>
                <w:szCs w:val="17"/>
                <w:color w:val="auto"/>
              </w:rPr>
              <w:t>7.41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ind w:right="16"/>
              <w:spacing w:after="0"/>
              <w:rPr>
                <w:sz w:val="20"/>
                <w:szCs w:val="20"/>
                <w:color w:val="auto"/>
              </w:rPr>
            </w:pPr>
            <w:r>
              <w:rPr>
                <w:rFonts w:ascii="Arial" w:cs="Arial" w:eastAsia="Arial" w:hAnsi="Arial"/>
                <w:sz w:val="17"/>
                <w:szCs w:val="17"/>
                <w:color w:val="auto"/>
              </w:rPr>
              <w:t>5.56</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132,750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center"/>
              <w:ind w:left="436"/>
              <w:spacing w:after="0"/>
              <w:rPr>
                <w:sz w:val="20"/>
                <w:szCs w:val="20"/>
                <w:color w:val="auto"/>
              </w:rPr>
            </w:pPr>
            <w:r>
              <w:rPr>
                <w:rFonts w:ascii="Arial" w:cs="Arial" w:eastAsia="Arial" w:hAnsi="Arial"/>
                <w:sz w:val="17"/>
                <w:szCs w:val="17"/>
                <w:color w:val="auto"/>
                <w:w w:val="90"/>
              </w:rPr>
              <w:t>7.41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ind w:right="16"/>
              <w:spacing w:after="0"/>
              <w:rPr>
                <w:sz w:val="20"/>
                <w:szCs w:val="20"/>
                <w:color w:val="auto"/>
              </w:rPr>
            </w:pPr>
            <w:r>
              <w:rPr>
                <w:rFonts w:ascii="Arial" w:cs="Arial" w:eastAsia="Arial" w:hAnsi="Arial"/>
                <w:sz w:val="17"/>
                <w:szCs w:val="17"/>
                <w:color w:val="auto"/>
              </w:rPr>
              <w:t>5.56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$2.02-5.63</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3,780,244</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5.61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3.95</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714</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2,998,544</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center"/>
              <w:ind w:left="436"/>
              <w:spacing w:after="0"/>
              <w:rPr>
                <w:sz w:val="20"/>
                <w:szCs w:val="20"/>
                <w:color w:val="auto"/>
              </w:rPr>
            </w:pPr>
            <w:r>
              <w:rPr>
                <w:rFonts w:ascii="Arial" w:cs="Arial" w:eastAsia="Arial" w:hAnsi="Arial"/>
                <w:sz w:val="17"/>
                <w:szCs w:val="17"/>
                <w:b w:val="1"/>
                <w:bCs w:val="1"/>
                <w:color w:val="auto"/>
                <w:w w:val="90"/>
              </w:rPr>
              <w:t>5.02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3.84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vMerge w:val="restart"/>
          </w:tcPr>
          <w:p>
            <w:pPr>
              <w:ind w:left="1000"/>
              <w:spacing w:after="0"/>
              <w:rPr>
                <w:sz w:val="20"/>
                <w:szCs w:val="20"/>
                <w:color w:val="auto"/>
              </w:rPr>
            </w:pPr>
            <w:r>
              <w:rPr>
                <w:rFonts w:ascii="Arial" w:cs="Arial" w:eastAsia="Arial" w:hAnsi="Arial"/>
                <w:sz w:val="17"/>
                <w:szCs w:val="17"/>
                <w:color w:val="auto"/>
                <w:w w:val="85"/>
              </w:rPr>
              <w:t>F-32</w:t>
            </w: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7"/>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2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28" w:right="21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right="40" w:firstLine="413"/>
        <w:spacing w:after="0" w:line="301" w:lineRule="auto"/>
        <w:rPr>
          <w:sz w:val="20"/>
          <w:szCs w:val="20"/>
          <w:color w:val="auto"/>
        </w:rPr>
      </w:pPr>
      <w:r>
        <w:rPr>
          <w:rFonts w:ascii="Arial" w:cs="Arial" w:eastAsia="Arial" w:hAnsi="Arial"/>
          <w:sz w:val="15"/>
          <w:szCs w:val="15"/>
          <w:color w:val="auto"/>
        </w:rPr>
        <w:t>The aggregate intrinsic value in the preceding table represents the total pre-tax intrinsic value, based on the Company’s closing stock price of $3.30 as of December 31, 2017, which would have been received by the option holders had all option holders exercised their options as of that date. The aggregate intrinsic value of options exercised for the years ended December 31, 2017 and 2016 was approximately $0.1 million, respectively. The aggregate intrinsic value of options exercised for the year ended December 31, 2015 was $0.8 million. The total number of in-the-money options that were exercisable as of December 31, 2017 was 824,869.</w:t>
      </w:r>
    </w:p>
    <w:p>
      <w:pPr>
        <w:spacing w:after="0" w:line="147" w:lineRule="exact"/>
        <w:rPr>
          <w:sz w:val="20"/>
          <w:szCs w:val="20"/>
          <w:color w:val="auto"/>
        </w:rPr>
      </w:pPr>
    </w:p>
    <w:p>
      <w:pPr>
        <w:ind w:right="440" w:firstLine="456"/>
        <w:spacing w:after="0" w:line="271" w:lineRule="auto"/>
        <w:rPr>
          <w:sz w:val="20"/>
          <w:szCs w:val="20"/>
          <w:color w:val="auto"/>
        </w:rPr>
      </w:pPr>
      <w:r>
        <w:rPr>
          <w:rFonts w:ascii="Arial" w:cs="Arial" w:eastAsia="Arial" w:hAnsi="Arial"/>
          <w:sz w:val="17"/>
          <w:szCs w:val="17"/>
          <w:color w:val="auto"/>
        </w:rPr>
        <w:t>For the year ended December 31, 2017, the total compensation costs related to unvested awards not yet recognized is $4.0 million and the weighted average period over which it is expected to be recognized is 2.18 years.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Valuation and Expense Information under Stock-Based-Payment Accounting</w:t>
      </w:r>
    </w:p>
    <w:p>
      <w:pPr>
        <w:spacing w:after="0" w:line="209" w:lineRule="exact"/>
        <w:rPr>
          <w:sz w:val="20"/>
          <w:szCs w:val="20"/>
          <w:color w:val="auto"/>
        </w:rPr>
      </w:pPr>
    </w:p>
    <w:p>
      <w:pPr>
        <w:ind w:right="220" w:firstLine="456"/>
        <w:spacing w:after="0" w:line="271" w:lineRule="auto"/>
        <w:rPr>
          <w:sz w:val="20"/>
          <w:szCs w:val="20"/>
          <w:color w:val="auto"/>
        </w:rPr>
      </w:pPr>
      <w:r>
        <w:rPr>
          <w:rFonts w:ascii="Arial" w:cs="Arial" w:eastAsia="Arial" w:hAnsi="Arial"/>
          <w:sz w:val="17"/>
          <w:szCs w:val="17"/>
          <w:color w:val="auto"/>
        </w:rPr>
        <w:t>Stock-based compensation expense related to stock options, restricted stock units, Market Condition RSU’s and the employee stock purchase plan for the years ended December 31, 2017, 2016 and 2015 was allocated as follows:</w:t>
      </w:r>
    </w:p>
    <w:p>
      <w:pPr>
        <w:sectPr>
          <w:pgSz w:w="11900" w:h="16838" w:orient="portrait"/>
          <w:cols w:equalWidth="0" w:num="1">
            <w:col w:w="11420"/>
          </w:cols>
          <w:pgMar w:left="240" w:top="22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Cost of revenues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Sales and marketing</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Total stock-based compensation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560"/>
        <w:spacing w:after="0"/>
        <w:rPr>
          <w:sz w:val="20"/>
          <w:szCs w:val="20"/>
          <w:color w:val="auto"/>
        </w:rPr>
      </w:pPr>
      <w:r>
        <w:rPr>
          <w:rFonts w:ascii="Arial" w:cs="Arial" w:eastAsia="Arial" w:hAnsi="Arial"/>
          <w:sz w:val="17"/>
          <w:szCs w:val="17"/>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2015</w:t>
            </w:r>
          </w:p>
        </w:tc>
      </w:tr>
      <w:tr>
        <w:trPr>
          <w:trHeight w:val="207"/>
        </w:trPr>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7"/>
                <w:szCs w:val="17"/>
                <w:color w:val="auto"/>
              </w:rPr>
              <w:t>(in thousands)</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81"/>
        </w:trPr>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24"/>
                <w:szCs w:val="24"/>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70</w:t>
            </w:r>
          </w:p>
        </w:tc>
      </w:tr>
      <w:tr>
        <w:trPr>
          <w:trHeight w:val="202"/>
        </w:trPr>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595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546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418</w:t>
            </w:r>
          </w:p>
        </w:tc>
      </w:tr>
      <w:tr>
        <w:trPr>
          <w:trHeight w:val="214"/>
        </w:trPr>
        <w:tc>
          <w:tcPr>
            <w:tcW w:w="360" w:type="dxa"/>
            <w:vAlign w:val="bottom"/>
          </w:tcPr>
          <w:p>
            <w:pPr>
              <w:spacing w:after="0"/>
              <w:rPr>
                <w:sz w:val="18"/>
                <w:szCs w:val="18"/>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2,703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2,780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2,170</w:t>
            </w:r>
          </w:p>
        </w:tc>
      </w:tr>
      <w:tr>
        <w:trPr>
          <w:trHeight w:val="215"/>
        </w:trPr>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97</w:t>
            </w:r>
          </w:p>
        </w:tc>
      </w:tr>
      <w:tr>
        <w:trPr>
          <w:trHeight w:val="208"/>
        </w:trPr>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3,500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3,497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2,755</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-690245</wp:posOffset>
            </wp:positionV>
            <wp:extent cx="7255510" cy="1282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5510" cy="12827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-433070</wp:posOffset>
            </wp:positionV>
            <wp:extent cx="7255510" cy="1282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5510" cy="12827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-168275</wp:posOffset>
            </wp:positionV>
            <wp:extent cx="7255510" cy="152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5510" cy="152400"/>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5700" w:space="720"/>
            <w:col w:w="5000"/>
          </w:cols>
          <w:pgMar w:left="240" w:top="228" w:right="239" w:bottom="1440" w:gutter="0" w:footer="0" w:header="0"/>
          <w:type w:val="continuous"/>
        </w:sectPr>
      </w:pPr>
    </w:p>
    <w:p>
      <w:pPr>
        <w:ind w:right="80" w:firstLine="413"/>
        <w:spacing w:after="0" w:line="296" w:lineRule="auto"/>
        <w:rPr>
          <w:sz w:val="20"/>
          <w:szCs w:val="20"/>
          <w:color w:val="auto"/>
        </w:rPr>
      </w:pPr>
      <w:r>
        <w:rPr>
          <w:rFonts w:ascii="Arial" w:cs="Arial" w:eastAsia="Arial" w:hAnsi="Arial"/>
          <w:sz w:val="15"/>
          <w:szCs w:val="15"/>
          <w:color w:val="auto"/>
        </w:rPr>
        <w:t>On April 28, 2015, the Company announced the appointment of James Green to its Board of Directors and the retirement of Robert Dishman from its Board of Directors. As part of Dr. Dishman’s retirement, the Company (i) awarded an unrestricted stock award to Dr. Dishman on April 28, 2015, having an aggregate cash value of $80,000, (ii) accelerated the vesting of all outstanding stock options and restricted stock units that were unvested as of April 28, 2015, and (iii) extended the post-retirement option exercise period for each option to the earlier to occur of the respective scheduled expiration date or April 28, 2016. Total compensation expense recognized as part of general and administrative expenses for the year ended December 31, 2015, as part of these modifications, was approximately $0.1 million.</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did not capitalize any stock-based compensation.</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weighted-average estimated fair value per share of stock options granted during 2017, 2016 and 2015 was $1.32, $1.21 and $2.12, respectively, using the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Black Scholes option-pricing model with the following weighted-average assumptions: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90"/>
              </w:rPr>
              <w:t>Year Ended December 31,</w:t>
            </w:r>
          </w:p>
        </w:tc>
        <w:tc>
          <w:tcPr>
            <w:tcW w:w="1360" w:type="dxa"/>
            <w:vAlign w:val="bottom"/>
            <w:tcBorders>
              <w:bottom w:val="single" w:sz="8" w:color="auto"/>
            </w:tcBorders>
          </w:tcPr>
          <w:p>
            <w:pPr>
              <w:spacing w:after="0"/>
              <w:rPr>
                <w:sz w:val="19"/>
                <w:szCs w:val="19"/>
                <w:color w:val="auto"/>
              </w:rPr>
            </w:pPr>
          </w:p>
        </w:tc>
      </w:tr>
      <w:tr>
        <w:trPr>
          <w:trHeight w:val="233"/>
        </w:trPr>
        <w:tc>
          <w:tcPr>
            <w:tcW w:w="3940" w:type="dxa"/>
            <w:vAlign w:val="bottom"/>
          </w:tcPr>
          <w:p>
            <w:pPr>
              <w:spacing w:after="0"/>
              <w:rPr>
                <w:sz w:val="20"/>
                <w:szCs w:val="20"/>
                <w:color w:val="auto"/>
              </w:rPr>
            </w:pPr>
          </w:p>
        </w:tc>
        <w:tc>
          <w:tcPr>
            <w:tcW w:w="3840" w:type="dxa"/>
            <w:vAlign w:val="bottom"/>
            <w:gridSpan w:val="2"/>
          </w:tcPr>
          <w:p>
            <w:pPr>
              <w:jc w:val="center"/>
              <w:ind w:left="2616"/>
              <w:spacing w:after="0"/>
              <w:rPr>
                <w:sz w:val="20"/>
                <w:szCs w:val="20"/>
                <w:color w:val="auto"/>
              </w:rPr>
            </w:pPr>
            <w:r>
              <w:rPr>
                <w:rFonts w:ascii="Arial" w:cs="Arial" w:eastAsia="Arial" w:hAnsi="Arial"/>
                <w:sz w:val="17"/>
                <w:szCs w:val="17"/>
                <w:b w:val="1"/>
                <w:bCs w:val="1"/>
                <w:color w:val="auto"/>
                <w:w w:val="89"/>
              </w:rPr>
              <w:t>2017</w:t>
            </w:r>
          </w:p>
        </w:tc>
        <w:tc>
          <w:tcPr>
            <w:tcW w:w="1940" w:type="dxa"/>
            <w:vAlign w:val="bottom"/>
            <w:gridSpan w:val="3"/>
          </w:tcPr>
          <w:p>
            <w:pPr>
              <w:jc w:val="center"/>
              <w:ind w:left="276"/>
              <w:spacing w:after="0"/>
              <w:rPr>
                <w:sz w:val="20"/>
                <w:szCs w:val="20"/>
                <w:color w:val="auto"/>
              </w:rPr>
            </w:pPr>
            <w:r>
              <w:rPr>
                <w:rFonts w:ascii="Arial" w:cs="Arial" w:eastAsia="Arial" w:hAnsi="Arial"/>
                <w:sz w:val="17"/>
                <w:szCs w:val="17"/>
                <w:b w:val="1"/>
                <w:bCs w:val="1"/>
                <w:color w:val="auto"/>
                <w:w w:val="89"/>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ind w:right="136"/>
              <w:spacing w:after="0"/>
              <w:rPr>
                <w:sz w:val="20"/>
                <w:szCs w:val="20"/>
                <w:color w:val="auto"/>
              </w:rPr>
            </w:pPr>
            <w:r>
              <w:rPr>
                <w:rFonts w:ascii="Arial" w:cs="Arial" w:eastAsia="Arial" w:hAnsi="Arial"/>
                <w:sz w:val="17"/>
                <w:szCs w:val="17"/>
                <w:b w:val="1"/>
                <w:bCs w:val="1"/>
                <w:color w:val="auto"/>
                <w:w w:val="89"/>
              </w:rPr>
              <w:t>2015</w:t>
            </w:r>
          </w:p>
        </w:tc>
      </w:tr>
      <w:tr>
        <w:trPr>
          <w:trHeight w:val="195"/>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Volatility</w:t>
            </w:r>
          </w:p>
        </w:tc>
        <w:tc>
          <w:tcPr>
            <w:tcW w:w="24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ind w:left="156"/>
              <w:spacing w:after="0"/>
              <w:rPr>
                <w:sz w:val="20"/>
                <w:szCs w:val="20"/>
                <w:color w:val="auto"/>
              </w:rPr>
            </w:pPr>
            <w:r>
              <w:rPr>
                <w:rFonts w:ascii="Arial" w:cs="Arial" w:eastAsia="Arial" w:hAnsi="Arial"/>
                <w:sz w:val="17"/>
                <w:szCs w:val="17"/>
                <w:color w:val="auto"/>
                <w:w w:val="90"/>
              </w:rPr>
              <w:t>41.63%</w:t>
            </w:r>
          </w:p>
        </w:tc>
        <w:tc>
          <w:tcPr>
            <w:tcW w:w="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41.97%</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ind w:right="156"/>
              <w:spacing w:after="0"/>
              <w:rPr>
                <w:sz w:val="20"/>
                <w:szCs w:val="20"/>
                <w:color w:val="auto"/>
              </w:rPr>
            </w:pPr>
            <w:r>
              <w:rPr>
                <w:rFonts w:ascii="Arial" w:cs="Arial" w:eastAsia="Arial" w:hAnsi="Arial"/>
                <w:sz w:val="17"/>
                <w:szCs w:val="17"/>
                <w:color w:val="auto"/>
                <w:w w:val="90"/>
              </w:rPr>
              <w:t>40.97%</w:t>
            </w:r>
          </w:p>
        </w:tc>
      </w:tr>
      <w:tr>
        <w:trPr>
          <w:trHeight w:val="202"/>
        </w:trPr>
        <w:tc>
          <w:tcPr>
            <w:tcW w:w="3940" w:type="dxa"/>
            <w:vAlign w:val="bottom"/>
          </w:tcPr>
          <w:p>
            <w:pPr>
              <w:spacing w:after="0"/>
              <w:rPr>
                <w:sz w:val="20"/>
                <w:szCs w:val="20"/>
                <w:color w:val="auto"/>
              </w:rPr>
            </w:pPr>
            <w:r>
              <w:rPr>
                <w:rFonts w:ascii="Arial" w:cs="Arial" w:eastAsia="Arial" w:hAnsi="Arial"/>
                <w:sz w:val="17"/>
                <w:szCs w:val="17"/>
                <w:color w:val="auto"/>
              </w:rPr>
              <w:t>Risk-free interest rate</w:t>
            </w:r>
          </w:p>
        </w:tc>
        <w:tc>
          <w:tcPr>
            <w:tcW w:w="3840" w:type="dxa"/>
            <w:vAlign w:val="bottom"/>
            <w:gridSpan w:val="2"/>
          </w:tcPr>
          <w:p>
            <w:pPr>
              <w:jc w:val="center"/>
              <w:ind w:left="2636"/>
              <w:spacing w:after="0"/>
              <w:rPr>
                <w:sz w:val="20"/>
                <w:szCs w:val="20"/>
                <w:color w:val="auto"/>
              </w:rPr>
            </w:pPr>
            <w:r>
              <w:rPr>
                <w:rFonts w:ascii="Arial" w:cs="Arial" w:eastAsia="Arial" w:hAnsi="Arial"/>
                <w:sz w:val="17"/>
                <w:szCs w:val="17"/>
                <w:color w:val="auto"/>
                <w:w w:val="91"/>
              </w:rPr>
              <w:t>2.03%</w:t>
            </w:r>
          </w:p>
        </w:tc>
        <w:tc>
          <w:tcPr>
            <w:tcW w:w="1940" w:type="dxa"/>
            <w:vAlign w:val="bottom"/>
            <w:gridSpan w:val="3"/>
          </w:tcPr>
          <w:p>
            <w:pPr>
              <w:jc w:val="center"/>
              <w:ind w:left="256"/>
              <w:spacing w:after="0"/>
              <w:rPr>
                <w:sz w:val="20"/>
                <w:szCs w:val="20"/>
                <w:color w:val="auto"/>
              </w:rPr>
            </w:pPr>
            <w:r>
              <w:rPr>
                <w:rFonts w:ascii="Arial" w:cs="Arial" w:eastAsia="Arial" w:hAnsi="Arial"/>
                <w:sz w:val="17"/>
                <w:szCs w:val="17"/>
                <w:color w:val="auto"/>
                <w:w w:val="91"/>
              </w:rPr>
              <w:t>1.29%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center"/>
              <w:ind w:right="136"/>
              <w:spacing w:after="0"/>
              <w:rPr>
                <w:sz w:val="20"/>
                <w:szCs w:val="20"/>
                <w:color w:val="auto"/>
              </w:rPr>
            </w:pPr>
            <w:r>
              <w:rPr>
                <w:rFonts w:ascii="Arial" w:cs="Arial" w:eastAsia="Arial" w:hAnsi="Arial"/>
                <w:sz w:val="17"/>
                <w:szCs w:val="17"/>
                <w:color w:val="auto"/>
                <w:w w:val="87"/>
              </w:rPr>
              <w:t>1.72%</w:t>
            </w:r>
          </w:p>
        </w:tc>
      </w:tr>
      <w:tr>
        <w:trPr>
          <w:trHeight w:val="202"/>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Expected holding period (in years)</w:t>
            </w:r>
          </w:p>
        </w:tc>
        <w:tc>
          <w:tcPr>
            <w:tcW w:w="2480" w:type="dxa"/>
            <w:vAlign w:val="bottom"/>
            <w:shd w:val="clear" w:color="auto" w:fill="CCEEFF"/>
          </w:tcPr>
          <w:p>
            <w:pPr>
              <w:spacing w:after="0"/>
              <w:rPr>
                <w:sz w:val="17"/>
                <w:szCs w:val="17"/>
                <w:color w:val="auto"/>
              </w:rPr>
            </w:pPr>
          </w:p>
        </w:tc>
        <w:tc>
          <w:tcPr>
            <w:tcW w:w="1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5.41 years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3"/>
            <w:shd w:val="clear" w:color="auto" w:fill="CCEEFF"/>
          </w:tcPr>
          <w:p>
            <w:pPr>
              <w:jc w:val="center"/>
              <w:ind w:right="340"/>
              <w:spacing w:after="0"/>
              <w:rPr>
                <w:sz w:val="20"/>
                <w:szCs w:val="20"/>
                <w:color w:val="auto"/>
              </w:rPr>
            </w:pPr>
            <w:r>
              <w:rPr>
                <w:rFonts w:ascii="Arial" w:cs="Arial" w:eastAsia="Arial" w:hAnsi="Arial"/>
                <w:sz w:val="17"/>
                <w:szCs w:val="17"/>
                <w:color w:val="auto"/>
                <w:w w:val="90"/>
              </w:rPr>
              <w:t>5.21 years</w:t>
            </w:r>
          </w:p>
        </w:tc>
        <w:tc>
          <w:tcPr>
            <w:tcW w:w="1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5.50 years</w:t>
            </w:r>
          </w:p>
        </w:tc>
      </w:tr>
      <w:tr>
        <w:trPr>
          <w:trHeight w:val="214"/>
        </w:trPr>
        <w:tc>
          <w:tcPr>
            <w:tcW w:w="3940" w:type="dxa"/>
            <w:vAlign w:val="bottom"/>
          </w:tcPr>
          <w:p>
            <w:pPr>
              <w:spacing w:after="0"/>
              <w:rPr>
                <w:sz w:val="20"/>
                <w:szCs w:val="20"/>
                <w:color w:val="auto"/>
              </w:rPr>
            </w:pPr>
            <w:r>
              <w:rPr>
                <w:rFonts w:ascii="Arial" w:cs="Arial" w:eastAsia="Arial" w:hAnsi="Arial"/>
                <w:sz w:val="17"/>
                <w:szCs w:val="17"/>
                <w:color w:val="auto"/>
              </w:rPr>
              <w:t>Dividend yield</w:t>
            </w:r>
          </w:p>
        </w:tc>
        <w:tc>
          <w:tcPr>
            <w:tcW w:w="3840" w:type="dxa"/>
            <w:vAlign w:val="bottom"/>
            <w:gridSpan w:val="2"/>
          </w:tcPr>
          <w:p>
            <w:pPr>
              <w:jc w:val="center"/>
              <w:ind w:left="2636"/>
              <w:spacing w:after="0"/>
              <w:rPr>
                <w:sz w:val="20"/>
                <w:szCs w:val="20"/>
                <w:color w:val="auto"/>
              </w:rPr>
            </w:pPr>
            <w:r>
              <w:rPr>
                <w:rFonts w:ascii="Arial" w:cs="Arial" w:eastAsia="Arial" w:hAnsi="Arial"/>
                <w:sz w:val="17"/>
                <w:szCs w:val="17"/>
                <w:color w:val="auto"/>
                <w:w w:val="96"/>
              </w:rPr>
              <w:t>-%</w:t>
            </w:r>
          </w:p>
        </w:tc>
        <w:tc>
          <w:tcPr>
            <w:tcW w:w="1940" w:type="dxa"/>
            <w:vAlign w:val="bottom"/>
            <w:gridSpan w:val="3"/>
          </w:tcPr>
          <w:p>
            <w:pPr>
              <w:jc w:val="center"/>
              <w:ind w:left="256"/>
              <w:spacing w:after="0"/>
              <w:rPr>
                <w:sz w:val="20"/>
                <w:szCs w:val="20"/>
                <w:color w:val="auto"/>
              </w:rPr>
            </w:pPr>
            <w:r>
              <w:rPr>
                <w:rFonts w:ascii="Arial" w:cs="Arial" w:eastAsia="Arial" w:hAnsi="Arial"/>
                <w:sz w:val="17"/>
                <w:szCs w:val="17"/>
                <w:color w:val="auto"/>
                <w:w w:val="96"/>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136"/>
              <w:spacing w:after="0"/>
              <w:rPr>
                <w:sz w:val="20"/>
                <w:szCs w:val="20"/>
                <w:color w:val="auto"/>
              </w:rPr>
            </w:pPr>
            <w:r>
              <w:rPr>
                <w:rFonts w:ascii="Arial" w:cs="Arial" w:eastAsia="Arial" w:hAnsi="Arial"/>
                <w:sz w:val="17"/>
                <w:szCs w:val="17"/>
                <w:color w:val="auto"/>
                <w:w w:val="86"/>
              </w:rPr>
              <w:t>-%</w:t>
            </w:r>
          </w:p>
        </w:tc>
      </w:tr>
      <w:tr>
        <w:trPr>
          <w:trHeight w:val="798"/>
        </w:trPr>
        <w:tc>
          <w:tcPr>
            <w:tcW w:w="3940" w:type="dxa"/>
            <w:vAlign w:val="bottom"/>
          </w:tcPr>
          <w:p>
            <w:pPr>
              <w:spacing w:after="0"/>
              <w:rPr>
                <w:sz w:val="24"/>
                <w:szCs w:val="24"/>
                <w:color w:val="auto"/>
              </w:rPr>
            </w:pPr>
          </w:p>
        </w:tc>
        <w:tc>
          <w:tcPr>
            <w:tcW w:w="3840" w:type="dxa"/>
            <w:vAlign w:val="bottom"/>
            <w:gridSpan w:val="2"/>
          </w:tcPr>
          <w:p>
            <w:pPr>
              <w:ind w:left="1620"/>
              <w:spacing w:after="0"/>
              <w:rPr>
                <w:sz w:val="20"/>
                <w:szCs w:val="20"/>
                <w:color w:val="auto"/>
              </w:rPr>
            </w:pPr>
            <w:r>
              <w:rPr>
                <w:rFonts w:ascii="Arial" w:cs="Arial" w:eastAsia="Arial" w:hAnsi="Arial"/>
                <w:sz w:val="17"/>
                <w:szCs w:val="17"/>
                <w:color w:val="auto"/>
              </w:rPr>
              <w:t>F-33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64"/>
        </w:trPr>
        <w:tc>
          <w:tcPr>
            <w:tcW w:w="3940" w:type="dxa"/>
            <w:vAlign w:val="bottom"/>
            <w:shd w:val="clear" w:color="auto" w:fill="000000"/>
          </w:tcPr>
          <w:p>
            <w:pPr>
              <w:spacing w:after="0"/>
              <w:rPr>
                <w:sz w:val="5"/>
                <w:szCs w:val="5"/>
                <w:color w:val="auto"/>
              </w:rPr>
            </w:pPr>
          </w:p>
        </w:tc>
        <w:tc>
          <w:tcPr>
            <w:tcW w:w="248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228" w:right="239" w:bottom="1440" w:gutter="0" w:footer="0" w:header="0"/>
          <w:type w:val="continuous"/>
        </w:sectPr>
      </w:pPr>
    </w:p>
    <w:bookmarkStart w:id="77" w:name="page78"/>
    <w:bookmarkEnd w:id="7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jc w:val="both"/>
        <w:ind w:right="300" w:firstLine="413"/>
        <w:spacing w:after="0" w:line="260" w:lineRule="auto"/>
        <w:rPr>
          <w:sz w:val="20"/>
          <w:szCs w:val="20"/>
          <w:color w:val="auto"/>
        </w:rPr>
      </w:pPr>
      <w:r>
        <w:rPr>
          <w:rFonts w:ascii="Arial" w:cs="Arial" w:eastAsia="Arial" w:hAnsi="Arial"/>
          <w:sz w:val="17"/>
          <w:szCs w:val="17"/>
          <w:color w:val="auto"/>
        </w:rPr>
        <w:t>The weighted average fair value of the Market Condition RSU’s granted under the Third A&amp;R Plan during the year ended December 31, 2015 was $4.81. The following assumptions were used to estimate the fair value, using a Monte-Carlo valuation simulation, of the Market Condition RSU’s granted during the year ended December 31,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7"/>
                <w:szCs w:val="17"/>
                <w:b w:val="1"/>
                <w:bCs w:val="1"/>
                <w:color w:val="auto"/>
                <w:w w:val="91"/>
              </w:rPr>
              <w:t>Year Ended</w:t>
            </w:r>
          </w:p>
        </w:tc>
      </w:tr>
      <w:tr>
        <w:trPr>
          <w:trHeight w:val="219"/>
        </w:trPr>
        <w:tc>
          <w:tcPr>
            <w:tcW w:w="9800" w:type="dxa"/>
            <w:vAlign w:val="bottom"/>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December 31,</w:t>
            </w:r>
          </w:p>
        </w:tc>
      </w:tr>
      <w:tr>
        <w:trPr>
          <w:trHeight w:val="195"/>
        </w:trPr>
        <w:tc>
          <w:tcPr>
            <w:tcW w:w="98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2015</w:t>
            </w:r>
          </w:p>
        </w:tc>
      </w:tr>
      <w:tr>
        <w:trPr>
          <w:trHeight w:val="195"/>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Volatility</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35.88%</w:t>
            </w:r>
          </w:p>
        </w:tc>
      </w:tr>
      <w:tr>
        <w:trPr>
          <w:trHeight w:val="202"/>
        </w:trPr>
        <w:tc>
          <w:tcPr>
            <w:tcW w:w="980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620" w:type="dxa"/>
            <w:vAlign w:val="bottom"/>
          </w:tcPr>
          <w:p>
            <w:pPr>
              <w:jc w:val="right"/>
              <w:spacing w:after="0"/>
              <w:rPr>
                <w:sz w:val="20"/>
                <w:szCs w:val="20"/>
                <w:color w:val="auto"/>
              </w:rPr>
            </w:pPr>
            <w:r>
              <w:rPr>
                <w:rFonts w:ascii="Arial" w:cs="Arial" w:eastAsia="Arial" w:hAnsi="Arial"/>
                <w:sz w:val="17"/>
                <w:szCs w:val="17"/>
                <w:color w:val="auto"/>
              </w:rPr>
              <w:t>0.99%</w:t>
            </w:r>
          </w:p>
        </w:tc>
      </w:tr>
      <w:tr>
        <w:trPr>
          <w:trHeight w:val="202"/>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Correlation coefficient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r>
      <w:tr>
        <w:trPr>
          <w:trHeight w:val="214"/>
        </w:trPr>
        <w:tc>
          <w:tcPr>
            <w:tcW w:w="9800" w:type="dxa"/>
            <w:vAlign w:val="bottom"/>
          </w:tcPr>
          <w:p>
            <w:pPr>
              <w:spacing w:after="0"/>
              <w:rPr>
                <w:sz w:val="20"/>
                <w:szCs w:val="20"/>
                <w:color w:val="auto"/>
              </w:rPr>
            </w:pPr>
            <w:r>
              <w:rPr>
                <w:rFonts w:ascii="Arial" w:cs="Arial" w:eastAsia="Arial" w:hAnsi="Arial"/>
                <w:sz w:val="17"/>
                <w:szCs w:val="17"/>
                <w:color w:val="auto"/>
              </w:rPr>
              <w:t>Dividend yield</w:t>
            </w:r>
          </w:p>
        </w:tc>
        <w:tc>
          <w:tcPr>
            <w:tcW w:w="162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78" w:lineRule="exact"/>
        <w:rPr>
          <w:sz w:val="20"/>
          <w:szCs w:val="20"/>
          <w:color w:val="auto"/>
        </w:rPr>
      </w:pPr>
    </w:p>
    <w:p>
      <w:pPr>
        <w:ind w:right="40" w:firstLine="413"/>
        <w:spacing w:after="0" w:line="277" w:lineRule="auto"/>
        <w:rPr>
          <w:sz w:val="20"/>
          <w:szCs w:val="20"/>
          <w:color w:val="auto"/>
        </w:rPr>
      </w:pPr>
      <w:r>
        <w:rPr>
          <w:rFonts w:ascii="Arial" w:cs="Arial" w:eastAsia="Arial" w:hAnsi="Arial"/>
          <w:sz w:val="16"/>
          <w:szCs w:val="16"/>
          <w:color w:val="auto"/>
        </w:rPr>
        <w:t>The Company used historical volatility to calculate the expected volatility as of December 31, 2017. Historical volatility was determined by calculating the mean reversion of the daily adjusted closing stock price. The risk-free interest rate assumption is based upon observed U.S. Treasury bill interest rates (risk-free) appropriate for the term of the Company’s stock options. The expected holding period of stock options represents the period of time options are expected to be outstanding and were based on historical experience. The vesting period ranges from one to four years and the contractual life is ten years.</w:t>
      </w:r>
    </w:p>
    <w:p>
      <w:pPr>
        <w:spacing w:after="0" w:line="163" w:lineRule="exact"/>
        <w:rPr>
          <w:sz w:val="20"/>
          <w:szCs w:val="20"/>
          <w:color w:val="auto"/>
        </w:rPr>
      </w:pPr>
    </w:p>
    <w:p>
      <w:pPr>
        <w:ind w:right="80" w:firstLine="413"/>
        <w:spacing w:after="0" w:line="273" w:lineRule="auto"/>
        <w:rPr>
          <w:sz w:val="20"/>
          <w:szCs w:val="20"/>
          <w:color w:val="auto"/>
        </w:rPr>
      </w:pPr>
      <w:r>
        <w:rPr>
          <w:rFonts w:ascii="Arial" w:cs="Arial" w:eastAsia="Arial" w:hAnsi="Arial"/>
          <w:sz w:val="16"/>
          <w:szCs w:val="16"/>
          <w:color w:val="auto"/>
        </w:rPr>
        <w:t>Stock-based compensation expense recognized in the consolidated statements of operations for the years ended December 31, 2017, 2016 and 2015 is recognized on awards as they vest and was reduced for annualized estimated forfeitures of 0.00%, 8.41% and 8.06%, respectively. As previously noted, the Company adopted ASU 2016-09 as of January 1, 2017, and accordingly recorded a cumulative effect adjustment for this adoption. As of that date onward, the Company has accounted for forfeitures as they occur. Prior to the adoption of ASU 2016-09, stock-based-payment accounting required forfeitures to be estimated at the time of grant and revised, if necessary, in subsequent periods if actual forfeitures differ from those estimates.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Related Party Transactions</w:t>
      </w:r>
    </w:p>
    <w:p>
      <w:pPr>
        <w:spacing w:after="0" w:line="315" w:lineRule="exact"/>
        <w:rPr>
          <w:sz w:val="20"/>
          <w:szCs w:val="20"/>
          <w:color w:val="auto"/>
        </w:rPr>
      </w:pPr>
    </w:p>
    <w:p>
      <w:pPr>
        <w:ind w:right="100" w:firstLine="413"/>
        <w:spacing w:after="0" w:line="254" w:lineRule="auto"/>
        <w:rPr>
          <w:sz w:val="20"/>
          <w:szCs w:val="20"/>
          <w:color w:val="auto"/>
        </w:rPr>
      </w:pPr>
      <w:r>
        <w:rPr>
          <w:rFonts w:ascii="Arial" w:cs="Arial" w:eastAsia="Arial" w:hAnsi="Arial"/>
          <w:sz w:val="17"/>
          <w:szCs w:val="17"/>
          <w:color w:val="auto"/>
        </w:rPr>
        <w:t>As part of the acquisitions of MCS and Triangle BioSystems, Inc. (TBSI), the Company signed lease agreements with the former owners of the acquired companies. The principals of such former owners were employees of the Company as of December 31, 2017. Pursuant to a lease agreement, the Company incurred rent expense of approximately $0.2 million to the former owners of MCS for each of the years ended December 31, 2017 and 2016 and 2015, respectively. Pursuant to a lease agreement, the Company incurred rent expense of approximately $42,000 to the former owner of TBSI for each of the years ended December 31, 2017 and 2016 and 2015,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Segment and Related Information</w:t>
      </w:r>
    </w:p>
    <w:p>
      <w:pPr>
        <w:spacing w:after="0" w:line="315" w:lineRule="exact"/>
        <w:rPr>
          <w:sz w:val="20"/>
          <w:szCs w:val="20"/>
          <w:color w:val="auto"/>
        </w:rPr>
      </w:pPr>
    </w:p>
    <w:p>
      <w:pPr>
        <w:ind w:right="420" w:firstLine="413"/>
        <w:spacing w:after="0" w:line="310" w:lineRule="auto"/>
        <w:rPr>
          <w:sz w:val="20"/>
          <w:szCs w:val="20"/>
          <w:color w:val="auto"/>
        </w:rPr>
      </w:pPr>
      <w:r>
        <w:rPr>
          <w:rFonts w:ascii="Arial" w:cs="Arial" w:eastAsia="Arial" w:hAnsi="Arial"/>
          <w:sz w:val="15"/>
          <w:szCs w:val="15"/>
          <w:color w:val="auto"/>
        </w:rPr>
        <w:t>Operating segments are determined by products and services provided by each segment, internal organization structure, the manner in which operations are managed, criteria used by the Chief Operating Decision Maker, or CODM, to assess the segment performance, as well as resource allocation and the availability of discrete financial information. The Company has one operating segment. As such, segment results and consolidated results are the same.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summarize selected financial information of the Company’s continuing operations by geographic location: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320" w:type="dxa"/>
            <w:vAlign w:val="bottom"/>
          </w:tcPr>
          <w:p>
            <w:pPr>
              <w:ind w:left="420"/>
              <w:spacing w:after="0"/>
              <w:rPr>
                <w:sz w:val="20"/>
                <w:szCs w:val="20"/>
                <w:color w:val="auto"/>
              </w:rPr>
            </w:pPr>
            <w:r>
              <w:rPr>
                <w:rFonts w:ascii="Arial" w:cs="Arial" w:eastAsia="Arial" w:hAnsi="Arial"/>
                <w:sz w:val="17"/>
                <w:szCs w:val="17"/>
                <w:color w:val="auto"/>
                <w:w w:val="94"/>
              </w:rPr>
              <w:t>Revenues originating from the following geographic areas consist of:</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43"/>
        </w:trPr>
        <w:tc>
          <w:tcPr>
            <w:tcW w:w="5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right="206"/>
              <w:spacing w:after="0"/>
              <w:rPr>
                <w:sz w:val="20"/>
                <w:szCs w:val="20"/>
                <w:color w:val="auto"/>
              </w:rPr>
            </w:pPr>
            <w:r>
              <w:rPr>
                <w:rFonts w:ascii="Arial" w:cs="Arial" w:eastAsia="Arial" w:hAnsi="Arial"/>
                <w:sz w:val="17"/>
                <w:szCs w:val="17"/>
                <w:b w:val="1"/>
                <w:bCs w:val="1"/>
                <w:color w:val="auto"/>
                <w:w w:val="90"/>
              </w:rPr>
              <w:t>Year Ended December 31,</w:t>
            </w:r>
          </w:p>
        </w:tc>
        <w:tc>
          <w:tcPr>
            <w:tcW w:w="1240" w:type="dxa"/>
            <w:vAlign w:val="bottom"/>
            <w:tcBorders>
              <w:bottom w:val="single" w:sz="8" w:color="auto"/>
            </w:tcBorders>
          </w:tcPr>
          <w:p>
            <w:pPr>
              <w:spacing w:after="0"/>
              <w:rPr>
                <w:sz w:val="24"/>
                <w:szCs w:val="24"/>
                <w:color w:val="auto"/>
              </w:rPr>
            </w:pPr>
          </w:p>
        </w:tc>
      </w:tr>
      <w:tr>
        <w:trPr>
          <w:trHeight w:val="208"/>
        </w:trPr>
        <w:tc>
          <w:tcPr>
            <w:tcW w:w="5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2017</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b w:val="1"/>
                <w:bCs w:val="1"/>
                <w:color w:val="auto"/>
                <w:w w:val="89"/>
              </w:rPr>
              <w:t>2016</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2015</w:t>
            </w:r>
          </w:p>
        </w:tc>
      </w:tr>
      <w:tr>
        <w:trPr>
          <w:trHeight w:val="195"/>
        </w:trPr>
        <w:tc>
          <w:tcPr>
            <w:tcW w:w="5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(in thousands)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2"/>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66,198</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65,179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64,766</w:t>
            </w:r>
          </w:p>
        </w:tc>
      </w:tr>
      <w:tr>
        <w:trPr>
          <w:trHeight w:val="202"/>
        </w:trPr>
        <w:tc>
          <w:tcPr>
            <w:tcW w:w="5320" w:type="dxa"/>
            <w:vAlign w:val="bottom"/>
          </w:tcPr>
          <w:p>
            <w:pPr>
              <w:spacing w:after="0"/>
              <w:rPr>
                <w:sz w:val="20"/>
                <w:szCs w:val="20"/>
                <w:color w:val="auto"/>
              </w:rPr>
            </w:pPr>
            <w:r>
              <w:rPr>
                <w:rFonts w:ascii="Arial" w:cs="Arial" w:eastAsia="Arial" w:hAnsi="Arial"/>
                <w:sz w:val="17"/>
                <w:szCs w:val="17"/>
                <w:color w:val="auto"/>
              </w:rPr>
              <w:t>Germany</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11,162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13,477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15,755</w:t>
            </w:r>
          </w:p>
        </w:tc>
      </w:tr>
      <w:tr>
        <w:trPr>
          <w:trHeight w:val="202"/>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United Kingdom</w:t>
            </w: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16,421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18,051</w:t>
            </w:r>
          </w:p>
        </w:tc>
      </w:tr>
      <w:tr>
        <w:trPr>
          <w:trHeight w:val="214"/>
        </w:trPr>
        <w:tc>
          <w:tcPr>
            <w:tcW w:w="53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Rest of the world</w:t>
            </w:r>
          </w:p>
        </w:tc>
        <w:tc>
          <w:tcPr>
            <w:tcW w:w="1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9,480</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9,444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10,092</w:t>
            </w:r>
          </w:p>
        </w:tc>
      </w:tr>
      <w:tr>
        <w:trPr>
          <w:trHeight w:val="208"/>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101,882</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104,521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108,664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813"/>
        </w:trPr>
        <w:tc>
          <w:tcPr>
            <w:tcW w:w="5320" w:type="dxa"/>
            <w:vAlign w:val="bottom"/>
          </w:tcPr>
          <w:p>
            <w:pPr>
              <w:spacing w:after="0"/>
              <w:rPr>
                <w:sz w:val="24"/>
                <w:szCs w:val="24"/>
                <w:color w:val="auto"/>
              </w:rPr>
            </w:pPr>
          </w:p>
        </w:tc>
        <w:tc>
          <w:tcPr>
            <w:tcW w:w="1460" w:type="dxa"/>
            <w:vAlign w:val="bottom"/>
            <w:gridSpan w:val="2"/>
          </w:tcPr>
          <w:p>
            <w:pPr>
              <w:jc w:val="right"/>
              <w:ind w:right="900"/>
              <w:spacing w:after="0"/>
              <w:rPr>
                <w:sz w:val="20"/>
                <w:szCs w:val="20"/>
                <w:color w:val="auto"/>
              </w:rPr>
            </w:pPr>
            <w:r>
              <w:rPr>
                <w:rFonts w:ascii="Arial" w:cs="Arial" w:eastAsia="Arial" w:hAnsi="Arial"/>
                <w:sz w:val="17"/>
                <w:szCs w:val="17"/>
                <w:color w:val="auto"/>
              </w:rPr>
              <w:t>F-34</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4"/>
        </w:trPr>
        <w:tc>
          <w:tcPr>
            <w:tcW w:w="532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228"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5" w:lineRule="exact"/>
        <w:rPr>
          <w:sz w:val="20"/>
          <w:szCs w:val="20"/>
          <w:color w:val="auto"/>
        </w:rPr>
      </w:pPr>
    </w:p>
    <w:p>
      <w:pPr>
        <w:ind w:left="420"/>
        <w:spacing w:after="0"/>
        <w:rPr>
          <w:sz w:val="20"/>
          <w:szCs w:val="20"/>
          <w:color w:val="auto"/>
        </w:rPr>
      </w:pPr>
      <w:r>
        <w:rPr>
          <w:rFonts w:ascii="Arial" w:cs="Arial" w:eastAsia="Arial" w:hAnsi="Arial"/>
          <w:sz w:val="15"/>
          <w:szCs w:val="15"/>
          <w:color w:val="auto"/>
        </w:rPr>
        <w:t>Long-lived assets by geographic area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1282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5510" cy="12827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Germany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255510" cy="1282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5510" cy="12827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Rest of the world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Total long-lived assets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152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5510" cy="152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2016</w:t>
            </w:r>
          </w:p>
        </w:tc>
      </w:tr>
      <w:tr>
        <w:trPr>
          <w:trHeight w:val="183"/>
        </w:trPr>
        <w:tc>
          <w:tcPr>
            <w:tcW w:w="360" w:type="dxa"/>
            <w:vAlign w:val="bottom"/>
          </w:tcPr>
          <w:p>
            <w:pPr>
              <w:spacing w:after="0"/>
              <w:rPr>
                <w:sz w:val="15"/>
                <w:szCs w:val="15"/>
                <w:color w:val="auto"/>
              </w:rPr>
            </w:pPr>
          </w:p>
        </w:tc>
        <w:tc>
          <w:tcPr>
            <w:tcW w:w="1880" w:type="dxa"/>
            <w:vAlign w:val="bottom"/>
            <w:gridSpan w:val="3"/>
          </w:tcPr>
          <w:p>
            <w:pPr>
              <w:jc w:val="right"/>
              <w:ind w:right="26"/>
              <w:spacing w:after="0" w:line="183" w:lineRule="exact"/>
              <w:rPr>
                <w:sz w:val="20"/>
                <w:szCs w:val="20"/>
                <w:color w:val="auto"/>
              </w:rPr>
            </w:pPr>
            <w:r>
              <w:rPr>
                <w:rFonts w:ascii="Arial" w:cs="Arial" w:eastAsia="Arial" w:hAnsi="Arial"/>
                <w:sz w:val="17"/>
                <w:szCs w:val="17"/>
                <w:color w:val="auto"/>
              </w:rPr>
              <w:t>(in thousands)</w:t>
            </w:r>
          </w:p>
        </w:tc>
        <w:tc>
          <w:tcPr>
            <w:tcW w:w="1060" w:type="dxa"/>
            <w:vAlign w:val="bottom"/>
          </w:tcPr>
          <w:p>
            <w:pPr>
              <w:spacing w:after="0"/>
              <w:rPr>
                <w:sz w:val="15"/>
                <w:szCs w:val="15"/>
                <w:color w:val="auto"/>
              </w:rPr>
            </w:pPr>
          </w:p>
        </w:tc>
      </w:tr>
      <w:tr>
        <w:trPr>
          <w:trHeight w:val="202"/>
        </w:trPr>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10,127</w:t>
            </w:r>
          </w:p>
        </w:tc>
        <w:tc>
          <w:tcPr>
            <w:tcW w:w="120" w:type="dxa"/>
            <w:vAlign w:val="bottom"/>
          </w:tcPr>
          <w:p>
            <w:pPr>
              <w:spacing w:after="0"/>
              <w:rPr>
                <w:sz w:val="17"/>
                <w:szCs w:val="17"/>
                <w:color w:val="auto"/>
              </w:rPr>
            </w:pP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12,004</w:t>
            </w:r>
          </w:p>
        </w:tc>
      </w:tr>
      <w:tr>
        <w:trPr>
          <w:trHeight w:val="202"/>
        </w:trPr>
        <w:tc>
          <w:tcPr>
            <w:tcW w:w="36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5,793</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5,504</w:t>
            </w:r>
          </w:p>
        </w:tc>
      </w:tr>
      <w:tr>
        <w:trPr>
          <w:trHeight w:val="214"/>
        </w:trPr>
        <w:tc>
          <w:tcPr>
            <w:tcW w:w="360" w:type="dxa"/>
            <w:vAlign w:val="bottom"/>
          </w:tcPr>
          <w:p>
            <w:pPr>
              <w:spacing w:after="0"/>
              <w:rPr>
                <w:sz w:val="18"/>
                <w:szCs w:val="18"/>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966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918</w:t>
            </w:r>
          </w:p>
        </w:tc>
      </w:tr>
      <w:tr>
        <w:trPr>
          <w:trHeight w:val="215"/>
        </w:trPr>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3,214</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3,341</w:t>
            </w:r>
          </w:p>
        </w:tc>
      </w:tr>
      <w:tr>
        <w:trPr>
          <w:trHeight w:val="208"/>
        </w:trPr>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20,100</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21,767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228" w:right="239" w:bottom="1440" w:gutter="0" w:footer="0" w:header="0"/>
        </w:sectPr>
      </w:pPr>
    </w:p>
    <w:p>
      <w:pPr>
        <w:spacing w:after="0" w:line="15" w:lineRule="exact"/>
        <w:rPr>
          <w:sz w:val="20"/>
          <w:szCs w:val="20"/>
          <w:color w:val="auto"/>
        </w:rPr>
      </w:pPr>
    </w:p>
    <w:p>
      <w:pPr>
        <w:ind w:left="420" w:right="3680" w:hanging="6"/>
        <w:spacing w:after="0" w:line="517" w:lineRule="auto"/>
        <w:tabs>
          <w:tab w:leader="none" w:pos="65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Total long-lived assets includes property, plant and equipment, net and amortizable intangible assets, net. Net assets by geographic area consist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7"/>
                <w:szCs w:val="17"/>
                <w:b w:val="1"/>
                <w:bCs w:val="1"/>
                <w:color w:val="auto"/>
              </w:rPr>
              <w:t>December 31,</w:t>
            </w:r>
          </w:p>
        </w:tc>
        <w:tc>
          <w:tcPr>
            <w:tcW w:w="1060" w:type="dxa"/>
            <w:vAlign w:val="bottom"/>
            <w:tcBorders>
              <w:bottom w:val="single" w:sz="8" w:color="auto"/>
            </w:tcBorders>
          </w:tcPr>
          <w:p>
            <w:pPr>
              <w:spacing w:after="0"/>
              <w:rPr>
                <w:sz w:val="19"/>
                <w:szCs w:val="19"/>
                <w:color w:val="auto"/>
              </w:rPr>
            </w:pPr>
          </w:p>
        </w:tc>
      </w:tr>
      <w:tr>
        <w:trPr>
          <w:trHeight w:val="208"/>
        </w:trPr>
        <w:tc>
          <w:tcPr>
            <w:tcW w:w="8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2016</w:t>
            </w:r>
          </w:p>
        </w:tc>
      </w:tr>
      <w:tr>
        <w:trPr>
          <w:trHeight w:val="195"/>
        </w:trPr>
        <w:tc>
          <w:tcPr>
            <w:tcW w:w="8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40" w:type="dxa"/>
            <w:vAlign w:val="bottom"/>
            <w:gridSpan w:val="3"/>
          </w:tcPr>
          <w:p>
            <w:pPr>
              <w:jc w:val="right"/>
              <w:ind w:right="26"/>
              <w:spacing w:after="0"/>
              <w:rPr>
                <w:sz w:val="20"/>
                <w:szCs w:val="20"/>
                <w:color w:val="auto"/>
              </w:rPr>
            </w:pPr>
            <w:r>
              <w:rPr>
                <w:rFonts w:ascii="Arial" w:cs="Arial" w:eastAsia="Arial" w:hAnsi="Arial"/>
                <w:sz w:val="17"/>
                <w:szCs w:val="17"/>
                <w:color w:val="auto"/>
              </w:rPr>
              <w:t>(in thousands)</w:t>
            </w:r>
          </w:p>
        </w:tc>
        <w:tc>
          <w:tcPr>
            <w:tcW w:w="1060" w:type="dxa"/>
            <w:vAlign w:val="bottom"/>
          </w:tcPr>
          <w:p>
            <w:pPr>
              <w:spacing w:after="0"/>
              <w:rPr>
                <w:sz w:val="16"/>
                <w:szCs w:val="16"/>
                <w:color w:val="auto"/>
              </w:rPr>
            </w:pPr>
          </w:p>
        </w:tc>
      </w:tr>
      <w:tr>
        <w:trPr>
          <w:trHeight w:val="202"/>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000" w:type="dxa"/>
            <w:vAlign w:val="bottom"/>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8"/>
              </w:rPr>
              <w:t>30,698</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22,312</w:t>
            </w:r>
          </w:p>
        </w:tc>
      </w:tr>
      <w:tr>
        <w:trPr>
          <w:trHeight w:val="202"/>
        </w:trPr>
        <w:tc>
          <w:tcPr>
            <w:tcW w:w="8120" w:type="dxa"/>
            <w:vAlign w:val="bottom"/>
          </w:tcPr>
          <w:p>
            <w:pPr>
              <w:spacing w:after="0"/>
              <w:rPr>
                <w:sz w:val="20"/>
                <w:szCs w:val="20"/>
                <w:color w:val="auto"/>
              </w:rPr>
            </w:pPr>
            <w:r>
              <w:rPr>
                <w:rFonts w:ascii="Arial" w:cs="Arial" w:eastAsia="Arial" w:hAnsi="Arial"/>
                <w:sz w:val="17"/>
                <w:szCs w:val="17"/>
                <w:color w:val="auto"/>
              </w:rPr>
              <w:t>Germany</w:t>
            </w:r>
          </w:p>
        </w:tc>
        <w:tc>
          <w:tcPr>
            <w:tcW w:w="1000" w:type="dxa"/>
            <w:vAlign w:val="bottom"/>
          </w:tcPr>
          <w:p>
            <w:pPr>
              <w:spacing w:after="0"/>
              <w:rPr>
                <w:sz w:val="17"/>
                <w:szCs w:val="17"/>
                <w:color w:val="auto"/>
              </w:rPr>
            </w:pPr>
          </w:p>
        </w:tc>
        <w:tc>
          <w:tcPr>
            <w:tcW w:w="600" w:type="dxa"/>
            <w:vAlign w:val="bottom"/>
          </w:tcPr>
          <w:p>
            <w:pPr>
              <w:jc w:val="right"/>
              <w:ind w:right="36"/>
              <w:spacing w:after="0"/>
              <w:rPr>
                <w:sz w:val="20"/>
                <w:szCs w:val="20"/>
                <w:color w:val="auto"/>
              </w:rPr>
            </w:pPr>
            <w:r>
              <w:rPr>
                <w:rFonts w:ascii="Arial" w:cs="Arial" w:eastAsia="Arial" w:hAnsi="Arial"/>
                <w:sz w:val="17"/>
                <w:szCs w:val="17"/>
                <w:color w:val="auto"/>
                <w:w w:val="88"/>
              </w:rPr>
              <w:t>18,354</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18,512</w:t>
            </w:r>
          </w:p>
        </w:tc>
      </w:tr>
      <w:tr>
        <w:trPr>
          <w:trHeight w:val="202"/>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United Kingdom</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8"/>
              </w:rPr>
              <w:t>14,376</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17,908</w:t>
            </w:r>
          </w:p>
        </w:tc>
      </w:tr>
      <w:tr>
        <w:trPr>
          <w:trHeight w:val="214"/>
        </w:trPr>
        <w:tc>
          <w:tcPr>
            <w:tcW w:w="81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Rest of the world</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8"/>
              </w:rPr>
              <w:t>17,472</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18,866</w:t>
            </w:r>
          </w:p>
        </w:tc>
      </w:tr>
      <w:tr>
        <w:trPr>
          <w:trHeight w:val="208"/>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net assets</w:t>
            </w:r>
          </w:p>
        </w:tc>
        <w:tc>
          <w:tcPr>
            <w:tcW w:w="100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8"/>
              </w:rPr>
              <w:t>80,900</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77,598</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Allowance for Doubtful Accounts</w:t>
      </w:r>
    </w:p>
    <w:p>
      <w:pPr>
        <w:spacing w:after="0" w:line="315" w:lineRule="exact"/>
        <w:rPr>
          <w:sz w:val="20"/>
          <w:szCs w:val="20"/>
          <w:color w:val="auto"/>
        </w:rPr>
      </w:pPr>
    </w:p>
    <w:p>
      <w:pPr>
        <w:ind w:right="540" w:firstLine="413"/>
        <w:spacing w:after="0" w:line="271" w:lineRule="auto"/>
        <w:rPr>
          <w:sz w:val="20"/>
          <w:szCs w:val="20"/>
          <w:color w:val="auto"/>
        </w:rPr>
      </w:pPr>
      <w:r>
        <w:rPr>
          <w:rFonts w:ascii="Arial" w:cs="Arial" w:eastAsia="Arial" w:hAnsi="Arial"/>
          <w:sz w:val="17"/>
          <w:szCs w:val="17"/>
          <w:color w:val="auto"/>
        </w:rPr>
        <w:t>Allowance for doubtful accounts is based on the Company’s assessment of the collectability of customer accounts. A rollforward of allowance for doubtful accounts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60" w:type="dxa"/>
            <w:vAlign w:val="bottom"/>
            <w:gridSpan w:val="2"/>
          </w:tcPr>
          <w:p>
            <w:pPr>
              <w:jc w:val="right"/>
              <w:ind w:right="136"/>
              <w:spacing w:after="0"/>
              <w:rPr>
                <w:sz w:val="20"/>
                <w:szCs w:val="20"/>
                <w:color w:val="auto"/>
              </w:rPr>
            </w:pPr>
            <w:r>
              <w:rPr>
                <w:rFonts w:ascii="Arial" w:cs="Arial" w:eastAsia="Arial" w:hAnsi="Arial"/>
                <w:sz w:val="17"/>
                <w:szCs w:val="17"/>
                <w:b w:val="1"/>
                <w:bCs w:val="1"/>
                <w:color w:val="auto"/>
              </w:rPr>
              <w:t>Charged (credited) to</w:t>
            </w: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216"/>
              <w:spacing w:after="0"/>
              <w:rPr>
                <w:sz w:val="20"/>
                <w:szCs w:val="20"/>
                <w:color w:val="auto"/>
              </w:rPr>
            </w:pPr>
            <w:r>
              <w:rPr>
                <w:rFonts w:ascii="Arial" w:cs="Arial" w:eastAsia="Arial" w:hAnsi="Arial"/>
                <w:sz w:val="17"/>
                <w:szCs w:val="17"/>
                <w:b w:val="1"/>
                <w:bCs w:val="1"/>
                <w:color w:val="auto"/>
                <w:w w:val="98"/>
              </w:rPr>
              <w:t>Beginning</w:t>
            </w:r>
          </w:p>
        </w:tc>
        <w:tc>
          <w:tcPr>
            <w:tcW w:w="1760" w:type="dxa"/>
            <w:vAlign w:val="bottom"/>
          </w:tcPr>
          <w:p>
            <w:pPr>
              <w:jc w:val="right"/>
              <w:ind w:right="456"/>
              <w:spacing w:after="0"/>
              <w:rPr>
                <w:sz w:val="20"/>
                <w:szCs w:val="20"/>
                <w:color w:val="auto"/>
              </w:rPr>
            </w:pPr>
            <w:r>
              <w:rPr>
                <w:rFonts w:ascii="Arial" w:cs="Arial" w:eastAsia="Arial" w:hAnsi="Arial"/>
                <w:sz w:val="17"/>
                <w:szCs w:val="17"/>
                <w:b w:val="1"/>
                <w:bCs w:val="1"/>
                <w:color w:val="auto"/>
              </w:rPr>
              <w:t>Bad Debt</w:t>
            </w:r>
          </w:p>
        </w:tc>
        <w:tc>
          <w:tcPr>
            <w:tcW w:w="1600" w:type="dxa"/>
            <w:vAlign w:val="bottom"/>
          </w:tcPr>
          <w:p>
            <w:pPr>
              <w:jc w:val="right"/>
              <w:ind w:right="416"/>
              <w:spacing w:after="0"/>
              <w:rPr>
                <w:sz w:val="20"/>
                <w:szCs w:val="20"/>
                <w:color w:val="auto"/>
              </w:rPr>
            </w:pPr>
            <w:r>
              <w:rPr>
                <w:rFonts w:ascii="Arial" w:cs="Arial" w:eastAsia="Arial" w:hAnsi="Arial"/>
                <w:sz w:val="17"/>
                <w:szCs w:val="17"/>
                <w:b w:val="1"/>
                <w:bCs w:val="1"/>
                <w:color w:val="auto"/>
              </w:rPr>
              <w:t>Charged to</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316"/>
              <w:spacing w:after="0"/>
              <w:rPr>
                <w:sz w:val="20"/>
                <w:szCs w:val="20"/>
                <w:color w:val="auto"/>
              </w:rPr>
            </w:pPr>
            <w:r>
              <w:rPr>
                <w:rFonts w:ascii="Arial" w:cs="Arial" w:eastAsia="Arial" w:hAnsi="Arial"/>
                <w:sz w:val="17"/>
                <w:szCs w:val="17"/>
                <w:b w:val="1"/>
                <w:bCs w:val="1"/>
                <w:color w:val="auto"/>
              </w:rPr>
              <w:t>Ending</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Balance</w:t>
            </w:r>
          </w:p>
        </w:tc>
        <w:tc>
          <w:tcPr>
            <w:tcW w:w="17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w w:val="92"/>
              </w:rPr>
              <w:t>Expense (Recoveries)</w:t>
            </w:r>
          </w:p>
        </w:tc>
        <w:tc>
          <w:tcPr>
            <w:tcW w:w="16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Allowance (1)</w:t>
            </w:r>
          </w:p>
        </w:tc>
        <w:tc>
          <w:tcPr>
            <w:tcW w:w="12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Other (2)</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Balance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jc w:val="right"/>
              <w:ind w:right="436"/>
              <w:spacing w:after="0"/>
              <w:rPr>
                <w:sz w:val="20"/>
                <w:szCs w:val="20"/>
                <w:color w:val="auto"/>
              </w:rPr>
            </w:pPr>
            <w:r>
              <w:rPr>
                <w:rFonts w:ascii="Arial" w:cs="Arial" w:eastAsia="Arial" w:hAnsi="Arial"/>
                <w:sz w:val="17"/>
                <w:szCs w:val="17"/>
                <w:color w:val="auto"/>
                <w:w w:val="98"/>
              </w:rPr>
              <w:t>(in thousands)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2015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328</w:t>
            </w:r>
          </w:p>
        </w:tc>
        <w:tc>
          <w:tcPr>
            <w:tcW w:w="17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(4)</w:t>
            </w:r>
          </w:p>
        </w:tc>
        <w:tc>
          <w:tcPr>
            <w:tcW w:w="160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4</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3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Year ended December 31, 2016</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310</w:t>
            </w:r>
          </w:p>
        </w:tc>
        <w:tc>
          <w:tcPr>
            <w:tcW w:w="1760" w:type="dxa"/>
            <w:vAlign w:val="bottom"/>
          </w:tcPr>
          <w:p>
            <w:pPr>
              <w:jc w:val="right"/>
              <w:ind w:right="156"/>
              <w:spacing w:after="0"/>
              <w:rPr>
                <w:sz w:val="20"/>
                <w:szCs w:val="20"/>
                <w:color w:val="auto"/>
              </w:rPr>
            </w:pPr>
            <w:r>
              <w:rPr>
                <w:rFonts w:ascii="Arial" w:cs="Arial" w:eastAsia="Arial" w:hAnsi="Arial"/>
                <w:sz w:val="17"/>
                <w:szCs w:val="17"/>
                <w:color w:val="auto"/>
              </w:rPr>
              <w:t>309</w:t>
            </w:r>
          </w:p>
        </w:tc>
        <w:tc>
          <w:tcPr>
            <w:tcW w:w="1600" w:type="dxa"/>
            <w:vAlign w:val="bottom"/>
          </w:tcPr>
          <w:p>
            <w:pPr>
              <w:jc w:val="right"/>
              <w:ind w:right="256"/>
              <w:spacing w:after="0"/>
              <w:rPr>
                <w:sz w:val="20"/>
                <w:szCs w:val="20"/>
                <w:color w:val="auto"/>
              </w:rPr>
            </w:pPr>
            <w:r>
              <w:rPr>
                <w:rFonts w:ascii="Arial" w:cs="Arial" w:eastAsia="Arial" w:hAnsi="Arial"/>
                <w:sz w:val="17"/>
                <w:szCs w:val="17"/>
                <w:color w:val="auto"/>
              </w:rPr>
              <w:t>11</w:t>
            </w:r>
          </w:p>
        </w:tc>
        <w:tc>
          <w:tcPr>
            <w:tcW w:w="1260" w:type="dxa"/>
            <w:vAlign w:val="bottom"/>
          </w:tcPr>
          <w:p>
            <w:pPr>
              <w:jc w:val="right"/>
              <w:spacing w:after="0"/>
              <w:rPr>
                <w:sz w:val="20"/>
                <w:szCs w:val="20"/>
                <w:color w:val="auto"/>
              </w:rPr>
            </w:pPr>
            <w:r>
              <w:rPr>
                <w:rFonts w:ascii="Arial" w:cs="Arial" w:eastAsia="Arial" w:hAnsi="Arial"/>
                <w:sz w:val="17"/>
                <w:szCs w:val="17"/>
                <w:color w:val="auto"/>
              </w:rPr>
              <w:t>(19)</w:t>
            </w:r>
          </w:p>
        </w:tc>
        <w:tc>
          <w:tcPr>
            <w:tcW w:w="3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6"/>
              <w:spacing w:after="0"/>
              <w:rPr>
                <w:sz w:val="20"/>
                <w:szCs w:val="20"/>
                <w:color w:val="auto"/>
              </w:rPr>
            </w:pPr>
            <w:r>
              <w:rPr>
                <w:rFonts w:ascii="Arial" w:cs="Arial" w:eastAsia="Arial" w:hAnsi="Arial"/>
                <w:sz w:val="17"/>
                <w:szCs w:val="17"/>
                <w:color w:val="auto"/>
              </w:rPr>
              <w:t>611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2017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611</w:t>
            </w:r>
          </w:p>
        </w:tc>
        <w:tc>
          <w:tcPr>
            <w:tcW w:w="17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(109)</w:t>
            </w:r>
          </w:p>
        </w:tc>
        <w:tc>
          <w:tcPr>
            <w:tcW w:w="16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(68)</w:t>
            </w:r>
          </w:p>
        </w:tc>
        <w:tc>
          <w:tcPr>
            <w:tcW w:w="12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20</w:t>
            </w:r>
          </w:p>
        </w:tc>
        <w:tc>
          <w:tcPr>
            <w:tcW w:w="3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454</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hanging="246"/>
        <w:spacing w:after="0"/>
        <w:tabs>
          <w:tab w:leader="none" w:pos="6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Consists of accounts written off, net of recoveries.</w:t>
      </w:r>
    </w:p>
    <w:p>
      <w:pPr>
        <w:spacing w:after="0" w:line="18" w:lineRule="exact"/>
        <w:rPr>
          <w:rFonts w:ascii="Arial" w:cs="Arial" w:eastAsia="Arial" w:hAnsi="Arial"/>
          <w:sz w:val="17"/>
          <w:szCs w:val="17"/>
          <w:color w:val="auto"/>
        </w:rPr>
      </w:pPr>
    </w:p>
    <w:p>
      <w:pPr>
        <w:ind w:left="660" w:hanging="246"/>
        <w:spacing w:after="0"/>
        <w:tabs>
          <w:tab w:leader="none" w:pos="6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Consists of the effect of currency translation.</w:t>
      </w:r>
    </w:p>
    <w:p>
      <w:pPr>
        <w:spacing w:after="0" w:line="193" w:lineRule="exact"/>
        <w:rPr>
          <w:rFonts w:ascii="Arial" w:cs="Arial" w:eastAsia="Arial" w:hAnsi="Arial"/>
          <w:sz w:val="17"/>
          <w:szCs w:val="17"/>
          <w:color w:val="auto"/>
        </w:rPr>
      </w:pPr>
    </w:p>
    <w:p>
      <w:pPr>
        <w:ind w:left="340" w:hanging="339"/>
        <w:spacing w:after="0"/>
        <w:tabs>
          <w:tab w:leader="none" w:pos="34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Warranties</w:t>
      </w:r>
    </w:p>
    <w:p>
      <w:pPr>
        <w:spacing w:after="0" w:line="31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Warranties are estimated and accrued at the time revenues are recorded. A rollforward of the Company’s product warranty accrual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416"/>
              <w:spacing w:after="0"/>
              <w:rPr>
                <w:sz w:val="20"/>
                <w:szCs w:val="20"/>
                <w:color w:val="auto"/>
              </w:rPr>
            </w:pPr>
            <w:r>
              <w:rPr>
                <w:rFonts w:ascii="Arial" w:cs="Arial" w:eastAsia="Arial" w:hAnsi="Arial"/>
                <w:sz w:val="17"/>
                <w:szCs w:val="17"/>
                <w:b w:val="1"/>
                <w:bCs w:val="1"/>
                <w:color w:val="auto"/>
                <w:w w:val="88"/>
              </w:rPr>
              <w:t>Beginning</w:t>
            </w:r>
          </w:p>
        </w:tc>
        <w:tc>
          <w:tcPr>
            <w:tcW w:w="1480" w:type="dxa"/>
            <w:vAlign w:val="bottom"/>
          </w:tcPr>
          <w:p>
            <w:pPr>
              <w:spacing w:after="0"/>
              <w:rPr>
                <w:sz w:val="18"/>
                <w:szCs w:val="18"/>
                <w:color w:val="auto"/>
              </w:rPr>
            </w:pPr>
          </w:p>
        </w:tc>
        <w:tc>
          <w:tcPr>
            <w:tcW w:w="1340" w:type="dxa"/>
            <w:vAlign w:val="bottom"/>
          </w:tcPr>
          <w:p>
            <w:pPr>
              <w:jc w:val="right"/>
              <w:ind w:right="256"/>
              <w:spacing w:after="0"/>
              <w:rPr>
                <w:sz w:val="20"/>
                <w:szCs w:val="20"/>
                <w:color w:val="auto"/>
              </w:rPr>
            </w:pPr>
            <w:r>
              <w:rPr>
                <w:rFonts w:ascii="Arial" w:cs="Arial" w:eastAsia="Arial" w:hAnsi="Arial"/>
                <w:sz w:val="17"/>
                <w:szCs w:val="17"/>
                <w:b w:val="1"/>
                <w:bCs w:val="1"/>
                <w:color w:val="auto"/>
              </w:rPr>
              <w:t>Additions/</w:t>
            </w:r>
          </w:p>
        </w:tc>
        <w:tc>
          <w:tcPr>
            <w:tcW w:w="320" w:type="dxa"/>
            <w:vAlign w:val="bottom"/>
          </w:tcPr>
          <w:p>
            <w:pPr>
              <w:spacing w:after="0"/>
              <w:rPr>
                <w:sz w:val="18"/>
                <w:szCs w:val="18"/>
                <w:color w:val="auto"/>
              </w:rPr>
            </w:pPr>
          </w:p>
        </w:tc>
        <w:tc>
          <w:tcPr>
            <w:tcW w:w="1120" w:type="dxa"/>
            <w:vAlign w:val="bottom"/>
          </w:tcPr>
          <w:p>
            <w:pPr>
              <w:jc w:val="right"/>
              <w:ind w:right="336"/>
              <w:spacing w:after="0"/>
              <w:rPr>
                <w:sz w:val="20"/>
                <w:szCs w:val="20"/>
                <w:color w:val="auto"/>
              </w:rPr>
            </w:pPr>
            <w:r>
              <w:rPr>
                <w:rFonts w:ascii="Arial" w:cs="Arial" w:eastAsia="Arial" w:hAnsi="Arial"/>
                <w:sz w:val="17"/>
                <w:szCs w:val="17"/>
                <w:b w:val="1"/>
                <w:bCs w:val="1"/>
                <w:color w:val="auto"/>
              </w:rPr>
              <w:t>Ending</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Balance</w:t>
            </w:r>
          </w:p>
        </w:tc>
        <w:tc>
          <w:tcPr>
            <w:tcW w:w="148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Payments</w:t>
            </w:r>
          </w:p>
        </w:tc>
        <w:tc>
          <w:tcPr>
            <w:tcW w:w="13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(Credits)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Balance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20" w:type="dxa"/>
            <w:vAlign w:val="bottom"/>
            <w:gridSpan w:val="2"/>
          </w:tcPr>
          <w:p>
            <w:pPr>
              <w:jc w:val="right"/>
              <w:ind w:right="896"/>
              <w:spacing w:after="0"/>
              <w:rPr>
                <w:sz w:val="20"/>
                <w:szCs w:val="20"/>
                <w:color w:val="auto"/>
              </w:rPr>
            </w:pPr>
            <w:r>
              <w:rPr>
                <w:rFonts w:ascii="Arial" w:cs="Arial" w:eastAsia="Arial" w:hAnsi="Arial"/>
                <w:sz w:val="17"/>
                <w:szCs w:val="17"/>
                <w:color w:val="auto"/>
              </w:rPr>
              <w:t>(in thousands)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38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2015</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252</w:t>
            </w:r>
          </w:p>
        </w:tc>
        <w:tc>
          <w:tcPr>
            <w:tcW w:w="14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(81)</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w:t>
            </w:r>
          </w:p>
        </w:tc>
        <w:tc>
          <w:tcPr>
            <w:tcW w:w="3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2016</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147</w:t>
            </w:r>
          </w:p>
        </w:tc>
        <w:tc>
          <w:tcPr>
            <w:tcW w:w="14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(97)</w:t>
            </w: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143</w:t>
            </w:r>
          </w:p>
        </w:tc>
        <w:tc>
          <w:tcPr>
            <w:tcW w:w="3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2017</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193</w:t>
            </w:r>
          </w:p>
        </w:tc>
        <w:tc>
          <w:tcPr>
            <w:tcW w:w="14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(7)</w:t>
            </w: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60</w:t>
            </w:r>
          </w:p>
        </w:tc>
        <w:tc>
          <w:tcPr>
            <w:tcW w:w="3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80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60" w:type="dxa"/>
            <w:vAlign w:val="bottom"/>
            <w:gridSpan w:val="2"/>
          </w:tcPr>
          <w:p>
            <w:pPr>
              <w:jc w:val="right"/>
              <w:ind w:right="20"/>
              <w:spacing w:after="0"/>
              <w:rPr>
                <w:sz w:val="20"/>
                <w:szCs w:val="20"/>
                <w:color w:val="auto"/>
              </w:rPr>
            </w:pPr>
            <w:r>
              <w:rPr>
                <w:rFonts w:ascii="Arial" w:cs="Arial" w:eastAsia="Arial" w:hAnsi="Arial"/>
                <w:sz w:val="17"/>
                <w:szCs w:val="17"/>
                <w:color w:val="auto"/>
              </w:rPr>
              <w:t>F-35</w:t>
            </w: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820" w:type="dxa"/>
            <w:vAlign w:val="bottom"/>
            <w:shd w:val="clear" w:color="auto" w:fill="000000"/>
          </w:tcPr>
          <w:p>
            <w:pPr>
              <w:spacing w:after="0"/>
              <w:rPr>
                <w:sz w:val="5"/>
                <w:szCs w:val="5"/>
                <w:color w:val="auto"/>
              </w:rPr>
            </w:pPr>
          </w:p>
        </w:tc>
        <w:tc>
          <w:tcPr>
            <w:tcW w:w="17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8" w:right="239" w:bottom="1440" w:gutter="0" w:footer="0" w:header="0"/>
          <w:type w:val="continuous"/>
        </w:sectPr>
      </w:pPr>
    </w:p>
    <w:bookmarkStart w:id="79" w:name="page80"/>
    <w:bookmarkEnd w:id="7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ind w:left="600" w:right="7840" w:hanging="599"/>
        <w:spacing w:after="0" w:line="633" w:lineRule="auto"/>
        <w:tabs>
          <w:tab w:leader="none" w:pos="322"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Quarterly Financial Information (unaudited) Statement of Operations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2017</w:t>
            </w:r>
          </w:p>
        </w:tc>
        <w:tc>
          <w:tcPr>
            <w:tcW w:w="240" w:type="dxa"/>
            <w:vAlign w:val="bottom"/>
          </w:tcPr>
          <w:p>
            <w:pPr>
              <w:spacing w:after="0"/>
              <w:rPr>
                <w:sz w:val="18"/>
                <w:szCs w:val="18"/>
                <w:color w:val="auto"/>
              </w:rPr>
            </w:pPr>
          </w:p>
        </w:tc>
        <w:tc>
          <w:tcPr>
            <w:tcW w:w="1120" w:type="dxa"/>
            <w:vAlign w:val="bottom"/>
          </w:tcPr>
          <w:p>
            <w:pPr>
              <w:jc w:val="right"/>
              <w:ind w:right="416"/>
              <w:spacing w:after="0"/>
              <w:rPr>
                <w:sz w:val="20"/>
                <w:szCs w:val="20"/>
                <w:color w:val="auto"/>
              </w:rPr>
            </w:pPr>
            <w:r>
              <w:rPr>
                <w:rFonts w:ascii="Arial" w:cs="Arial" w:eastAsia="Arial" w:hAnsi="Arial"/>
                <w:sz w:val="17"/>
                <w:szCs w:val="17"/>
                <w:b w:val="1"/>
                <w:bCs w:val="1"/>
                <w:color w:val="auto"/>
              </w:rPr>
              <w:t>First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36"/>
              <w:spacing w:after="0"/>
              <w:rPr>
                <w:sz w:val="20"/>
                <w:szCs w:val="20"/>
                <w:color w:val="auto"/>
              </w:rPr>
            </w:pPr>
            <w:r>
              <w:rPr>
                <w:rFonts w:ascii="Arial" w:cs="Arial" w:eastAsia="Arial" w:hAnsi="Arial"/>
                <w:sz w:val="17"/>
                <w:szCs w:val="17"/>
                <w:b w:val="1"/>
                <w:bCs w:val="1"/>
                <w:color w:val="auto"/>
                <w:w w:val="97"/>
              </w:rPr>
              <w:t>Second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36"/>
              <w:spacing w:after="0"/>
              <w:rPr>
                <w:sz w:val="20"/>
                <w:szCs w:val="20"/>
                <w:color w:val="auto"/>
              </w:rPr>
            </w:pPr>
            <w:r>
              <w:rPr>
                <w:rFonts w:ascii="Arial" w:cs="Arial" w:eastAsia="Arial" w:hAnsi="Arial"/>
                <w:sz w:val="17"/>
                <w:szCs w:val="17"/>
                <w:b w:val="1"/>
                <w:bCs w:val="1"/>
                <w:color w:val="auto"/>
                <w:w w:val="98"/>
              </w:rPr>
              <w:t>Third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36"/>
              <w:spacing w:after="0"/>
              <w:rPr>
                <w:sz w:val="20"/>
                <w:szCs w:val="20"/>
                <w:color w:val="auto"/>
              </w:rPr>
            </w:pPr>
            <w:r>
              <w:rPr>
                <w:rFonts w:ascii="Arial" w:cs="Arial" w:eastAsia="Arial" w:hAnsi="Arial"/>
                <w:sz w:val="17"/>
                <w:szCs w:val="17"/>
                <w:b w:val="1"/>
                <w:bCs w:val="1"/>
                <w:color w:val="auto"/>
              </w:rPr>
              <w:t>Fourth</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76"/>
              <w:spacing w:after="0"/>
              <w:rPr>
                <w:sz w:val="20"/>
                <w:szCs w:val="20"/>
                <w:color w:val="auto"/>
              </w:rPr>
            </w:pPr>
            <w:r>
              <w:rPr>
                <w:rFonts w:ascii="Arial" w:cs="Arial" w:eastAsia="Arial" w:hAnsi="Arial"/>
                <w:sz w:val="17"/>
                <w:szCs w:val="17"/>
                <w:b w:val="1"/>
                <w:bCs w:val="1"/>
                <w:color w:val="auto"/>
              </w:rPr>
              <w:t>Fiscal</w:t>
            </w:r>
          </w:p>
        </w:tc>
        <w:tc>
          <w:tcPr>
            <w:tcW w:w="0" w:type="dxa"/>
            <w:vAlign w:val="bottom"/>
          </w:tcPr>
          <w:p>
            <w:pPr>
              <w:spacing w:after="0"/>
              <w:rPr>
                <w:sz w:val="1"/>
                <w:szCs w:val="1"/>
                <w:color w:val="auto"/>
              </w:rPr>
            </w:pPr>
          </w:p>
        </w:tc>
      </w:tr>
      <w:tr>
        <w:trPr>
          <w:trHeight w:val="168"/>
        </w:trPr>
        <w:tc>
          <w:tcPr>
            <w:tcW w:w="41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6"/>
              <w:spacing w:after="0" w:line="149" w:lineRule="exact"/>
              <w:rPr>
                <w:sz w:val="20"/>
                <w:szCs w:val="20"/>
                <w:color w:val="auto"/>
              </w:rPr>
            </w:pPr>
            <w:r>
              <w:rPr>
                <w:rFonts w:ascii="Arial" w:cs="Arial" w:eastAsia="Arial" w:hAnsi="Arial"/>
                <w:sz w:val="17"/>
                <w:szCs w:val="17"/>
                <w:b w:val="1"/>
                <w:bCs w:val="1"/>
                <w:color w:val="auto"/>
              </w:rPr>
              <w:t>Quarter</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296"/>
              <w:spacing w:after="0" w:line="149" w:lineRule="exact"/>
              <w:rPr>
                <w:sz w:val="20"/>
                <w:szCs w:val="20"/>
                <w:color w:val="auto"/>
              </w:rPr>
            </w:pPr>
            <w:r>
              <w:rPr>
                <w:rFonts w:ascii="Arial" w:cs="Arial" w:eastAsia="Arial" w:hAnsi="Arial"/>
                <w:sz w:val="17"/>
                <w:szCs w:val="17"/>
                <w:b w:val="1"/>
                <w:bCs w:val="1"/>
                <w:color w:val="auto"/>
              </w:rPr>
              <w:t>Quarter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6"/>
              <w:spacing w:after="0" w:line="149" w:lineRule="exact"/>
              <w:rPr>
                <w:sz w:val="20"/>
                <w:szCs w:val="20"/>
                <w:color w:val="auto"/>
              </w:rPr>
            </w:pPr>
            <w:r>
              <w:rPr>
                <w:rFonts w:ascii="Arial" w:cs="Arial" w:eastAsia="Arial" w:hAnsi="Arial"/>
                <w:sz w:val="17"/>
                <w:szCs w:val="17"/>
                <w:b w:val="1"/>
                <w:bCs w:val="1"/>
                <w:color w:val="auto"/>
                <w:w w:val="97"/>
              </w:rPr>
              <w:t>Quarter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6"/>
              <w:spacing w:after="0" w:line="149" w:lineRule="exact"/>
              <w:rPr>
                <w:sz w:val="20"/>
                <w:szCs w:val="20"/>
                <w:color w:val="auto"/>
              </w:rPr>
            </w:pPr>
            <w:r>
              <w:rPr>
                <w:rFonts w:ascii="Arial" w:cs="Arial" w:eastAsia="Arial" w:hAnsi="Arial"/>
                <w:sz w:val="17"/>
                <w:szCs w:val="17"/>
                <w:b w:val="1"/>
                <w:bCs w:val="1"/>
                <w:color w:val="auto"/>
              </w:rPr>
              <w:t>Quarter</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16"/>
              <w:spacing w:after="0" w:line="149" w:lineRule="exact"/>
              <w:rPr>
                <w:sz w:val="20"/>
                <w:szCs w:val="20"/>
                <w:color w:val="auto"/>
              </w:rPr>
            </w:pPr>
            <w:r>
              <w:rPr>
                <w:rFonts w:ascii="Arial" w:cs="Arial" w:eastAsia="Arial" w:hAnsi="Arial"/>
                <w:sz w:val="17"/>
                <w:szCs w:val="17"/>
                <w:b w:val="1"/>
                <w:bCs w:val="1"/>
                <w:color w:val="auto"/>
              </w:rPr>
              <w:t>Year</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0" w:type="dxa"/>
            <w:vAlign w:val="bottom"/>
            <w:gridSpan w:val="7"/>
          </w:tcPr>
          <w:p>
            <w:pPr>
              <w:jc w:val="center"/>
              <w:ind w:right="216"/>
              <w:spacing w:after="0"/>
              <w:rPr>
                <w:sz w:val="20"/>
                <w:szCs w:val="20"/>
                <w:color w:val="auto"/>
              </w:rPr>
            </w:pPr>
            <w:r>
              <w:rPr>
                <w:rFonts w:ascii="Arial" w:cs="Arial" w:eastAsia="Arial" w:hAnsi="Arial"/>
                <w:sz w:val="17"/>
                <w:szCs w:val="17"/>
                <w:color w:val="auto"/>
                <w:w w:val="87"/>
              </w:rPr>
              <w:t>(in thousands, except per share data)</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24,156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25,213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25,050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27,463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101,882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Cost of revenues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12,657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13,926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13,411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14,291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54,285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11,499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11,287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11,639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13,172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47,597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12,138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11,286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11,775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12,499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47,698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(loss) income</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673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(expense)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Income tax expense (benefit)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income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999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20" w:type="dxa"/>
            <w:vAlign w:val="bottom"/>
            <w:gridSpan w:val="2"/>
            <w:shd w:val="clear" w:color="auto" w:fill="CCEEFF"/>
          </w:tcPr>
          <w:p>
            <w:pPr>
              <w:ind w:left="140"/>
              <w:spacing w:after="0" w:line="194" w:lineRule="exact"/>
              <w:rPr>
                <w:sz w:val="20"/>
                <w:szCs w:val="20"/>
                <w:color w:val="auto"/>
              </w:rPr>
            </w:pPr>
            <w:r>
              <w:rPr>
                <w:rFonts w:ascii="Arial" w:cs="Arial" w:eastAsia="Arial" w:hAnsi="Arial"/>
                <w:sz w:val="17"/>
                <w:szCs w:val="17"/>
                <w:color w:val="auto"/>
              </w:rPr>
              <w:t>Basic (loss) earnings per common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0.03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38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20" w:type="dxa"/>
            <w:vAlign w:val="bottom"/>
            <w:gridSpan w:val="2"/>
            <w:shd w:val="clear" w:color="auto" w:fill="CCEEFF"/>
          </w:tcPr>
          <w:p>
            <w:pPr>
              <w:ind w:left="140"/>
              <w:spacing w:after="0" w:line="194" w:lineRule="exact"/>
              <w:rPr>
                <w:sz w:val="20"/>
                <w:szCs w:val="20"/>
                <w:color w:val="auto"/>
              </w:rPr>
            </w:pPr>
            <w:r>
              <w:rPr>
                <w:rFonts w:ascii="Arial" w:cs="Arial" w:eastAsia="Arial" w:hAnsi="Arial"/>
                <w:sz w:val="17"/>
                <w:szCs w:val="17"/>
                <w:color w:val="auto"/>
              </w:rPr>
              <w:t>Diluted (loss) earnings per common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0.03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F-36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38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8" w:right="2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gridSpan w:val="4"/>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gridSpan w:val="2"/>
          </w:tcPr>
          <w:p>
            <w:pPr>
              <w:ind w:left="260"/>
              <w:spacing w:after="0"/>
              <w:rPr>
                <w:sz w:val="20"/>
                <w:szCs w:val="20"/>
                <w:color w:val="auto"/>
              </w:rPr>
            </w:pPr>
            <w:r>
              <w:rPr>
                <w:rFonts w:ascii="Arial" w:cs="Arial" w:eastAsia="Arial" w:hAnsi="Arial"/>
                <w:sz w:val="17"/>
                <w:szCs w:val="17"/>
                <w:b w:val="1"/>
                <w:bCs w:val="1"/>
                <w:color w:val="auto"/>
              </w:rPr>
              <w:t>Statement of Operations Data:</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2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2016</w:t>
            </w: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7"/>
              </w:rPr>
              <w:t>First</w:t>
            </w:r>
          </w:p>
        </w:tc>
        <w:tc>
          <w:tcPr>
            <w:tcW w:w="240" w:type="dxa"/>
            <w:vAlign w:val="bottom"/>
          </w:tcPr>
          <w:p>
            <w:pPr>
              <w:spacing w:after="0"/>
              <w:rPr>
                <w:sz w:val="24"/>
                <w:szCs w:val="24"/>
                <w:color w:val="auto"/>
              </w:rPr>
            </w:pPr>
          </w:p>
        </w:tc>
        <w:tc>
          <w:tcPr>
            <w:tcW w:w="1120" w:type="dxa"/>
            <w:vAlign w:val="bottom"/>
          </w:tcPr>
          <w:p>
            <w:pPr>
              <w:jc w:val="right"/>
              <w:ind w:right="336"/>
              <w:spacing w:after="0"/>
              <w:rPr>
                <w:sz w:val="20"/>
                <w:szCs w:val="20"/>
                <w:color w:val="auto"/>
              </w:rPr>
            </w:pPr>
            <w:r>
              <w:rPr>
                <w:rFonts w:ascii="Arial" w:cs="Arial" w:eastAsia="Arial" w:hAnsi="Arial"/>
                <w:sz w:val="17"/>
                <w:szCs w:val="17"/>
                <w:b w:val="1"/>
                <w:bCs w:val="1"/>
                <w:color w:val="auto"/>
              </w:rPr>
              <w:t>Second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center"/>
              <w:ind w:right="136"/>
              <w:spacing w:after="0"/>
              <w:rPr>
                <w:sz w:val="20"/>
                <w:szCs w:val="20"/>
                <w:color w:val="auto"/>
              </w:rPr>
            </w:pPr>
            <w:r>
              <w:rPr>
                <w:rFonts w:ascii="Arial" w:cs="Arial" w:eastAsia="Arial" w:hAnsi="Arial"/>
                <w:sz w:val="17"/>
                <w:szCs w:val="17"/>
                <w:b w:val="1"/>
                <w:bCs w:val="1"/>
                <w:color w:val="auto"/>
                <w:w w:val="98"/>
              </w:rPr>
              <w:t>Third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336"/>
              <w:spacing w:after="0"/>
              <w:rPr>
                <w:sz w:val="20"/>
                <w:szCs w:val="20"/>
                <w:color w:val="auto"/>
              </w:rPr>
            </w:pPr>
            <w:r>
              <w:rPr>
                <w:rFonts w:ascii="Arial" w:cs="Arial" w:eastAsia="Arial" w:hAnsi="Arial"/>
                <w:sz w:val="17"/>
                <w:szCs w:val="17"/>
                <w:b w:val="1"/>
                <w:bCs w:val="1"/>
                <w:color w:val="auto"/>
              </w:rPr>
              <w:t>Fourth</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376"/>
              <w:spacing w:after="0"/>
              <w:rPr>
                <w:sz w:val="20"/>
                <w:szCs w:val="20"/>
                <w:color w:val="auto"/>
              </w:rPr>
            </w:pPr>
            <w:r>
              <w:rPr>
                <w:rFonts w:ascii="Arial" w:cs="Arial" w:eastAsia="Arial" w:hAnsi="Arial"/>
                <w:sz w:val="17"/>
                <w:szCs w:val="17"/>
                <w:b w:val="1"/>
                <w:bCs w:val="1"/>
                <w:color w:val="auto"/>
              </w:rPr>
              <w:t>Fiscal</w:t>
            </w:r>
          </w:p>
        </w:tc>
        <w:tc>
          <w:tcPr>
            <w:tcW w:w="0" w:type="dxa"/>
            <w:vAlign w:val="bottom"/>
          </w:tcPr>
          <w:p>
            <w:pPr>
              <w:spacing w:after="0"/>
              <w:rPr>
                <w:sz w:val="1"/>
                <w:szCs w:val="1"/>
                <w:color w:val="auto"/>
              </w:rPr>
            </w:pPr>
          </w:p>
        </w:tc>
      </w:tr>
      <w:tr>
        <w:trPr>
          <w:trHeight w:val="168"/>
        </w:trPr>
        <w:tc>
          <w:tcPr>
            <w:tcW w:w="1200" w:type="dxa"/>
            <w:vAlign w:val="bottom"/>
            <w:gridSpan w:val="3"/>
            <w:vMerge w:val="continue"/>
          </w:tcPr>
          <w:p>
            <w:pPr>
              <w:spacing w:after="0"/>
              <w:rPr>
                <w:sz w:val="14"/>
                <w:szCs w:val="14"/>
                <w:color w:val="auto"/>
              </w:rPr>
            </w:pPr>
          </w:p>
        </w:tc>
        <w:tc>
          <w:tcPr>
            <w:tcW w:w="2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7"/>
                <w:szCs w:val="17"/>
                <w:b w:val="1"/>
                <w:bCs w:val="1"/>
                <w:color w:val="auto"/>
                <w:w w:val="97"/>
              </w:rPr>
              <w:t>Quarter</w:t>
            </w:r>
          </w:p>
        </w:tc>
        <w:tc>
          <w:tcPr>
            <w:tcW w:w="240" w:type="dxa"/>
            <w:vAlign w:val="bottom"/>
          </w:tcPr>
          <w:p>
            <w:pPr>
              <w:spacing w:after="0"/>
              <w:rPr>
                <w:sz w:val="14"/>
                <w:szCs w:val="14"/>
                <w:color w:val="auto"/>
              </w:rPr>
            </w:pPr>
          </w:p>
        </w:tc>
        <w:tc>
          <w:tcPr>
            <w:tcW w:w="1120" w:type="dxa"/>
            <w:vAlign w:val="bottom"/>
          </w:tcPr>
          <w:p>
            <w:pPr>
              <w:jc w:val="right"/>
              <w:ind w:right="296"/>
              <w:spacing w:after="0" w:line="149" w:lineRule="exact"/>
              <w:rPr>
                <w:sz w:val="20"/>
                <w:szCs w:val="20"/>
                <w:color w:val="auto"/>
              </w:rPr>
            </w:pPr>
            <w:r>
              <w:rPr>
                <w:rFonts w:ascii="Arial" w:cs="Arial" w:eastAsia="Arial" w:hAnsi="Arial"/>
                <w:sz w:val="17"/>
                <w:szCs w:val="17"/>
                <w:b w:val="1"/>
                <w:bCs w:val="1"/>
                <w:color w:val="auto"/>
              </w:rPr>
              <w:t>Quarter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6"/>
              <w:spacing w:after="0" w:line="149" w:lineRule="exact"/>
              <w:rPr>
                <w:sz w:val="20"/>
                <w:szCs w:val="20"/>
                <w:color w:val="auto"/>
              </w:rPr>
            </w:pPr>
            <w:r>
              <w:rPr>
                <w:rFonts w:ascii="Arial" w:cs="Arial" w:eastAsia="Arial" w:hAnsi="Arial"/>
                <w:sz w:val="17"/>
                <w:szCs w:val="17"/>
                <w:b w:val="1"/>
                <w:bCs w:val="1"/>
                <w:color w:val="auto"/>
                <w:w w:val="97"/>
              </w:rPr>
              <w:t>Quarter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6"/>
              <w:spacing w:after="0" w:line="149" w:lineRule="exact"/>
              <w:rPr>
                <w:sz w:val="20"/>
                <w:szCs w:val="20"/>
                <w:color w:val="auto"/>
              </w:rPr>
            </w:pPr>
            <w:r>
              <w:rPr>
                <w:rFonts w:ascii="Arial" w:cs="Arial" w:eastAsia="Arial" w:hAnsi="Arial"/>
                <w:sz w:val="17"/>
                <w:szCs w:val="17"/>
                <w:b w:val="1"/>
                <w:bCs w:val="1"/>
                <w:color w:val="auto"/>
              </w:rPr>
              <w:t>Quarter</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16"/>
              <w:spacing w:after="0" w:line="149" w:lineRule="exact"/>
              <w:rPr>
                <w:sz w:val="20"/>
                <w:szCs w:val="20"/>
                <w:color w:val="auto"/>
              </w:rPr>
            </w:pPr>
            <w:r>
              <w:rPr>
                <w:rFonts w:ascii="Arial" w:cs="Arial" w:eastAsia="Arial" w:hAnsi="Arial"/>
                <w:sz w:val="17"/>
                <w:szCs w:val="17"/>
                <w:b w:val="1"/>
                <w:bCs w:val="1"/>
                <w:color w:val="auto"/>
              </w:rPr>
              <w:t>Year</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80" w:type="dxa"/>
            <w:vAlign w:val="bottom"/>
            <w:gridSpan w:val="7"/>
          </w:tcPr>
          <w:p>
            <w:pPr>
              <w:jc w:val="center"/>
              <w:ind w:right="136"/>
              <w:spacing w:after="0"/>
              <w:rPr>
                <w:sz w:val="20"/>
                <w:szCs w:val="20"/>
                <w:color w:val="auto"/>
              </w:rPr>
            </w:pPr>
            <w:r>
              <w:rPr>
                <w:rFonts w:ascii="Arial" w:cs="Arial" w:eastAsia="Arial" w:hAnsi="Arial"/>
                <w:sz w:val="17"/>
                <w:szCs w:val="17"/>
                <w:color w:val="auto"/>
                <w:w w:val="87"/>
              </w:rPr>
              <w:t>(in thousands, except per share data)</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26,963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26,136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25,007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26,415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104,521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Cost of revenues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14,018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14,461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13,317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14,310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56,106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12,945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11,675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11,690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12,105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48,415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13,166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12,515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12,503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13,228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51,412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Other (expense) income, net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Income tax expense (benefit)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193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758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332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loss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Loss per share:</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20" w:type="dxa"/>
            <w:vAlign w:val="bottom"/>
            <w:gridSpan w:val="3"/>
            <w:shd w:val="clear" w:color="auto" w:fill="CCEEFF"/>
          </w:tcPr>
          <w:p>
            <w:pPr>
              <w:ind w:left="140"/>
              <w:spacing w:after="0" w:line="194" w:lineRule="exact"/>
              <w:rPr>
                <w:sz w:val="20"/>
                <w:szCs w:val="20"/>
                <w:color w:val="auto"/>
              </w:rPr>
            </w:pPr>
            <w:r>
              <w:rPr>
                <w:rFonts w:ascii="Arial" w:cs="Arial" w:eastAsia="Arial" w:hAnsi="Arial"/>
                <w:sz w:val="17"/>
                <w:szCs w:val="17"/>
                <w:color w:val="auto"/>
              </w:rPr>
              <w:t>Basic loss per common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29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20" w:type="dxa"/>
            <w:vAlign w:val="bottom"/>
            <w:gridSpan w:val="3"/>
            <w:shd w:val="clear" w:color="auto" w:fill="CCEEFF"/>
          </w:tcPr>
          <w:p>
            <w:pPr>
              <w:ind w:left="140"/>
              <w:spacing w:after="0" w:line="194" w:lineRule="exact"/>
              <w:rPr>
                <w:sz w:val="20"/>
                <w:szCs w:val="20"/>
                <w:color w:val="auto"/>
              </w:rPr>
            </w:pPr>
            <w:r>
              <w:rPr>
                <w:rFonts w:ascii="Arial" w:cs="Arial" w:eastAsia="Arial" w:hAnsi="Arial"/>
                <w:sz w:val="17"/>
                <w:szCs w:val="17"/>
                <w:color w:val="auto"/>
              </w:rPr>
              <w:t>Diluted loss per common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4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25.  Subsequent Events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1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Denville Transaction</w:t>
      </w:r>
    </w:p>
    <w:p>
      <w:pPr>
        <w:spacing w:after="0" w:line="209" w:lineRule="exact"/>
        <w:rPr>
          <w:sz w:val="20"/>
          <w:szCs w:val="20"/>
          <w:color w:val="auto"/>
        </w:rPr>
      </w:pPr>
    </w:p>
    <w:p>
      <w:pPr>
        <w:ind w:right="60" w:firstLine="413"/>
        <w:spacing w:after="0" w:line="273" w:lineRule="auto"/>
        <w:rPr>
          <w:sz w:val="20"/>
          <w:szCs w:val="20"/>
          <w:color w:val="auto"/>
        </w:rPr>
      </w:pPr>
      <w:r>
        <w:rPr>
          <w:rFonts w:ascii="Arial" w:cs="Arial" w:eastAsia="Arial" w:hAnsi="Arial"/>
          <w:sz w:val="16"/>
          <w:szCs w:val="16"/>
          <w:color w:val="auto"/>
        </w:rPr>
        <w:t>On January 22, 2018, the Company sold substantially all the assets of its wholly owned subsidiary, Denville Scientific, Inc. (Denville), for approximately $20.0 million, which includes a $3.0 million earn-out provision (the Denville Transaction). Upon the closing of the transaction, the Company received $17.0 million. The remaining $3.0 million represents consideration that is contingent on Denville achieving certain performance metrics over a period of two years. Denville is a Charlotte, North Carolina-based life science research consumables distributor. The results of operations and financial position of Denville have been reported in the Company’s consolidated statements of operations and balance sheet for all periods presented.</w:t>
      </w:r>
    </w:p>
    <w:p>
      <w:pPr>
        <w:spacing w:after="0" w:line="168" w:lineRule="exact"/>
        <w:rPr>
          <w:sz w:val="20"/>
          <w:szCs w:val="20"/>
          <w:color w:val="auto"/>
        </w:rPr>
      </w:pPr>
    </w:p>
    <w:p>
      <w:pPr>
        <w:jc w:val="both"/>
        <w:ind w:right="480" w:firstLine="413"/>
        <w:spacing w:after="0" w:line="260" w:lineRule="auto"/>
        <w:rPr>
          <w:sz w:val="20"/>
          <w:szCs w:val="20"/>
          <w:color w:val="auto"/>
        </w:rPr>
      </w:pPr>
      <w:r>
        <w:rPr>
          <w:rFonts w:ascii="Arial" w:cs="Arial" w:eastAsia="Arial" w:hAnsi="Arial"/>
          <w:sz w:val="17"/>
          <w:szCs w:val="17"/>
          <w:color w:val="auto"/>
        </w:rPr>
        <w:t>As a result of the Company’s initiation of plans to sell the operations of Denville during the fourth quarter of 2017, management conducted an evaluation of Denville’s assets for impairment. Based on this evaluation, which consisted of comparing the probable cash flows to the net book value of the assets, management concluded that the assets were not impaired.</w:t>
      </w:r>
    </w:p>
    <w:p>
      <w:pPr>
        <w:spacing w:after="0" w:line="174" w:lineRule="exact"/>
        <w:rPr>
          <w:sz w:val="20"/>
          <w:szCs w:val="20"/>
          <w:color w:val="auto"/>
        </w:rPr>
      </w:pPr>
    </w:p>
    <w:p>
      <w:pPr>
        <w:ind w:right="700" w:firstLine="413"/>
        <w:spacing w:after="0" w:line="271" w:lineRule="auto"/>
        <w:rPr>
          <w:sz w:val="20"/>
          <w:szCs w:val="20"/>
          <w:color w:val="auto"/>
        </w:rPr>
      </w:pPr>
      <w:r>
        <w:rPr>
          <w:rFonts w:ascii="Arial" w:cs="Arial" w:eastAsia="Arial" w:hAnsi="Arial"/>
          <w:sz w:val="17"/>
          <w:szCs w:val="17"/>
          <w:color w:val="auto"/>
        </w:rPr>
        <w:t>As of December 31, 2017, the major classes of assets and liabilities of Denville, which were reported in the Company’s consolidated balance sheet, were comprised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18"/>
                <w:szCs w:val="18"/>
                <w:color w:val="auto"/>
              </w:rPr>
            </w:pPr>
          </w:p>
        </w:tc>
        <w:tc>
          <w:tcPr>
            <w:tcW w:w="57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w w:val="96"/>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5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5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2,854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Inventory</w:t>
            </w:r>
          </w:p>
        </w:tc>
        <w:tc>
          <w:tcPr>
            <w:tcW w:w="5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4,457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Amortizable intangible assets, net</w:t>
            </w:r>
          </w:p>
        </w:tc>
        <w:tc>
          <w:tcPr>
            <w:tcW w:w="5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5,930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5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5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1,720</w:t>
            </w:r>
          </w:p>
        </w:tc>
        <w:tc>
          <w:tcPr>
            <w:tcW w:w="0" w:type="dxa"/>
            <w:vAlign w:val="bottom"/>
          </w:tcPr>
          <w:p>
            <w:pPr>
              <w:spacing w:after="0"/>
              <w:rPr>
                <w:sz w:val="1"/>
                <w:szCs w:val="1"/>
                <w:color w:val="auto"/>
              </w:rPr>
            </w:pPr>
          </w:p>
        </w:tc>
      </w:tr>
      <w:tr>
        <w:trPr>
          <w:trHeight w:val="798"/>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900" w:type="dxa"/>
            <w:vAlign w:val="bottom"/>
            <w:gridSpan w:val="2"/>
          </w:tcPr>
          <w:p>
            <w:pPr>
              <w:jc w:val="right"/>
              <w:ind w:right="4160"/>
              <w:spacing w:after="0"/>
              <w:rPr>
                <w:sz w:val="20"/>
                <w:szCs w:val="20"/>
                <w:color w:val="auto"/>
              </w:rPr>
            </w:pPr>
            <w:r>
              <w:rPr>
                <w:rFonts w:ascii="Arial" w:cs="Arial" w:eastAsia="Arial" w:hAnsi="Arial"/>
                <w:sz w:val="17"/>
                <w:szCs w:val="17"/>
                <w:color w:val="auto"/>
              </w:rPr>
              <w:t>F-37</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120" w:type="dxa"/>
            <w:vAlign w:val="bottom"/>
            <w:shd w:val="clear" w:color="auto" w:fill="000000"/>
          </w:tcPr>
          <w:p>
            <w:pPr>
              <w:spacing w:after="0"/>
              <w:rPr>
                <w:sz w:val="5"/>
                <w:szCs w:val="5"/>
                <w:color w:val="auto"/>
              </w:rPr>
            </w:pPr>
          </w:p>
        </w:tc>
        <w:tc>
          <w:tcPr>
            <w:tcW w:w="57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0"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Termination of Third Amended and Restated Credit Agreement</w:t>
      </w:r>
    </w:p>
    <w:p>
      <w:pPr>
        <w:spacing w:after="0" w:line="20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7"/>
          <w:szCs w:val="17"/>
          <w:color w:val="auto"/>
        </w:rPr>
        <w:t>On January 22, 2018, in connection with the closing of the Denville Transaction, the Company terminated the Third Amended and Restated Credit Agreement, dated as of May 1, 2017, among the Company, Brown Brothers Harriman &amp; Co. and each of the other lenders party thereto, and Bank of America, as administrative agent. All outstanding amounts under the agreement were repaid in full using a portion of the proceeds of the Denville Transaction. At the time of repayment, there was approximately $11.9 million outstanding.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Interest Rate Swap</w:t>
      </w:r>
    </w:p>
    <w:p>
      <w:pPr>
        <w:spacing w:after="0" w:line="209" w:lineRule="exact"/>
        <w:rPr>
          <w:sz w:val="20"/>
          <w:szCs w:val="20"/>
          <w:color w:val="auto"/>
        </w:rPr>
      </w:pPr>
    </w:p>
    <w:p>
      <w:pPr>
        <w:ind w:right="160" w:firstLine="456"/>
        <w:spacing w:after="0" w:line="254" w:lineRule="auto"/>
        <w:rPr>
          <w:sz w:val="20"/>
          <w:szCs w:val="20"/>
          <w:color w:val="auto"/>
        </w:rPr>
      </w:pPr>
      <w:r>
        <w:rPr>
          <w:rFonts w:ascii="Arial" w:cs="Arial" w:eastAsia="Arial" w:hAnsi="Arial"/>
          <w:sz w:val="17"/>
          <w:szCs w:val="17"/>
          <w:color w:val="auto"/>
        </w:rPr>
        <w:t>As a result of terminating the Third Amended and Restated Credit Agreement, the Company unwound its existing swap agreement and received an immaterial amount of proceeds. On February 16, 2018, the Company entered into a new interest rate swap contract with PNC bank with a notional amount of $36.0 million and a termination date of January 31, 2023 in order to hedge the risk of changes in the effective benchmark interest rate (LIBOR) associated with the Financing Agreement (defined below). The swap contract converted specific variable-rate debt into fixed-rate debt and fixed the LIBOR rate associated with a portion of the term loan under the Financing Agreement at 2.72%.</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Data Sciences International Transaction</w:t>
      </w:r>
    </w:p>
    <w:p>
      <w:pPr>
        <w:spacing w:after="0" w:line="209" w:lineRule="exact"/>
        <w:rPr>
          <w:sz w:val="20"/>
          <w:szCs w:val="20"/>
          <w:color w:val="auto"/>
        </w:rPr>
      </w:pPr>
    </w:p>
    <w:p>
      <w:pPr>
        <w:ind w:right="80" w:firstLine="456"/>
        <w:spacing w:after="0" w:line="260" w:lineRule="auto"/>
        <w:rPr>
          <w:sz w:val="20"/>
          <w:szCs w:val="20"/>
          <w:color w:val="auto"/>
        </w:rPr>
      </w:pPr>
      <w:r>
        <w:rPr>
          <w:rFonts w:ascii="Arial" w:cs="Arial" w:eastAsia="Arial" w:hAnsi="Arial"/>
          <w:sz w:val="17"/>
          <w:szCs w:val="17"/>
          <w:color w:val="auto"/>
        </w:rPr>
        <w:t>On January 31, 2018, the Company acquired all of the issued and outstanding shares of Data Sciences International, Inc. (DSI), a Delaware corporation for approximately $70.0 million. The Company funded the acquisition from its existing cash balances, the remaining proceeds of the Denville Transaction and the proceeds of the Financing Agreement discussed below.</w:t>
      </w:r>
    </w:p>
    <w:p>
      <w:pPr>
        <w:spacing w:after="0" w:line="174" w:lineRule="exact"/>
        <w:rPr>
          <w:sz w:val="20"/>
          <w:szCs w:val="20"/>
          <w:color w:val="auto"/>
        </w:rPr>
      </w:pPr>
    </w:p>
    <w:p>
      <w:pPr>
        <w:ind w:right="360" w:firstLine="456"/>
        <w:spacing w:after="0" w:line="256" w:lineRule="auto"/>
        <w:rPr>
          <w:sz w:val="20"/>
          <w:szCs w:val="20"/>
          <w:color w:val="auto"/>
        </w:rPr>
      </w:pPr>
      <w:r>
        <w:rPr>
          <w:rFonts w:ascii="Arial" w:cs="Arial" w:eastAsia="Arial" w:hAnsi="Arial"/>
          <w:sz w:val="17"/>
          <w:szCs w:val="17"/>
          <w:color w:val="auto"/>
        </w:rPr>
        <w:t>DSI, a St. Paul, Minnesota-based life science research company, is a recognized leader in physiologic monitoring focused on delivering preclinical products, systems, services and solutions to its customers. Its customers include pharmaceutical and biotechnology companies, as well as contract research organizations, academic labs and government researchers. This acquisition diversifies the Company’s customer base into the biopharmaceutical and contract research organization markets.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is in the process of determining the fair value of the various tangible and intangible assets acquired as a result of this acquisition.</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Financing Agreement</w:t>
      </w:r>
    </w:p>
    <w:p>
      <w:pPr>
        <w:spacing w:after="0" w:line="209"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On January 31, 2018, the Company entered into a financing agreement by and among the Company and certain subsidiaries of the Company parties thereto, as borrowers (collectively, the Borrower), certain subsidiaries of the Company parties thereto, as guarantors, various lenders from time to time party thereto (the Lenders), and Cerberus Business Finance, LLC, as collateral agent and administrative agent for the Lenders (the Financing Agreement).</w:t>
      </w:r>
    </w:p>
    <w:p>
      <w:pPr>
        <w:spacing w:after="0" w:line="159" w:lineRule="exact"/>
        <w:rPr>
          <w:sz w:val="20"/>
          <w:szCs w:val="20"/>
          <w:color w:val="auto"/>
        </w:rPr>
      </w:pPr>
    </w:p>
    <w:p>
      <w:pPr>
        <w:ind w:firstLine="456"/>
        <w:spacing w:after="0" w:line="253" w:lineRule="auto"/>
        <w:rPr>
          <w:sz w:val="20"/>
          <w:szCs w:val="20"/>
          <w:color w:val="auto"/>
        </w:rPr>
      </w:pPr>
      <w:r>
        <w:rPr>
          <w:rFonts w:ascii="Arial" w:cs="Arial" w:eastAsia="Arial" w:hAnsi="Arial"/>
          <w:sz w:val="17"/>
          <w:szCs w:val="17"/>
          <w:color w:val="auto"/>
        </w:rPr>
        <w:t>The Financing Agreement provides for senior secured credit facilities (the Senior Secured Credit Facilities) comprised of a $64.0 million term loan and up to a $25.0 million revolving line of credit. The proceeds of the term loan and $4.8 million of advances under the revolving line of credit were used to fund a portion of the DSI acquisition, and to pay fees and expenses related thereto and the closing of the Senior Secured Credit Facilities. In addition, the revolving facility is available for use by the Company and its subsidiaries for general corporate and working capital needs, and other purposes to the extent permitted by the Financing Agreement. The Senior Secured Credit Facilities have a maturity of five years. At the closing date of the Financing Agreement, the Company had approximately $14.5 million of available borrowing capacity under the revolving line of credit.</w:t>
      </w:r>
    </w:p>
    <w:p>
      <w:pPr>
        <w:spacing w:after="0" w:line="181" w:lineRule="exact"/>
        <w:rPr>
          <w:sz w:val="20"/>
          <w:szCs w:val="20"/>
          <w:color w:val="auto"/>
        </w:rPr>
      </w:pPr>
    </w:p>
    <w:p>
      <w:pPr>
        <w:ind w:right="220" w:firstLine="456"/>
        <w:spacing w:after="0" w:line="260" w:lineRule="auto"/>
        <w:rPr>
          <w:sz w:val="20"/>
          <w:szCs w:val="20"/>
          <w:color w:val="auto"/>
        </w:rPr>
      </w:pPr>
      <w:r>
        <w:rPr>
          <w:rFonts w:ascii="Arial" w:cs="Arial" w:eastAsia="Arial" w:hAnsi="Arial"/>
          <w:sz w:val="17"/>
          <w:szCs w:val="17"/>
          <w:color w:val="auto"/>
        </w:rPr>
        <w:t>Commencing on March 31, 2018, the outstanding term loans will amortize in equal quarterly installments equal to $0.4 million per quarter on such date and during each of the next three quarters thereafter, $0.6 million per quarter during the next four quarters thereafter and $0.8 million per quarter thereafter, with a balloon payment at maturity.</w:t>
      </w:r>
    </w:p>
    <w:p>
      <w:pPr>
        <w:spacing w:after="0" w:line="174"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The obligations of the Borrower under the Senior Secured Credit Facilities are unconditionally guaranteed by the Company and certain of the Company’s existing and subsequently acquired or organized subsidiaries. The Senior Secured Credit Facilities and related guarantees are secured on a first-priority basis (subject to certain liens permitted under the Financing Agreement) by a lien on substantially all the tangible and intangible assets of the Borrower and the subsidiary guarantors, including all of the capital stock held by such obligors (subject to a 65% limitation on pledges of capital stock of foreign subsidiaries), subject to certain exceptions.</w:t>
      </w:r>
    </w:p>
    <w:p>
      <w:pPr>
        <w:spacing w:after="0" w:line="147" w:lineRule="exact"/>
        <w:rPr>
          <w:sz w:val="20"/>
          <w:szCs w:val="20"/>
          <w:color w:val="auto"/>
        </w:rPr>
      </w:pPr>
    </w:p>
    <w:p>
      <w:pPr>
        <w:jc w:val="both"/>
        <w:ind w:right="220" w:firstLine="456"/>
        <w:spacing w:after="0" w:line="260" w:lineRule="auto"/>
        <w:rPr>
          <w:sz w:val="20"/>
          <w:szCs w:val="20"/>
          <w:color w:val="auto"/>
        </w:rPr>
      </w:pPr>
      <w:r>
        <w:rPr>
          <w:rFonts w:ascii="Arial" w:cs="Arial" w:eastAsia="Arial" w:hAnsi="Arial"/>
          <w:sz w:val="17"/>
          <w:szCs w:val="17"/>
          <w:color w:val="auto"/>
        </w:rPr>
        <w:t>Interest on all loans under the Senior Secured Credit Facilities is paid monthly. Borrowings under the Financing Agreement accrue interest at a per annum rate equal to, at the Borrower’s option, a base rate plus 4.75% or a LIBOR rate plus 6.25%. The loans are also subject to a 1.25% interest rate floor for LIBOR loans and a 4.25% interest rate floor for base rate loans.</w:t>
      </w:r>
    </w:p>
    <w:p>
      <w:pPr>
        <w:spacing w:after="0" w:line="174" w:lineRule="exact"/>
        <w:rPr>
          <w:sz w:val="20"/>
          <w:szCs w:val="20"/>
          <w:color w:val="auto"/>
        </w:rPr>
      </w:pPr>
    </w:p>
    <w:p>
      <w:pPr>
        <w:ind w:right="40" w:firstLine="456"/>
        <w:spacing w:after="0" w:line="254" w:lineRule="auto"/>
        <w:rPr>
          <w:sz w:val="20"/>
          <w:szCs w:val="20"/>
          <w:color w:val="auto"/>
        </w:rPr>
      </w:pPr>
      <w:r>
        <w:rPr>
          <w:rFonts w:ascii="Arial" w:cs="Arial" w:eastAsia="Arial" w:hAnsi="Arial"/>
          <w:sz w:val="17"/>
          <w:szCs w:val="17"/>
          <w:color w:val="auto"/>
        </w:rPr>
        <w:t>The Financing Agreement contains customary representations and warranties and affirmative covenants applicable to the Company and its subsidiaries and also contains certain restrictive covenants, including, among others, limitations on the incurrence of additional debt, liens on property, acquisitions and investments, loans and guarantees, mergers, consolidations, liquidations and dissolutions, asset sales, dividends and other payments in respect of the Company’s capital stock, prepayments of certain debt, transactions with affiliates and modifications of organizational documents, material contracts, affiliated practice agreements and certain debt agreements. The Financing Agreement also contains customary events of default.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13" w:lineRule="exact"/>
        <w:rPr>
          <w:sz w:val="20"/>
          <w:szCs w:val="20"/>
          <w:color w:val="auto"/>
        </w:rPr>
      </w:pPr>
    </w:p>
    <w:p>
      <w:pPr>
        <w:ind w:right="500"/>
        <w:spacing w:after="0" w:line="27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20" w:type="dxa"/>
            <w:vAlign w:val="bottom"/>
          </w:tcPr>
          <w:p>
            <w:pPr>
              <w:spacing w:after="0"/>
              <w:rPr>
                <w:sz w:val="18"/>
                <w:szCs w:val="18"/>
                <w:color w:val="auto"/>
              </w:rPr>
            </w:pPr>
          </w:p>
        </w:tc>
        <w:tc>
          <w:tcPr>
            <w:tcW w:w="7700" w:type="dxa"/>
            <w:vAlign w:val="bottom"/>
            <w:gridSpan w:val="2"/>
          </w:tcPr>
          <w:p>
            <w:pPr>
              <w:ind w:left="2220"/>
              <w:spacing w:after="0"/>
              <w:rPr>
                <w:sz w:val="20"/>
                <w:szCs w:val="20"/>
                <w:color w:val="auto"/>
              </w:rPr>
            </w:pPr>
            <w:r>
              <w:rPr>
                <w:rFonts w:ascii="Arial" w:cs="Arial" w:eastAsia="Arial" w:hAnsi="Arial"/>
                <w:sz w:val="17"/>
                <w:szCs w:val="17"/>
                <w:color w:val="auto"/>
              </w:rPr>
              <w:t>HARVARD BIOSCIENCE, INC.</w:t>
            </w:r>
          </w:p>
        </w:tc>
      </w:tr>
      <w:tr>
        <w:trPr>
          <w:trHeight w:val="405"/>
        </w:trPr>
        <w:tc>
          <w:tcPr>
            <w:tcW w:w="3720" w:type="dxa"/>
            <w:vAlign w:val="bottom"/>
          </w:tcPr>
          <w:p>
            <w:pPr>
              <w:spacing w:after="0"/>
              <w:rPr>
                <w:sz w:val="20"/>
                <w:szCs w:val="20"/>
                <w:color w:val="auto"/>
              </w:rPr>
            </w:pPr>
            <w:r>
              <w:rPr>
                <w:rFonts w:ascii="Arial" w:cs="Arial" w:eastAsia="Arial" w:hAnsi="Arial"/>
                <w:sz w:val="17"/>
                <w:szCs w:val="17"/>
                <w:color w:val="auto"/>
              </w:rPr>
              <w:t>Date: March 16, 2018</w:t>
            </w:r>
          </w:p>
        </w:tc>
        <w:tc>
          <w:tcPr>
            <w:tcW w:w="7700" w:type="dxa"/>
            <w:vAlign w:val="bottom"/>
            <w:gridSpan w:val="2"/>
          </w:tcPr>
          <w:p>
            <w:pPr>
              <w:ind w:left="2220"/>
              <w:spacing w:after="0"/>
              <w:rPr>
                <w:sz w:val="20"/>
                <w:szCs w:val="20"/>
                <w:color w:val="auto"/>
              </w:rPr>
            </w:pPr>
            <w:r>
              <w:rPr>
                <w:rFonts w:ascii="Arial" w:cs="Arial" w:eastAsia="Arial" w:hAnsi="Arial"/>
                <w:sz w:val="17"/>
                <w:szCs w:val="17"/>
                <w:color w:val="auto"/>
              </w:rPr>
              <w:t>By: /s/ JEFFREY A. DUCHEMIN</w:t>
            </w:r>
          </w:p>
        </w:tc>
      </w:tr>
      <w:tr>
        <w:trPr>
          <w:trHeight w:val="183"/>
        </w:trPr>
        <w:tc>
          <w:tcPr>
            <w:tcW w:w="37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5140" w:type="dxa"/>
            <w:vAlign w:val="bottom"/>
            <w:tcBorders>
              <w:top w:val="single" w:sz="8" w:color="auto"/>
            </w:tcBorders>
          </w:tcPr>
          <w:p>
            <w:pPr>
              <w:spacing w:after="0" w:line="183" w:lineRule="exact"/>
              <w:rPr>
                <w:sz w:val="20"/>
                <w:szCs w:val="20"/>
                <w:color w:val="auto"/>
              </w:rPr>
            </w:pPr>
            <w:r>
              <w:rPr>
                <w:rFonts w:ascii="Arial" w:cs="Arial" w:eastAsia="Arial" w:hAnsi="Arial"/>
                <w:sz w:val="17"/>
                <w:szCs w:val="17"/>
                <w:color w:val="auto"/>
              </w:rPr>
              <w:t>Jeffrey A. Duchemin</w:t>
            </w:r>
          </w:p>
        </w:tc>
      </w:tr>
      <w:tr>
        <w:trPr>
          <w:trHeight w:val="214"/>
        </w:trPr>
        <w:tc>
          <w:tcPr>
            <w:tcW w:w="37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pacing w:after="0" w:line="191" w:lineRule="exact"/>
        <w:rPr>
          <w:sz w:val="20"/>
          <w:szCs w:val="20"/>
          <w:color w:val="auto"/>
        </w:rPr>
      </w:pPr>
    </w:p>
    <w:p>
      <w:pPr>
        <w:ind w:right="120" w:firstLine="413"/>
        <w:spacing w:after="0" w:line="271" w:lineRule="auto"/>
        <w:rPr>
          <w:sz w:val="20"/>
          <w:szCs w:val="20"/>
          <w:color w:val="auto"/>
        </w:rPr>
      </w:pPr>
      <w:r>
        <w:rPr>
          <w:rFonts w:ascii="Arial" w:cs="Arial" w:eastAsia="Arial" w:hAnsi="Arial"/>
          <w:sz w:val="17"/>
          <w:szCs w:val="17"/>
          <w:color w:val="auto"/>
        </w:rPr>
        <w:t>Pursuant to the requirements of Section 13 or 15(d)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Signature</w:t>
            </w:r>
          </w:p>
        </w:tc>
        <w:tc>
          <w:tcPr>
            <w:tcW w:w="3860" w:type="dxa"/>
            <w:vAlign w:val="bottom"/>
            <w:tcBorders>
              <w:bottom w:val="single" w:sz="8" w:color="auto"/>
            </w:tcBorders>
          </w:tcPr>
          <w:p>
            <w:pPr>
              <w:ind w:left="1900"/>
              <w:spacing w:after="0"/>
              <w:rPr>
                <w:sz w:val="20"/>
                <w:szCs w:val="20"/>
                <w:color w:val="auto"/>
              </w:rPr>
            </w:pPr>
            <w:r>
              <w:rPr>
                <w:rFonts w:ascii="Arial" w:cs="Arial" w:eastAsia="Arial" w:hAnsi="Arial"/>
                <w:sz w:val="17"/>
                <w:szCs w:val="17"/>
                <w:b w:val="1"/>
                <w:bCs w:val="1"/>
                <w:color w:val="auto"/>
              </w:rPr>
              <w:t>Title</w:t>
            </w:r>
          </w:p>
        </w:tc>
        <w:tc>
          <w:tcPr>
            <w:tcW w:w="2300" w:type="dxa"/>
            <w:vAlign w:val="bottom"/>
            <w:tcBorders>
              <w:bottom w:val="single" w:sz="8" w:color="auto"/>
            </w:tcBorders>
          </w:tcPr>
          <w:p>
            <w:pPr>
              <w:jc w:val="center"/>
              <w:ind w:left="196"/>
              <w:spacing w:after="0"/>
              <w:rPr>
                <w:sz w:val="20"/>
                <w:szCs w:val="20"/>
                <w:color w:val="auto"/>
              </w:rPr>
            </w:pPr>
            <w:r>
              <w:rPr>
                <w:rFonts w:ascii="Arial" w:cs="Arial" w:eastAsia="Arial" w:hAnsi="Arial"/>
                <w:sz w:val="17"/>
                <w:szCs w:val="17"/>
                <w:b w:val="1"/>
                <w:bCs w:val="1"/>
                <w:color w:val="auto"/>
                <w:w w:val="92"/>
              </w:rPr>
              <w:t>Date</w:t>
            </w:r>
          </w:p>
        </w:tc>
        <w:tc>
          <w:tcPr>
            <w:tcW w:w="0" w:type="dxa"/>
            <w:vAlign w:val="bottom"/>
          </w:tcPr>
          <w:p>
            <w:pPr>
              <w:spacing w:after="0"/>
              <w:rPr>
                <w:sz w:val="1"/>
                <w:szCs w:val="1"/>
                <w:color w:val="auto"/>
              </w:rPr>
            </w:pPr>
          </w:p>
        </w:tc>
      </w:tr>
      <w:tr>
        <w:trPr>
          <w:trHeight w:val="430"/>
        </w:trPr>
        <w:tc>
          <w:tcPr>
            <w:tcW w:w="5260" w:type="dxa"/>
            <w:vAlign w:val="bottom"/>
          </w:tcPr>
          <w:p>
            <w:pPr>
              <w:jc w:val="center"/>
              <w:spacing w:after="0"/>
              <w:rPr>
                <w:sz w:val="20"/>
                <w:szCs w:val="20"/>
                <w:color w:val="auto"/>
              </w:rPr>
            </w:pPr>
            <w:r>
              <w:rPr>
                <w:rFonts w:ascii="Arial" w:cs="Arial" w:eastAsia="Arial" w:hAnsi="Arial"/>
                <w:sz w:val="17"/>
                <w:szCs w:val="17"/>
                <w:color w:val="auto"/>
                <w:w w:val="95"/>
              </w:rPr>
              <w:t>/s/ JEFFREY A. DUCHEMIN</w:t>
            </w:r>
          </w:p>
        </w:tc>
        <w:tc>
          <w:tcPr>
            <w:tcW w:w="3860" w:type="dxa"/>
            <w:vAlign w:val="bottom"/>
          </w:tcPr>
          <w:p>
            <w:pPr>
              <w:ind w:left="120"/>
              <w:spacing w:after="0"/>
              <w:rPr>
                <w:sz w:val="20"/>
                <w:szCs w:val="20"/>
                <w:color w:val="auto"/>
              </w:rPr>
            </w:pPr>
            <w:r>
              <w:rPr>
                <w:rFonts w:ascii="Arial" w:cs="Arial" w:eastAsia="Arial" w:hAnsi="Arial"/>
                <w:sz w:val="17"/>
                <w:szCs w:val="17"/>
                <w:color w:val="auto"/>
              </w:rPr>
              <w:t>Chief Executive Officer and Director</w:t>
            </w:r>
          </w:p>
        </w:tc>
        <w:tc>
          <w:tcPr>
            <w:tcW w:w="2300" w:type="dxa"/>
            <w:vAlign w:val="bottom"/>
          </w:tcPr>
          <w:p>
            <w:pPr>
              <w:jc w:val="center"/>
              <w:ind w:left="176"/>
              <w:spacing w:after="0"/>
              <w:rPr>
                <w:sz w:val="20"/>
                <w:szCs w:val="20"/>
                <w:color w:val="auto"/>
              </w:rPr>
            </w:pPr>
            <w:r>
              <w:rPr>
                <w:rFonts w:ascii="Arial" w:cs="Arial" w:eastAsia="Arial" w:hAnsi="Arial"/>
                <w:sz w:val="17"/>
                <w:szCs w:val="17"/>
                <w:color w:val="auto"/>
                <w:w w:val="91"/>
              </w:rPr>
              <w:t>March 16, 2018</w:t>
            </w:r>
          </w:p>
        </w:tc>
        <w:tc>
          <w:tcPr>
            <w:tcW w:w="0" w:type="dxa"/>
            <w:vAlign w:val="bottom"/>
          </w:tcPr>
          <w:p>
            <w:pPr>
              <w:spacing w:after="0"/>
              <w:rPr>
                <w:sz w:val="1"/>
                <w:szCs w:val="1"/>
                <w:color w:val="auto"/>
              </w:rPr>
            </w:pPr>
          </w:p>
        </w:tc>
      </w:tr>
      <w:tr>
        <w:trPr>
          <w:trHeight w:val="25"/>
        </w:trPr>
        <w:tc>
          <w:tcPr>
            <w:tcW w:w="5260" w:type="dxa"/>
            <w:vAlign w:val="bottom"/>
            <w:tcBorders>
              <w:bottom w:val="single" w:sz="8" w:color="auto"/>
            </w:tcBorders>
          </w:tcPr>
          <w:p>
            <w:pPr>
              <w:spacing w:after="0"/>
              <w:rPr>
                <w:sz w:val="2"/>
                <w:szCs w:val="2"/>
                <w:color w:val="auto"/>
              </w:rPr>
            </w:pPr>
          </w:p>
        </w:tc>
        <w:tc>
          <w:tcPr>
            <w:tcW w:w="3860" w:type="dxa"/>
            <w:vAlign w:val="bottom"/>
            <w:vMerge w:val="restart"/>
          </w:tcPr>
          <w:p>
            <w:pPr>
              <w:ind w:left="340"/>
              <w:spacing w:after="0"/>
              <w:rPr>
                <w:sz w:val="20"/>
                <w:szCs w:val="20"/>
                <w:color w:val="auto"/>
              </w:rPr>
            </w:pPr>
            <w:r>
              <w:rPr>
                <w:rFonts w:ascii="Arial" w:cs="Arial" w:eastAsia="Arial" w:hAnsi="Arial"/>
                <w:sz w:val="17"/>
                <w:szCs w:val="17"/>
                <w:color w:val="auto"/>
              </w:rPr>
              <w:t>(Principal Executive Officer)</w:t>
            </w: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1"/>
              </w:rPr>
              <w:t>Jeffrey A. Duchemin</w:t>
            </w:r>
          </w:p>
        </w:tc>
        <w:tc>
          <w:tcPr>
            <w:tcW w:w="3860" w:type="dxa"/>
            <w:vAlign w:val="bottom"/>
            <w:vMerge w:val="continue"/>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5260" w:type="dxa"/>
            <w:vAlign w:val="bottom"/>
            <w:vMerge w:val="continue"/>
          </w:tcPr>
          <w:p>
            <w:pPr>
              <w:spacing w:after="0"/>
              <w:rPr>
                <w:sz w:val="5"/>
                <w:szCs w:val="5"/>
                <w:color w:val="auto"/>
              </w:rPr>
            </w:pPr>
          </w:p>
        </w:tc>
        <w:tc>
          <w:tcPr>
            <w:tcW w:w="38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3"/>
        </w:trPr>
        <w:tc>
          <w:tcPr>
            <w:tcW w:w="5260" w:type="dxa"/>
            <w:vAlign w:val="bottom"/>
          </w:tcPr>
          <w:p>
            <w:pPr>
              <w:jc w:val="center"/>
              <w:spacing w:after="0"/>
              <w:rPr>
                <w:sz w:val="20"/>
                <w:szCs w:val="20"/>
                <w:color w:val="auto"/>
              </w:rPr>
            </w:pPr>
            <w:r>
              <w:rPr>
                <w:rFonts w:ascii="Arial" w:cs="Arial" w:eastAsia="Arial" w:hAnsi="Arial"/>
                <w:sz w:val="17"/>
                <w:szCs w:val="17"/>
                <w:color w:val="auto"/>
                <w:w w:val="93"/>
              </w:rPr>
              <w:t>/s/ ROBERT E. GAGNON</w:t>
            </w:r>
          </w:p>
        </w:tc>
        <w:tc>
          <w:tcPr>
            <w:tcW w:w="3860" w:type="dxa"/>
            <w:vAlign w:val="bottom"/>
          </w:tcPr>
          <w:p>
            <w:pPr>
              <w:ind w:left="120"/>
              <w:spacing w:after="0"/>
              <w:rPr>
                <w:sz w:val="20"/>
                <w:szCs w:val="20"/>
                <w:color w:val="auto"/>
              </w:rPr>
            </w:pPr>
            <w:r>
              <w:rPr>
                <w:rFonts w:ascii="Arial" w:cs="Arial" w:eastAsia="Arial" w:hAnsi="Arial"/>
                <w:sz w:val="17"/>
                <w:szCs w:val="17"/>
                <w:color w:val="auto"/>
              </w:rPr>
              <w:t>Chief Financial Officer</w:t>
            </w:r>
          </w:p>
        </w:tc>
        <w:tc>
          <w:tcPr>
            <w:tcW w:w="2300" w:type="dxa"/>
            <w:vAlign w:val="bottom"/>
          </w:tcPr>
          <w:p>
            <w:pPr>
              <w:jc w:val="center"/>
              <w:ind w:left="176"/>
              <w:spacing w:after="0"/>
              <w:rPr>
                <w:sz w:val="20"/>
                <w:szCs w:val="20"/>
                <w:color w:val="auto"/>
              </w:rPr>
            </w:pPr>
            <w:r>
              <w:rPr>
                <w:rFonts w:ascii="Arial" w:cs="Arial" w:eastAsia="Arial" w:hAnsi="Arial"/>
                <w:sz w:val="17"/>
                <w:szCs w:val="17"/>
                <w:color w:val="auto"/>
                <w:w w:val="91"/>
              </w:rPr>
              <w:t>March 16, 2018</w:t>
            </w:r>
          </w:p>
        </w:tc>
        <w:tc>
          <w:tcPr>
            <w:tcW w:w="0" w:type="dxa"/>
            <w:vAlign w:val="bottom"/>
          </w:tcPr>
          <w:p>
            <w:pPr>
              <w:spacing w:after="0"/>
              <w:rPr>
                <w:sz w:val="1"/>
                <w:szCs w:val="1"/>
                <w:color w:val="auto"/>
              </w:rPr>
            </w:pPr>
          </w:p>
        </w:tc>
      </w:tr>
      <w:tr>
        <w:trPr>
          <w:trHeight w:val="25"/>
        </w:trPr>
        <w:tc>
          <w:tcPr>
            <w:tcW w:w="5260" w:type="dxa"/>
            <w:vAlign w:val="bottom"/>
            <w:tcBorders>
              <w:bottom w:val="single" w:sz="8" w:color="auto"/>
            </w:tcBorders>
          </w:tcPr>
          <w:p>
            <w:pPr>
              <w:spacing w:after="0"/>
              <w:rPr>
                <w:sz w:val="2"/>
                <w:szCs w:val="2"/>
                <w:color w:val="auto"/>
              </w:rPr>
            </w:pPr>
          </w:p>
        </w:tc>
        <w:tc>
          <w:tcPr>
            <w:tcW w:w="3860" w:type="dxa"/>
            <w:vAlign w:val="bottom"/>
            <w:vMerge w:val="restart"/>
          </w:tcPr>
          <w:p>
            <w:pPr>
              <w:ind w:left="340"/>
              <w:spacing w:after="0"/>
              <w:rPr>
                <w:sz w:val="20"/>
                <w:szCs w:val="20"/>
                <w:color w:val="auto"/>
              </w:rPr>
            </w:pPr>
            <w:r>
              <w:rPr>
                <w:rFonts w:ascii="Arial" w:cs="Arial" w:eastAsia="Arial" w:hAnsi="Arial"/>
                <w:sz w:val="17"/>
                <w:szCs w:val="17"/>
                <w:color w:val="auto"/>
              </w:rPr>
              <w:t>(Principal Financial Officer and Principal</w:t>
            </w: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52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1"/>
              </w:rPr>
              <w:t>Robert E. Gagnon</w:t>
            </w:r>
          </w:p>
        </w:tc>
        <w:tc>
          <w:tcPr>
            <w:tcW w:w="3860" w:type="dxa"/>
            <w:vAlign w:val="bottom"/>
            <w:vMerge w:val="continue"/>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5260" w:type="dxa"/>
            <w:vAlign w:val="bottom"/>
            <w:vMerge w:val="continue"/>
          </w:tcPr>
          <w:p>
            <w:pPr>
              <w:spacing w:after="0"/>
              <w:rPr>
                <w:sz w:val="6"/>
                <w:szCs w:val="6"/>
                <w:color w:val="auto"/>
              </w:rPr>
            </w:pPr>
          </w:p>
        </w:tc>
        <w:tc>
          <w:tcPr>
            <w:tcW w:w="3860" w:type="dxa"/>
            <w:vAlign w:val="bottom"/>
            <w:vMerge w:val="restart"/>
          </w:tcPr>
          <w:p>
            <w:pPr>
              <w:ind w:left="340"/>
              <w:spacing w:after="0"/>
              <w:rPr>
                <w:sz w:val="20"/>
                <w:szCs w:val="20"/>
                <w:color w:val="auto"/>
              </w:rPr>
            </w:pPr>
            <w:r>
              <w:rPr>
                <w:rFonts w:ascii="Arial" w:cs="Arial" w:eastAsia="Arial" w:hAnsi="Arial"/>
                <w:sz w:val="17"/>
                <w:szCs w:val="17"/>
                <w:color w:val="auto"/>
              </w:rPr>
              <w:t>Accounting Officer)</w:t>
            </w:r>
          </w:p>
        </w:tc>
        <w:tc>
          <w:tcPr>
            <w:tcW w:w="2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5260" w:type="dxa"/>
            <w:vAlign w:val="bottom"/>
          </w:tcPr>
          <w:p>
            <w:pPr>
              <w:spacing w:after="0"/>
              <w:rPr>
                <w:sz w:val="12"/>
                <w:szCs w:val="12"/>
                <w:color w:val="auto"/>
              </w:rPr>
            </w:pPr>
          </w:p>
        </w:tc>
        <w:tc>
          <w:tcPr>
            <w:tcW w:w="3860" w:type="dxa"/>
            <w:vAlign w:val="bottom"/>
            <w:vMerge w:val="continue"/>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JAMES GREEN</w:t>
            </w:r>
          </w:p>
        </w:tc>
        <w:tc>
          <w:tcPr>
            <w:tcW w:w="386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300" w:type="dxa"/>
            <w:vAlign w:val="bottom"/>
          </w:tcPr>
          <w:p>
            <w:pPr>
              <w:jc w:val="center"/>
              <w:ind w:left="176"/>
              <w:spacing w:after="0"/>
              <w:rPr>
                <w:sz w:val="20"/>
                <w:szCs w:val="20"/>
                <w:color w:val="auto"/>
              </w:rPr>
            </w:pPr>
            <w:r>
              <w:rPr>
                <w:rFonts w:ascii="Arial" w:cs="Arial" w:eastAsia="Arial" w:hAnsi="Arial"/>
                <w:sz w:val="17"/>
                <w:szCs w:val="17"/>
                <w:color w:val="auto"/>
                <w:w w:val="91"/>
              </w:rPr>
              <w:t>March 16, 2018</w:t>
            </w:r>
          </w:p>
        </w:tc>
        <w:tc>
          <w:tcPr>
            <w:tcW w:w="0" w:type="dxa"/>
            <w:vAlign w:val="bottom"/>
          </w:tcPr>
          <w:p>
            <w:pPr>
              <w:spacing w:after="0"/>
              <w:rPr>
                <w:sz w:val="1"/>
                <w:szCs w:val="1"/>
                <w:color w:val="auto"/>
              </w:rPr>
            </w:pPr>
          </w:p>
        </w:tc>
      </w:tr>
      <w:tr>
        <w:trPr>
          <w:trHeight w:val="239"/>
        </w:trPr>
        <w:tc>
          <w:tcPr>
            <w:tcW w:w="5260" w:type="dxa"/>
            <w:vAlign w:val="bottom"/>
          </w:tcPr>
          <w:p>
            <w:pPr>
              <w:jc w:val="center"/>
              <w:spacing w:after="0"/>
              <w:rPr>
                <w:sz w:val="20"/>
                <w:szCs w:val="20"/>
                <w:color w:val="auto"/>
              </w:rPr>
            </w:pPr>
            <w:r>
              <w:rPr>
                <w:rFonts w:ascii="Arial" w:cs="Arial" w:eastAsia="Arial" w:hAnsi="Arial"/>
                <w:sz w:val="17"/>
                <w:szCs w:val="17"/>
                <w:b w:val="1"/>
                <w:bCs w:val="1"/>
                <w:color w:val="auto"/>
                <w:w w:val="87"/>
              </w:rPr>
              <w:t>James Green</w:t>
            </w:r>
          </w:p>
        </w:tc>
        <w:tc>
          <w:tcPr>
            <w:tcW w:w="3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JOHN F. KENNEDY</w:t>
            </w:r>
          </w:p>
        </w:tc>
        <w:tc>
          <w:tcPr>
            <w:tcW w:w="386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300" w:type="dxa"/>
            <w:vAlign w:val="bottom"/>
          </w:tcPr>
          <w:p>
            <w:pPr>
              <w:jc w:val="center"/>
              <w:ind w:left="176"/>
              <w:spacing w:after="0"/>
              <w:rPr>
                <w:sz w:val="20"/>
                <w:szCs w:val="20"/>
                <w:color w:val="auto"/>
              </w:rPr>
            </w:pPr>
            <w:r>
              <w:rPr>
                <w:rFonts w:ascii="Arial" w:cs="Arial" w:eastAsia="Arial" w:hAnsi="Arial"/>
                <w:sz w:val="17"/>
                <w:szCs w:val="17"/>
                <w:color w:val="auto"/>
                <w:w w:val="91"/>
              </w:rPr>
              <w:t>March 16, 2018</w:t>
            </w:r>
          </w:p>
        </w:tc>
        <w:tc>
          <w:tcPr>
            <w:tcW w:w="0" w:type="dxa"/>
            <w:vAlign w:val="bottom"/>
          </w:tcPr>
          <w:p>
            <w:pPr>
              <w:spacing w:after="0"/>
              <w:rPr>
                <w:sz w:val="1"/>
                <w:szCs w:val="1"/>
                <w:color w:val="auto"/>
              </w:rPr>
            </w:pPr>
          </w:p>
        </w:tc>
      </w:tr>
      <w:tr>
        <w:trPr>
          <w:trHeight w:val="239"/>
        </w:trPr>
        <w:tc>
          <w:tcPr>
            <w:tcW w:w="5260" w:type="dxa"/>
            <w:vAlign w:val="bottom"/>
          </w:tcPr>
          <w:p>
            <w:pPr>
              <w:jc w:val="center"/>
              <w:spacing w:after="0"/>
              <w:rPr>
                <w:sz w:val="20"/>
                <w:szCs w:val="20"/>
                <w:color w:val="auto"/>
              </w:rPr>
            </w:pPr>
            <w:r>
              <w:rPr>
                <w:rFonts w:ascii="Arial" w:cs="Arial" w:eastAsia="Arial" w:hAnsi="Arial"/>
                <w:sz w:val="17"/>
                <w:szCs w:val="17"/>
                <w:b w:val="1"/>
                <w:bCs w:val="1"/>
                <w:color w:val="auto"/>
                <w:w w:val="89"/>
              </w:rPr>
              <w:t>John F. Kennedy</w:t>
            </w:r>
          </w:p>
        </w:tc>
        <w:tc>
          <w:tcPr>
            <w:tcW w:w="3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EARL R. LEWIS</w:t>
            </w:r>
          </w:p>
        </w:tc>
        <w:tc>
          <w:tcPr>
            <w:tcW w:w="386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300" w:type="dxa"/>
            <w:vAlign w:val="bottom"/>
          </w:tcPr>
          <w:p>
            <w:pPr>
              <w:jc w:val="center"/>
              <w:ind w:left="176"/>
              <w:spacing w:after="0"/>
              <w:rPr>
                <w:sz w:val="20"/>
                <w:szCs w:val="20"/>
                <w:color w:val="auto"/>
              </w:rPr>
            </w:pPr>
            <w:r>
              <w:rPr>
                <w:rFonts w:ascii="Arial" w:cs="Arial" w:eastAsia="Arial" w:hAnsi="Arial"/>
                <w:sz w:val="17"/>
                <w:szCs w:val="17"/>
                <w:color w:val="auto"/>
                <w:w w:val="91"/>
              </w:rPr>
              <w:t>March 16, 2018</w:t>
            </w:r>
          </w:p>
        </w:tc>
        <w:tc>
          <w:tcPr>
            <w:tcW w:w="0" w:type="dxa"/>
            <w:vAlign w:val="bottom"/>
          </w:tcPr>
          <w:p>
            <w:pPr>
              <w:spacing w:after="0"/>
              <w:rPr>
                <w:sz w:val="1"/>
                <w:szCs w:val="1"/>
                <w:color w:val="auto"/>
              </w:rPr>
            </w:pPr>
          </w:p>
        </w:tc>
      </w:tr>
      <w:tr>
        <w:trPr>
          <w:trHeight w:val="239"/>
        </w:trPr>
        <w:tc>
          <w:tcPr>
            <w:tcW w:w="5260" w:type="dxa"/>
            <w:vAlign w:val="bottom"/>
          </w:tcPr>
          <w:p>
            <w:pPr>
              <w:jc w:val="center"/>
              <w:spacing w:after="0"/>
              <w:rPr>
                <w:sz w:val="20"/>
                <w:szCs w:val="20"/>
                <w:color w:val="auto"/>
              </w:rPr>
            </w:pPr>
            <w:r>
              <w:rPr>
                <w:rFonts w:ascii="Arial" w:cs="Arial" w:eastAsia="Arial" w:hAnsi="Arial"/>
                <w:sz w:val="17"/>
                <w:szCs w:val="17"/>
                <w:b w:val="1"/>
                <w:bCs w:val="1"/>
                <w:color w:val="auto"/>
                <w:w w:val="92"/>
              </w:rPr>
              <w:t>Earl R. Lewis</w:t>
            </w:r>
          </w:p>
        </w:tc>
        <w:tc>
          <w:tcPr>
            <w:tcW w:w="3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BERTRAND LOY</w:t>
            </w:r>
          </w:p>
        </w:tc>
        <w:tc>
          <w:tcPr>
            <w:tcW w:w="386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300" w:type="dxa"/>
            <w:vAlign w:val="bottom"/>
          </w:tcPr>
          <w:p>
            <w:pPr>
              <w:jc w:val="center"/>
              <w:ind w:left="176"/>
              <w:spacing w:after="0"/>
              <w:rPr>
                <w:sz w:val="20"/>
                <w:szCs w:val="20"/>
                <w:color w:val="auto"/>
              </w:rPr>
            </w:pPr>
            <w:r>
              <w:rPr>
                <w:rFonts w:ascii="Arial" w:cs="Arial" w:eastAsia="Arial" w:hAnsi="Arial"/>
                <w:sz w:val="17"/>
                <w:szCs w:val="17"/>
                <w:color w:val="auto"/>
                <w:w w:val="91"/>
              </w:rPr>
              <w:t>March 16, 2018</w:t>
            </w:r>
          </w:p>
        </w:tc>
        <w:tc>
          <w:tcPr>
            <w:tcW w:w="0" w:type="dxa"/>
            <w:vAlign w:val="bottom"/>
          </w:tcPr>
          <w:p>
            <w:pPr>
              <w:spacing w:after="0"/>
              <w:rPr>
                <w:sz w:val="1"/>
                <w:szCs w:val="1"/>
                <w:color w:val="auto"/>
              </w:rPr>
            </w:pPr>
          </w:p>
        </w:tc>
      </w:tr>
      <w:tr>
        <w:trPr>
          <w:trHeight w:val="239"/>
        </w:trPr>
        <w:tc>
          <w:tcPr>
            <w:tcW w:w="5260" w:type="dxa"/>
            <w:vAlign w:val="bottom"/>
          </w:tcPr>
          <w:p>
            <w:pPr>
              <w:jc w:val="center"/>
              <w:spacing w:after="0"/>
              <w:rPr>
                <w:sz w:val="20"/>
                <w:szCs w:val="20"/>
                <w:color w:val="auto"/>
              </w:rPr>
            </w:pPr>
            <w:r>
              <w:rPr>
                <w:rFonts w:ascii="Arial" w:cs="Arial" w:eastAsia="Arial" w:hAnsi="Arial"/>
                <w:sz w:val="17"/>
                <w:szCs w:val="17"/>
                <w:b w:val="1"/>
                <w:bCs w:val="1"/>
                <w:color w:val="auto"/>
                <w:w w:val="92"/>
              </w:rPr>
              <w:t>Bertrand Loy</w:t>
            </w:r>
          </w:p>
        </w:tc>
        <w:tc>
          <w:tcPr>
            <w:tcW w:w="3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/s/ GEORGE UVEGES</w:t>
            </w:r>
          </w:p>
        </w:tc>
        <w:tc>
          <w:tcPr>
            <w:tcW w:w="386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300" w:type="dxa"/>
            <w:vAlign w:val="bottom"/>
          </w:tcPr>
          <w:p>
            <w:pPr>
              <w:jc w:val="center"/>
              <w:ind w:left="176"/>
              <w:spacing w:after="0"/>
              <w:rPr>
                <w:sz w:val="20"/>
                <w:szCs w:val="20"/>
                <w:color w:val="auto"/>
              </w:rPr>
            </w:pPr>
            <w:r>
              <w:rPr>
                <w:rFonts w:ascii="Arial" w:cs="Arial" w:eastAsia="Arial" w:hAnsi="Arial"/>
                <w:sz w:val="17"/>
                <w:szCs w:val="17"/>
                <w:color w:val="auto"/>
                <w:w w:val="91"/>
              </w:rPr>
              <w:t>March 16, 2018</w:t>
            </w:r>
          </w:p>
        </w:tc>
        <w:tc>
          <w:tcPr>
            <w:tcW w:w="0" w:type="dxa"/>
            <w:vAlign w:val="bottom"/>
          </w:tcPr>
          <w:p>
            <w:pPr>
              <w:spacing w:after="0"/>
              <w:rPr>
                <w:sz w:val="1"/>
                <w:szCs w:val="1"/>
                <w:color w:val="auto"/>
              </w:rPr>
            </w:pPr>
          </w:p>
        </w:tc>
      </w:tr>
      <w:tr>
        <w:trPr>
          <w:trHeight w:val="239"/>
        </w:trPr>
        <w:tc>
          <w:tcPr>
            <w:tcW w:w="5260" w:type="dxa"/>
            <w:vAlign w:val="bottom"/>
          </w:tcPr>
          <w:p>
            <w:pPr>
              <w:jc w:val="center"/>
              <w:spacing w:after="0"/>
              <w:rPr>
                <w:sz w:val="20"/>
                <w:szCs w:val="20"/>
                <w:color w:val="auto"/>
              </w:rPr>
            </w:pPr>
            <w:r>
              <w:rPr>
                <w:rFonts w:ascii="Arial" w:cs="Arial" w:eastAsia="Arial" w:hAnsi="Arial"/>
                <w:sz w:val="17"/>
                <w:szCs w:val="17"/>
                <w:b w:val="1"/>
                <w:bCs w:val="1"/>
                <w:color w:val="auto"/>
                <w:w w:val="84"/>
              </w:rPr>
              <w:t>George Uveges</w:t>
            </w:r>
          </w:p>
        </w:tc>
        <w:tc>
          <w:tcPr>
            <w:tcW w:w="3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THOMAS W. LOEWALD</w:t>
            </w:r>
          </w:p>
        </w:tc>
        <w:tc>
          <w:tcPr>
            <w:tcW w:w="386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300" w:type="dxa"/>
            <w:vAlign w:val="bottom"/>
          </w:tcPr>
          <w:p>
            <w:pPr>
              <w:jc w:val="center"/>
              <w:ind w:left="176"/>
              <w:spacing w:after="0"/>
              <w:rPr>
                <w:sz w:val="20"/>
                <w:szCs w:val="20"/>
                <w:color w:val="auto"/>
              </w:rPr>
            </w:pPr>
            <w:r>
              <w:rPr>
                <w:rFonts w:ascii="Arial" w:cs="Arial" w:eastAsia="Arial" w:hAnsi="Arial"/>
                <w:sz w:val="17"/>
                <w:szCs w:val="17"/>
                <w:color w:val="auto"/>
                <w:w w:val="91"/>
              </w:rPr>
              <w:t>March 16, 2018</w:t>
            </w:r>
          </w:p>
        </w:tc>
        <w:tc>
          <w:tcPr>
            <w:tcW w:w="0" w:type="dxa"/>
            <w:vAlign w:val="bottom"/>
          </w:tcPr>
          <w:p>
            <w:pPr>
              <w:spacing w:after="0"/>
              <w:rPr>
                <w:sz w:val="1"/>
                <w:szCs w:val="1"/>
                <w:color w:val="auto"/>
              </w:rPr>
            </w:pPr>
          </w:p>
        </w:tc>
      </w:tr>
      <w:tr>
        <w:trPr>
          <w:trHeight w:val="239"/>
        </w:trPr>
        <w:tc>
          <w:tcPr>
            <w:tcW w:w="5260" w:type="dxa"/>
            <w:vAlign w:val="bottom"/>
          </w:tcPr>
          <w:p>
            <w:pPr>
              <w:jc w:val="center"/>
              <w:spacing w:after="0"/>
              <w:rPr>
                <w:sz w:val="20"/>
                <w:szCs w:val="20"/>
                <w:color w:val="auto"/>
              </w:rPr>
            </w:pPr>
            <w:r>
              <w:rPr>
                <w:rFonts w:ascii="Arial" w:cs="Arial" w:eastAsia="Arial" w:hAnsi="Arial"/>
                <w:sz w:val="17"/>
                <w:szCs w:val="17"/>
                <w:b w:val="1"/>
                <w:bCs w:val="1"/>
                <w:color w:val="auto"/>
                <w:w w:val="90"/>
              </w:rPr>
              <w:t>Thomas W. Loewald</w:t>
            </w:r>
          </w:p>
        </w:tc>
        <w:tc>
          <w:tcPr>
            <w:tcW w:w="3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KATHERINE A. EADE</w:t>
            </w:r>
          </w:p>
        </w:tc>
        <w:tc>
          <w:tcPr>
            <w:tcW w:w="386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300" w:type="dxa"/>
            <w:vAlign w:val="bottom"/>
          </w:tcPr>
          <w:p>
            <w:pPr>
              <w:jc w:val="center"/>
              <w:ind w:left="176"/>
              <w:spacing w:after="0"/>
              <w:rPr>
                <w:sz w:val="20"/>
                <w:szCs w:val="20"/>
                <w:color w:val="auto"/>
              </w:rPr>
            </w:pPr>
            <w:r>
              <w:rPr>
                <w:rFonts w:ascii="Arial" w:cs="Arial" w:eastAsia="Arial" w:hAnsi="Arial"/>
                <w:sz w:val="17"/>
                <w:szCs w:val="17"/>
                <w:color w:val="auto"/>
                <w:w w:val="91"/>
              </w:rPr>
              <w:t>March 16, 2018</w:t>
            </w:r>
          </w:p>
        </w:tc>
        <w:tc>
          <w:tcPr>
            <w:tcW w:w="0" w:type="dxa"/>
            <w:vAlign w:val="bottom"/>
          </w:tcPr>
          <w:p>
            <w:pPr>
              <w:spacing w:after="0"/>
              <w:rPr>
                <w:sz w:val="1"/>
                <w:szCs w:val="1"/>
                <w:color w:val="auto"/>
              </w:rPr>
            </w:pPr>
          </w:p>
        </w:tc>
      </w:tr>
      <w:tr>
        <w:trPr>
          <w:trHeight w:val="239"/>
        </w:trPr>
        <w:tc>
          <w:tcPr>
            <w:tcW w:w="5260" w:type="dxa"/>
            <w:vAlign w:val="bottom"/>
          </w:tcPr>
          <w:p>
            <w:pPr>
              <w:jc w:val="center"/>
              <w:spacing w:after="0"/>
              <w:rPr>
                <w:sz w:val="20"/>
                <w:szCs w:val="20"/>
                <w:color w:val="auto"/>
              </w:rPr>
            </w:pPr>
            <w:r>
              <w:rPr>
                <w:rFonts w:ascii="Arial" w:cs="Arial" w:eastAsia="Arial" w:hAnsi="Arial"/>
                <w:sz w:val="17"/>
                <w:szCs w:val="17"/>
                <w:b w:val="1"/>
                <w:bCs w:val="1"/>
                <w:color w:val="auto"/>
                <w:w w:val="92"/>
              </w:rPr>
              <w:t>Katherine A. Eade</w:t>
            </w:r>
          </w:p>
        </w:tc>
        <w:tc>
          <w:tcPr>
            <w:tcW w:w="3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52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5260" w:type="dxa"/>
            <w:vAlign w:val="bottom"/>
            <w:shd w:val="clear" w:color="auto" w:fill="000000"/>
          </w:tcPr>
          <w:p>
            <w:pPr>
              <w:spacing w:after="0"/>
              <w:rPr>
                <w:sz w:val="5"/>
                <w:szCs w:val="5"/>
                <w:color w:val="auto"/>
              </w:rPr>
            </w:pPr>
          </w:p>
        </w:tc>
        <w:tc>
          <w:tcPr>
            <w:tcW w:w="3860" w:type="dxa"/>
            <w:vAlign w:val="bottom"/>
            <w:shd w:val="clear" w:color="auto" w:fill="000000"/>
          </w:tcPr>
          <w:p>
            <w:pPr>
              <w:spacing w:after="0"/>
              <w:rPr>
                <w:sz w:val="5"/>
                <w:szCs w:val="5"/>
                <w:color w:val="auto"/>
              </w:rPr>
            </w:pPr>
          </w:p>
        </w:tc>
        <w:tc>
          <w:tcPr>
            <w:tcW w:w="23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8"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EXHIBIT INDEX</w:t>
      </w:r>
    </w:p>
    <w:p>
      <w:pPr>
        <w:spacing w:after="0" w:line="213" w:lineRule="exact"/>
        <w:rPr>
          <w:sz w:val="20"/>
          <w:szCs w:val="20"/>
          <w:color w:val="auto"/>
        </w:rPr>
      </w:pPr>
    </w:p>
    <w:p>
      <w:pPr>
        <w:ind w:right="360" w:firstLine="456"/>
        <w:spacing w:after="0" w:line="271" w:lineRule="auto"/>
        <w:rPr>
          <w:sz w:val="20"/>
          <w:szCs w:val="20"/>
          <w:color w:val="auto"/>
        </w:rPr>
      </w:pPr>
      <w:r>
        <w:rPr>
          <w:rFonts w:ascii="Arial" w:cs="Arial" w:eastAsia="Arial" w:hAnsi="Arial"/>
          <w:sz w:val="17"/>
          <w:szCs w:val="17"/>
          <w:color w:val="auto"/>
        </w:rPr>
        <w:t>The following exhibits are filed as part of this Annual Report on Form 10-K. Where such filing is made by incorporation by reference to a previously filed document, such document is identified.</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1100" w:type="dxa"/>
            <w:vAlign w:val="bottom"/>
            <w:gridSpan w:val="3"/>
          </w:tcPr>
          <w:p>
            <w:pPr>
              <w:jc w:val="center"/>
              <w:spacing w:after="0"/>
              <w:rPr>
                <w:sz w:val="20"/>
                <w:szCs w:val="20"/>
                <w:color w:val="auto"/>
              </w:rPr>
            </w:pPr>
            <w:r>
              <w:rPr>
                <w:rFonts w:ascii="Arial" w:cs="Arial" w:eastAsia="Arial" w:hAnsi="Arial"/>
                <w:sz w:val="17"/>
                <w:szCs w:val="17"/>
                <w:color w:val="auto"/>
                <w:w w:val="94"/>
              </w:rPr>
              <w:t>Exhibit Number</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520" w:type="dxa"/>
            <w:vAlign w:val="bottom"/>
            <w:gridSpan w:val="9"/>
          </w:tcPr>
          <w:p>
            <w:pPr>
              <w:ind w:left="740"/>
              <w:spacing w:after="0"/>
              <w:rPr>
                <w:sz w:val="20"/>
                <w:szCs w:val="20"/>
                <w:color w:val="auto"/>
              </w:rPr>
            </w:pPr>
            <w:r>
              <w:rPr>
                <w:rFonts w:ascii="Arial" w:cs="Arial" w:eastAsia="Arial" w:hAnsi="Arial"/>
                <w:sz w:val="17"/>
                <w:szCs w:val="17"/>
                <w:color w:val="auto"/>
              </w:rPr>
              <w:t>Description</w:t>
            </w:r>
          </w:p>
        </w:tc>
        <w:tc>
          <w:tcPr>
            <w:tcW w:w="5180" w:type="dxa"/>
            <w:vAlign w:val="bottom"/>
            <w:gridSpan w:val="5"/>
          </w:tcPr>
          <w:p>
            <w:pPr>
              <w:ind w:left="2100"/>
              <w:spacing w:after="0"/>
              <w:rPr>
                <w:sz w:val="20"/>
                <w:szCs w:val="20"/>
                <w:color w:val="auto"/>
              </w:rPr>
            </w:pPr>
            <w:r>
              <w:rPr>
                <w:rFonts w:ascii="Arial" w:cs="Arial" w:eastAsia="Arial" w:hAnsi="Arial"/>
                <w:sz w:val="17"/>
                <w:szCs w:val="17"/>
                <w:color w:val="auto"/>
              </w:rPr>
              <w:t>Method of Filing</w:t>
            </w:r>
          </w:p>
        </w:tc>
      </w:tr>
      <w:tr>
        <w:trPr>
          <w:trHeight w:val="20"/>
        </w:trPr>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2"/>
        </w:trPr>
        <w:tc>
          <w:tcPr>
            <w:tcW w:w="400" w:type="dxa"/>
            <w:vAlign w:val="bottom"/>
          </w:tcPr>
          <w:p>
            <w:pPr>
              <w:spacing w:after="0"/>
              <w:rPr>
                <w:sz w:val="15"/>
                <w:szCs w:val="15"/>
                <w:color w:val="auto"/>
              </w:rPr>
            </w:pPr>
          </w:p>
        </w:tc>
        <w:tc>
          <w:tcPr>
            <w:tcW w:w="700" w:type="dxa"/>
            <w:vAlign w:val="bottom"/>
            <w:gridSpan w:val="2"/>
          </w:tcPr>
          <w:p>
            <w:pPr>
              <w:jc w:val="center"/>
              <w:ind w:right="400"/>
              <w:spacing w:after="0" w:line="183" w:lineRule="exact"/>
              <w:rPr>
                <w:rFonts w:ascii="Arial" w:cs="Arial" w:eastAsia="Arial" w:hAnsi="Arial"/>
                <w:sz w:val="17"/>
                <w:szCs w:val="17"/>
                <w:color w:val="0000EE"/>
                <w:w w:val="90"/>
              </w:rPr>
            </w:pPr>
            <w:hyperlink r:id="rId133">
              <w:r>
                <w:rPr>
                  <w:rFonts w:ascii="Arial" w:cs="Arial" w:eastAsia="Arial" w:hAnsi="Arial"/>
                  <w:sz w:val="17"/>
                  <w:szCs w:val="17"/>
                  <w:color w:val="0000EE"/>
                  <w:w w:val="90"/>
                </w:rPr>
                <w:t>2.</w:t>
              </w:r>
              <w:r>
                <w:rPr>
                  <w:rFonts w:ascii="Arial" w:cs="Arial" w:eastAsia="Arial" w:hAnsi="Arial"/>
                  <w:sz w:val="17"/>
                  <w:szCs w:val="17"/>
                  <w:u w:val="single" w:color="auto"/>
                  <w:color w:val="0000EE"/>
                  <w:w w:val="90"/>
                </w:rPr>
                <w:t>1§</w:t>
              </w:r>
            </w:hyperlink>
          </w:p>
        </w:tc>
        <w:tc>
          <w:tcPr>
            <w:tcW w:w="80" w:type="dxa"/>
            <w:vAlign w:val="bottom"/>
          </w:tcPr>
          <w:p>
            <w:pPr>
              <w:spacing w:after="0"/>
              <w:rPr>
                <w:sz w:val="15"/>
                <w:szCs w:val="15"/>
                <w:color w:val="auto"/>
              </w:rPr>
            </w:pPr>
          </w:p>
        </w:tc>
        <w:tc>
          <w:tcPr>
            <w:tcW w:w="4800" w:type="dxa"/>
            <w:vAlign w:val="bottom"/>
            <w:gridSpan w:val="11"/>
          </w:tcPr>
          <w:p>
            <w:pPr>
              <w:spacing w:after="0" w:line="183" w:lineRule="exact"/>
              <w:rPr>
                <w:rFonts w:ascii="Arial" w:cs="Arial" w:eastAsia="Arial" w:hAnsi="Arial"/>
                <w:sz w:val="17"/>
                <w:szCs w:val="17"/>
                <w:color w:val="0000EE"/>
                <w:w w:val="92"/>
              </w:rPr>
            </w:pPr>
            <w:hyperlink r:id="rId133">
              <w:r>
                <w:rPr>
                  <w:rFonts w:ascii="Arial" w:cs="Arial" w:eastAsia="Arial" w:hAnsi="Arial"/>
                  <w:sz w:val="17"/>
                  <w:szCs w:val="17"/>
                  <w:color w:val="0000EE"/>
                  <w:w w:val="92"/>
                </w:rPr>
                <w:t>Separation and Distribution Agreement between Harvard Bioscience,</w:t>
              </w:r>
            </w:hyperlink>
          </w:p>
        </w:tc>
        <w:tc>
          <w:tcPr>
            <w:tcW w:w="5180" w:type="dxa"/>
            <w:vAlign w:val="bottom"/>
            <w:gridSpan w:val="5"/>
          </w:tcPr>
          <w:p>
            <w:pPr>
              <w:spacing w:after="0" w:line="183" w:lineRule="exact"/>
              <w:rPr>
                <w:rFonts w:ascii="Arial" w:cs="Arial" w:eastAsia="Arial" w:hAnsi="Arial"/>
                <w:sz w:val="17"/>
                <w:szCs w:val="17"/>
                <w:color w:val="0000EE"/>
                <w:w w:val="90"/>
              </w:rPr>
            </w:pPr>
            <w:hyperlink r:id="rId133">
              <w:r>
                <w:rPr>
                  <w:rFonts w:ascii="Arial" w:cs="Arial" w:eastAsia="Arial" w:hAnsi="Arial"/>
                  <w:sz w:val="17"/>
                  <w:szCs w:val="17"/>
                  <w:color w:val="0000EE"/>
                  <w:w w:val="90"/>
                </w:rPr>
                <w:t>Previously filed as an exhibit to the Company’s Current Report on Form 8-K</w:t>
              </w:r>
            </w:hyperlink>
          </w:p>
        </w:tc>
      </w:tr>
      <w:tr>
        <w:trPr>
          <w:trHeight w:val="182"/>
        </w:trPr>
        <w:tc>
          <w:tcPr>
            <w:tcW w:w="400" w:type="dxa"/>
            <w:vAlign w:val="bottom"/>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0" w:type="dxa"/>
            <w:vAlign w:val="bottom"/>
            <w:tcBorders>
              <w:top w:val="single" w:sz="8" w:color="0000EE"/>
              <w:bottom w:val="single" w:sz="8" w:color="0000EE"/>
            </w:tcBorders>
            <w:gridSpan w:val="6"/>
          </w:tcPr>
          <w:p>
            <w:pPr>
              <w:spacing w:after="0" w:line="183" w:lineRule="exact"/>
              <w:rPr>
                <w:rFonts w:ascii="Arial" w:cs="Arial" w:eastAsia="Arial" w:hAnsi="Arial"/>
                <w:sz w:val="17"/>
                <w:szCs w:val="17"/>
                <w:color w:val="0000EE"/>
                <w:w w:val="90"/>
              </w:rPr>
            </w:pPr>
            <w:hyperlink r:id="rId133">
              <w:r>
                <w:rPr>
                  <w:rFonts w:ascii="Arial" w:cs="Arial" w:eastAsia="Arial" w:hAnsi="Arial"/>
                  <w:sz w:val="17"/>
                  <w:szCs w:val="17"/>
                  <w:color w:val="0000EE"/>
                  <w:w w:val="90"/>
                </w:rPr>
                <w:t>Inc. and Biostage, Inc. (f/k/a Harvard Apparatus Regenerative</w:t>
              </w:r>
            </w:hyperlink>
          </w:p>
        </w:tc>
        <w:tc>
          <w:tcPr>
            <w:tcW w:w="480" w:type="dxa"/>
            <w:vAlign w:val="bottom"/>
            <w:tcBorders>
              <w:top w:val="single" w:sz="8" w:color="0000EE"/>
            </w:tcBorders>
          </w:tcPr>
          <w:p>
            <w:pPr>
              <w:spacing w:after="0"/>
              <w:rPr>
                <w:sz w:val="15"/>
                <w:szCs w:val="15"/>
                <w:color w:val="auto"/>
              </w:rPr>
            </w:pPr>
          </w:p>
        </w:tc>
        <w:tc>
          <w:tcPr>
            <w:tcW w:w="120" w:type="dxa"/>
            <w:vAlign w:val="bottom"/>
            <w:gridSpan w:val="4"/>
          </w:tcPr>
          <w:p>
            <w:pPr>
              <w:spacing w:after="0"/>
              <w:rPr>
                <w:sz w:val="15"/>
                <w:szCs w:val="15"/>
                <w:color w:val="auto"/>
              </w:rPr>
            </w:pPr>
          </w:p>
        </w:tc>
        <w:tc>
          <w:tcPr>
            <w:tcW w:w="4300" w:type="dxa"/>
            <w:vAlign w:val="bottom"/>
            <w:tcBorders>
              <w:top w:val="single" w:sz="8" w:color="0000EE"/>
              <w:bottom w:val="single" w:sz="8" w:color="0000EE"/>
            </w:tcBorders>
            <w:gridSpan w:val="4"/>
          </w:tcPr>
          <w:p>
            <w:pPr>
              <w:spacing w:after="0" w:line="183" w:lineRule="exact"/>
              <w:rPr>
                <w:rFonts w:ascii="Arial" w:cs="Arial" w:eastAsia="Arial" w:hAnsi="Arial"/>
                <w:sz w:val="17"/>
                <w:szCs w:val="17"/>
                <w:color w:val="0000EE"/>
                <w:w w:val="89"/>
              </w:rPr>
            </w:pPr>
            <w:hyperlink r:id="rId133">
              <w:r>
                <w:rPr>
                  <w:rFonts w:ascii="Arial" w:cs="Arial" w:eastAsia="Arial" w:hAnsi="Arial"/>
                  <w:sz w:val="17"/>
                  <w:szCs w:val="17"/>
                  <w:color w:val="0000EE"/>
                  <w:w w:val="89"/>
                </w:rPr>
                <w:t>(filed November 6, 2013) and incorporated by reference thereto</w:t>
              </w:r>
            </w:hyperlink>
          </w:p>
        </w:tc>
        <w:tc>
          <w:tcPr>
            <w:tcW w:w="880" w:type="dxa"/>
            <w:vAlign w:val="bottom"/>
            <w:tcBorders>
              <w:top w:val="single" w:sz="8" w:color="0000EE"/>
            </w:tcBorders>
          </w:tcPr>
          <w:p>
            <w:pPr>
              <w:spacing w:after="0"/>
              <w:rPr>
                <w:sz w:val="15"/>
                <w:szCs w:val="15"/>
                <w:color w:val="auto"/>
              </w:rPr>
            </w:pPr>
          </w:p>
        </w:tc>
      </w:tr>
      <w:tr>
        <w:trPr>
          <w:trHeight w:val="182"/>
        </w:trPr>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tcBorders>
              <w:bottom w:val="single" w:sz="8" w:color="0000EE"/>
            </w:tcBorders>
            <w:gridSpan w:val="5"/>
          </w:tcPr>
          <w:p>
            <w:pPr>
              <w:spacing w:after="0" w:line="183" w:lineRule="exact"/>
              <w:rPr>
                <w:rFonts w:ascii="Arial" w:cs="Arial" w:eastAsia="Arial" w:hAnsi="Arial"/>
                <w:sz w:val="17"/>
                <w:szCs w:val="17"/>
                <w:color w:val="0000EE"/>
                <w:w w:val="88"/>
              </w:rPr>
            </w:pPr>
            <w:hyperlink r:id="rId133">
              <w:r>
                <w:rPr>
                  <w:rFonts w:ascii="Arial" w:cs="Arial" w:eastAsia="Arial" w:hAnsi="Arial"/>
                  <w:sz w:val="17"/>
                  <w:szCs w:val="17"/>
                  <w:color w:val="0000EE"/>
                  <w:w w:val="88"/>
                </w:rPr>
                <w:t>Technology, Inc.) dated as of October 31, 2013</w:t>
              </w:r>
            </w:hyperlink>
          </w:p>
        </w:tc>
        <w:tc>
          <w:tcPr>
            <w:tcW w:w="1620" w:type="dxa"/>
            <w:vAlign w:val="bottom"/>
            <w:gridSpan w:val="6"/>
          </w:tcPr>
          <w:p>
            <w:pPr>
              <w:spacing w:after="0"/>
              <w:rPr>
                <w:sz w:val="15"/>
                <w:szCs w:val="15"/>
                <w:color w:val="auto"/>
              </w:rPr>
            </w:pPr>
          </w:p>
        </w:tc>
        <w:tc>
          <w:tcPr>
            <w:tcW w:w="2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85"/>
        </w:trPr>
        <w:tc>
          <w:tcPr>
            <w:tcW w:w="400" w:type="dxa"/>
            <w:vAlign w:val="bottom"/>
          </w:tcPr>
          <w:p>
            <w:pPr>
              <w:spacing w:after="0"/>
              <w:rPr>
                <w:sz w:val="24"/>
                <w:szCs w:val="24"/>
                <w:color w:val="auto"/>
              </w:rPr>
            </w:pPr>
          </w:p>
        </w:tc>
        <w:tc>
          <w:tcPr>
            <w:tcW w:w="700" w:type="dxa"/>
            <w:vAlign w:val="bottom"/>
            <w:gridSpan w:val="2"/>
          </w:tcPr>
          <w:p>
            <w:pPr>
              <w:jc w:val="center"/>
              <w:ind w:right="400"/>
              <w:spacing w:after="0"/>
              <w:rPr>
                <w:rFonts w:ascii="Arial" w:cs="Arial" w:eastAsia="Arial" w:hAnsi="Arial"/>
                <w:sz w:val="17"/>
                <w:szCs w:val="17"/>
                <w:color w:val="0000EE"/>
                <w:w w:val="90"/>
              </w:rPr>
            </w:pPr>
            <w:hyperlink r:id="rId134">
              <w:r>
                <w:rPr>
                  <w:rFonts w:ascii="Arial" w:cs="Arial" w:eastAsia="Arial" w:hAnsi="Arial"/>
                  <w:sz w:val="17"/>
                  <w:szCs w:val="17"/>
                  <w:color w:val="0000EE"/>
                  <w:w w:val="90"/>
                </w:rPr>
                <w:t>2.</w:t>
              </w:r>
              <w:r>
                <w:rPr>
                  <w:rFonts w:ascii="Arial" w:cs="Arial" w:eastAsia="Arial" w:hAnsi="Arial"/>
                  <w:sz w:val="17"/>
                  <w:szCs w:val="17"/>
                  <w:u w:val="single" w:color="auto"/>
                  <w:color w:val="0000EE"/>
                  <w:w w:val="90"/>
                </w:rPr>
                <w:t>2§</w:t>
              </w:r>
            </w:hyperlink>
          </w:p>
        </w:tc>
        <w:tc>
          <w:tcPr>
            <w:tcW w:w="80" w:type="dxa"/>
            <w:vAlign w:val="bottom"/>
          </w:tcPr>
          <w:p>
            <w:pPr>
              <w:spacing w:after="0"/>
              <w:rPr>
                <w:sz w:val="24"/>
                <w:szCs w:val="24"/>
                <w:color w:val="auto"/>
              </w:rPr>
            </w:pPr>
          </w:p>
        </w:tc>
        <w:tc>
          <w:tcPr>
            <w:tcW w:w="9980" w:type="dxa"/>
            <w:vAlign w:val="bottom"/>
            <w:gridSpan w:val="16"/>
          </w:tcPr>
          <w:p>
            <w:pPr>
              <w:spacing w:after="0"/>
              <w:rPr>
                <w:rFonts w:ascii="Arial" w:cs="Arial" w:eastAsia="Arial" w:hAnsi="Arial"/>
                <w:sz w:val="17"/>
                <w:szCs w:val="17"/>
                <w:color w:val="0000EE"/>
                <w:w w:val="90"/>
              </w:rPr>
            </w:pPr>
            <w:hyperlink r:id="rId134">
              <w:r>
                <w:rPr>
                  <w:rFonts w:ascii="Arial" w:cs="Arial" w:eastAsia="Arial" w:hAnsi="Arial"/>
                  <w:sz w:val="17"/>
                  <w:szCs w:val="17"/>
                  <w:color w:val="0000EE"/>
                  <w:w w:val="90"/>
                </w:rPr>
                <w:t>Share Purchase Agreement between Biochrom Limited, as Buyer, and Previously filed as an exhibit to the Company’s Current Report on Form 8-K</w:t>
              </w:r>
            </w:hyperlink>
          </w:p>
        </w:tc>
      </w:tr>
      <w:tr>
        <w:trPr>
          <w:trHeight w:val="20"/>
        </w:trPr>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r>
      <w:tr>
        <w:trPr>
          <w:trHeight w:val="182"/>
        </w:trPr>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80" w:type="dxa"/>
            <w:vAlign w:val="bottom"/>
            <w:gridSpan w:val="16"/>
          </w:tcPr>
          <w:p>
            <w:pPr>
              <w:spacing w:after="0" w:line="183" w:lineRule="exact"/>
              <w:rPr>
                <w:rFonts w:ascii="Arial" w:cs="Arial" w:eastAsia="Arial" w:hAnsi="Arial"/>
                <w:sz w:val="17"/>
                <w:szCs w:val="17"/>
                <w:color w:val="0000EE"/>
              </w:rPr>
            </w:pPr>
            <w:hyperlink r:id="rId134">
              <w:r>
                <w:rPr>
                  <w:rFonts w:ascii="Arial" w:cs="Arial" w:eastAsia="Arial" w:hAnsi="Arial"/>
                  <w:sz w:val="17"/>
                  <w:szCs w:val="17"/>
                  <w:color w:val="0000EE"/>
                </w:rPr>
                <w:t>Multi-Channel Systems Holding GmbH, as Seller, dated as of October (filed October 1, 2014) and incorporated by reference thereto</w:t>
              </w:r>
            </w:hyperlink>
          </w:p>
        </w:tc>
      </w:tr>
      <w:tr>
        <w:trPr>
          <w:trHeight w:val="182"/>
        </w:trPr>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top w:val="single" w:sz="8" w:color="0000EE"/>
              <w:bottom w:val="single" w:sz="8" w:color="0000EE"/>
            </w:tcBorders>
          </w:tcPr>
          <w:p>
            <w:pPr>
              <w:spacing w:after="0" w:line="183" w:lineRule="exact"/>
              <w:rPr>
                <w:rFonts w:ascii="Arial" w:cs="Arial" w:eastAsia="Arial" w:hAnsi="Arial"/>
                <w:sz w:val="17"/>
                <w:szCs w:val="17"/>
                <w:color w:val="0000EE"/>
                <w:w w:val="88"/>
              </w:rPr>
            </w:pPr>
            <w:hyperlink r:id="rId134">
              <w:r>
                <w:rPr>
                  <w:rFonts w:ascii="Arial" w:cs="Arial" w:eastAsia="Arial" w:hAnsi="Arial"/>
                  <w:sz w:val="17"/>
                  <w:szCs w:val="17"/>
                  <w:color w:val="0000EE"/>
                  <w:w w:val="88"/>
                </w:rPr>
                <w:t>1, 2014</w:t>
              </w:r>
            </w:hyperlink>
          </w:p>
        </w:tc>
        <w:tc>
          <w:tcPr>
            <w:tcW w:w="76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Borders>
              <w:top w:val="single" w:sz="8" w:color="0000EE"/>
            </w:tcBorders>
          </w:tcPr>
          <w:p>
            <w:pPr>
              <w:spacing w:after="0"/>
              <w:rPr>
                <w:sz w:val="15"/>
                <w:szCs w:val="15"/>
                <w:color w:val="auto"/>
              </w:rPr>
            </w:pPr>
          </w:p>
        </w:tc>
        <w:tc>
          <w:tcPr>
            <w:tcW w:w="116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85"/>
        </w:trPr>
        <w:tc>
          <w:tcPr>
            <w:tcW w:w="400" w:type="dxa"/>
            <w:vAlign w:val="bottom"/>
          </w:tcPr>
          <w:p>
            <w:pPr>
              <w:spacing w:after="0"/>
              <w:rPr>
                <w:sz w:val="24"/>
                <w:szCs w:val="24"/>
                <w:color w:val="auto"/>
              </w:rPr>
            </w:pPr>
          </w:p>
        </w:tc>
        <w:tc>
          <w:tcPr>
            <w:tcW w:w="700" w:type="dxa"/>
            <w:vAlign w:val="bottom"/>
            <w:gridSpan w:val="2"/>
          </w:tcPr>
          <w:p>
            <w:pPr>
              <w:jc w:val="center"/>
              <w:ind w:right="400"/>
              <w:spacing w:after="0"/>
              <w:rPr>
                <w:rFonts w:ascii="Arial" w:cs="Arial" w:eastAsia="Arial" w:hAnsi="Arial"/>
                <w:sz w:val="17"/>
                <w:szCs w:val="17"/>
                <w:color w:val="0000EE"/>
                <w:w w:val="90"/>
              </w:rPr>
            </w:pPr>
            <w:hyperlink r:id="rId135">
              <w:r>
                <w:rPr>
                  <w:rFonts w:ascii="Arial" w:cs="Arial" w:eastAsia="Arial" w:hAnsi="Arial"/>
                  <w:sz w:val="17"/>
                  <w:szCs w:val="17"/>
                  <w:color w:val="0000EE"/>
                  <w:w w:val="90"/>
                </w:rPr>
                <w:t>2.</w:t>
              </w:r>
              <w:r>
                <w:rPr>
                  <w:rFonts w:ascii="Arial" w:cs="Arial" w:eastAsia="Arial" w:hAnsi="Arial"/>
                  <w:sz w:val="17"/>
                  <w:szCs w:val="17"/>
                  <w:u w:val="single" w:color="auto"/>
                  <w:color w:val="0000EE"/>
                  <w:w w:val="90"/>
                </w:rPr>
                <w:t>3§</w:t>
              </w:r>
            </w:hyperlink>
          </w:p>
        </w:tc>
        <w:tc>
          <w:tcPr>
            <w:tcW w:w="80" w:type="dxa"/>
            <w:vAlign w:val="bottom"/>
          </w:tcPr>
          <w:p>
            <w:pPr>
              <w:spacing w:after="0"/>
              <w:rPr>
                <w:sz w:val="24"/>
                <w:szCs w:val="24"/>
                <w:color w:val="auto"/>
              </w:rPr>
            </w:pPr>
          </w:p>
        </w:tc>
        <w:tc>
          <w:tcPr>
            <w:tcW w:w="9980" w:type="dxa"/>
            <w:vAlign w:val="bottom"/>
            <w:gridSpan w:val="16"/>
          </w:tcPr>
          <w:p>
            <w:pPr>
              <w:spacing w:after="0"/>
              <w:rPr>
                <w:rFonts w:ascii="Arial" w:cs="Arial" w:eastAsia="Arial" w:hAnsi="Arial"/>
                <w:sz w:val="17"/>
                <w:szCs w:val="17"/>
                <w:color w:val="0000EE"/>
                <w:w w:val="89"/>
              </w:rPr>
            </w:pPr>
            <w:hyperlink r:id="rId135">
              <w:r>
                <w:rPr>
                  <w:rFonts w:ascii="Arial" w:cs="Arial" w:eastAsia="Arial" w:hAnsi="Arial"/>
                  <w:sz w:val="17"/>
                  <w:szCs w:val="17"/>
                  <w:color w:val="0000EE"/>
                  <w:w w:val="89"/>
                </w:rPr>
                <w:t>Stock Purchase Agreement by and among Harvard Bioscience, Inc., as Previously filed as an exhibit to the Company’s Current Report on Form 8-K</w:t>
              </w:r>
            </w:hyperlink>
          </w:p>
        </w:tc>
      </w:tr>
      <w:tr>
        <w:trPr>
          <w:trHeight w:val="20"/>
        </w:trPr>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50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gridSpan w:val="5"/>
            <w:shd w:val="clear" w:color="auto" w:fill="0000EE"/>
          </w:tcPr>
          <w:p>
            <w:pPr>
              <w:spacing w:after="0" w:line="20" w:lineRule="exact"/>
              <w:rPr>
                <w:sz w:val="1"/>
                <w:szCs w:val="1"/>
                <w:color w:val="auto"/>
              </w:rPr>
            </w:pPr>
          </w:p>
        </w:tc>
      </w:tr>
      <w:tr>
        <w:trPr>
          <w:trHeight w:val="182"/>
        </w:trPr>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80" w:type="dxa"/>
            <w:vAlign w:val="bottom"/>
            <w:gridSpan w:val="16"/>
          </w:tcPr>
          <w:p>
            <w:pPr>
              <w:spacing w:after="0" w:line="183" w:lineRule="exact"/>
              <w:rPr>
                <w:rFonts w:ascii="Arial" w:cs="Arial" w:eastAsia="Arial" w:hAnsi="Arial"/>
                <w:sz w:val="17"/>
                <w:szCs w:val="17"/>
                <w:color w:val="0000EE"/>
              </w:rPr>
            </w:pPr>
            <w:hyperlink r:id="rId135">
              <w:r>
                <w:rPr>
                  <w:rFonts w:ascii="Arial" w:cs="Arial" w:eastAsia="Arial" w:hAnsi="Arial"/>
                  <w:sz w:val="17"/>
                  <w:szCs w:val="17"/>
                  <w:color w:val="0000EE"/>
                </w:rPr>
                <w:t>Buyer, Triangle BioSystems, Inc., and the sellers party thereto dated as(filed October 1, 2014) and incorporated by reference thereto</w:t>
              </w:r>
            </w:hyperlink>
          </w:p>
        </w:tc>
      </w:tr>
      <w:tr>
        <w:trPr>
          <w:trHeight w:val="182"/>
        </w:trPr>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80" w:type="dxa"/>
            <w:vAlign w:val="bottom"/>
            <w:tcBorders>
              <w:top w:val="single" w:sz="8" w:color="0000EE"/>
            </w:tcBorders>
            <w:gridSpan w:val="10"/>
          </w:tcPr>
          <w:p>
            <w:pPr>
              <w:spacing w:after="0" w:line="183" w:lineRule="exact"/>
              <w:rPr>
                <w:rFonts w:ascii="Arial" w:cs="Arial" w:eastAsia="Arial" w:hAnsi="Arial"/>
                <w:sz w:val="17"/>
                <w:szCs w:val="17"/>
                <w:color w:val="0000EE"/>
              </w:rPr>
            </w:pPr>
            <w:hyperlink r:id="rId135">
              <w:r>
                <w:rPr>
                  <w:rFonts w:ascii="Arial" w:cs="Arial" w:eastAsia="Arial" w:hAnsi="Arial"/>
                  <w:sz w:val="17"/>
                  <w:szCs w:val="17"/>
                  <w:color w:val="0000EE"/>
                </w:rPr>
                <w:t>of October 1, 2014</w:t>
              </w:r>
            </w:hyperlink>
          </w:p>
        </w:tc>
        <w:tc>
          <w:tcPr>
            <w:tcW w:w="20" w:type="dxa"/>
            <w:vAlign w:val="bottom"/>
          </w:tcPr>
          <w:p>
            <w:pPr>
              <w:spacing w:after="0"/>
              <w:rPr>
                <w:sz w:val="15"/>
                <w:szCs w:val="15"/>
                <w:color w:val="auto"/>
              </w:rPr>
            </w:pPr>
          </w:p>
        </w:tc>
        <w:tc>
          <w:tcPr>
            <w:tcW w:w="2100" w:type="dxa"/>
            <w:vAlign w:val="bottom"/>
            <w:tcBorders>
              <w:top w:val="single" w:sz="8" w:color="0000EE"/>
            </w:tcBorders>
          </w:tcPr>
          <w:p>
            <w:pPr>
              <w:spacing w:after="0"/>
              <w:rPr>
                <w:sz w:val="15"/>
                <w:szCs w:val="15"/>
                <w:color w:val="auto"/>
              </w:rPr>
            </w:pPr>
          </w:p>
        </w:tc>
        <w:tc>
          <w:tcPr>
            <w:tcW w:w="116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228" w:right="419" w:bottom="1440" w:gutter="0" w:footer="0" w:header="0"/>
        </w:sectPr>
      </w:pPr>
    </w:p>
    <w:p>
      <w:pPr>
        <w:spacing w:after="0" w:line="15" w:lineRule="exact"/>
        <w:rPr>
          <w:sz w:val="20"/>
          <w:szCs w:val="20"/>
          <w:color w:val="auto"/>
        </w:rPr>
      </w:pPr>
    </w:p>
    <w:p>
      <w:pPr>
        <w:ind w:left="1260" w:hanging="779"/>
        <w:spacing w:after="0" w:line="256" w:lineRule="auto"/>
        <w:tabs>
          <w:tab w:leader="none" w:pos="1240" w:val="left"/>
        </w:tabs>
        <w:rPr>
          <w:rFonts w:ascii="Arial" w:cs="Arial" w:eastAsia="Arial" w:hAnsi="Arial"/>
          <w:sz w:val="17"/>
          <w:szCs w:val="17"/>
          <w:u w:val="single" w:color="auto"/>
          <w:color w:val="0000EE"/>
        </w:rPr>
      </w:pPr>
      <w:hyperlink r:id="rId136">
        <w:r>
          <w:rPr>
            <w:rFonts w:ascii="Arial" w:cs="Arial" w:eastAsia="Arial" w:hAnsi="Arial"/>
            <w:sz w:val="17"/>
            <w:szCs w:val="17"/>
            <w:u w:val="single" w:color="auto"/>
            <w:color w:val="0000EE"/>
          </w:rPr>
          <w:t>2.4§</w:t>
        </w:r>
      </w:hyperlink>
      <w:r>
        <w:rPr>
          <w:rFonts w:ascii="Arial" w:cs="Arial" w:eastAsia="Arial" w:hAnsi="Arial"/>
          <w:sz w:val="17"/>
          <w:szCs w:val="17"/>
          <w:u w:val="single" w:color="auto"/>
          <w:color w:val="0000EE"/>
        </w:rPr>
        <w:tab/>
      </w:r>
      <w:hyperlink r:id="rId136">
        <w:r>
          <w:rPr>
            <w:rFonts w:ascii="Arial" w:cs="Arial" w:eastAsia="Arial" w:hAnsi="Arial"/>
            <w:sz w:val="17"/>
            <w:szCs w:val="17"/>
            <w:u w:val="single" w:color="auto"/>
            <w:color w:val="0000EE"/>
          </w:rPr>
          <w:t>Agreement for the Sale and Purchase of All Shares in HEKA GmbH</w:t>
        </w:r>
      </w:hyperlink>
      <w:r>
        <w:rPr>
          <w:rFonts w:ascii="Arial" w:cs="Arial" w:eastAsia="Arial" w:hAnsi="Arial"/>
          <w:sz w:val="17"/>
          <w:szCs w:val="17"/>
          <w:u w:val="single" w:color="auto"/>
          <w:color w:val="0000EE"/>
        </w:rPr>
        <w:t xml:space="preserve"> </w:t>
      </w:r>
      <w:hyperlink r:id="rId136">
        <w:r>
          <w:rPr>
            <w:rFonts w:ascii="Arial" w:cs="Arial" w:eastAsia="Arial" w:hAnsi="Arial"/>
            <w:sz w:val="17"/>
            <w:szCs w:val="17"/>
            <w:u w:val="single" w:color="auto"/>
            <w:color w:val="0000EE"/>
          </w:rPr>
          <w:t>by and among Multi Channel Systems MCS GmbH, as Purchaser, Dr.</w:t>
        </w:r>
      </w:hyperlink>
      <w:r>
        <w:rPr>
          <w:rFonts w:ascii="Arial" w:cs="Arial" w:eastAsia="Arial" w:hAnsi="Arial"/>
          <w:sz w:val="17"/>
          <w:szCs w:val="17"/>
          <w:u w:val="single" w:color="auto"/>
          <w:color w:val="0000EE"/>
        </w:rPr>
        <w:t xml:space="preserve"> </w:t>
      </w:r>
      <w:hyperlink r:id="rId136">
        <w:r>
          <w:rPr>
            <w:rFonts w:ascii="Arial" w:cs="Arial" w:eastAsia="Arial" w:hAnsi="Arial"/>
            <w:sz w:val="17"/>
            <w:szCs w:val="17"/>
            <w:u w:val="single" w:color="auto"/>
            <w:color w:val="0000EE"/>
          </w:rPr>
          <w:t>Peter Schulze GmbH &amp; Co. KG, as Seller, and Dr. Peter Schulze, as</w:t>
        </w:r>
      </w:hyperlink>
      <w:r>
        <w:rPr>
          <w:rFonts w:ascii="Arial" w:cs="Arial" w:eastAsia="Arial" w:hAnsi="Arial"/>
          <w:sz w:val="17"/>
          <w:szCs w:val="17"/>
          <w:u w:val="single" w:color="auto"/>
          <w:color w:val="0000EE"/>
        </w:rPr>
        <w:t xml:space="preserve"> </w:t>
      </w:r>
      <w:hyperlink r:id="rId136">
        <w:r>
          <w:rPr>
            <w:rFonts w:ascii="Arial" w:cs="Arial" w:eastAsia="Arial" w:hAnsi="Arial"/>
            <w:sz w:val="17"/>
            <w:szCs w:val="17"/>
            <w:u w:val="single" w:color="auto"/>
            <w:color w:val="0000EE"/>
          </w:rPr>
          <w:t>Guarantor, dated as of January 8, 2015</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303" w:lineRule="auto"/>
        <w:rPr>
          <w:rFonts w:ascii="Arial" w:cs="Arial" w:eastAsia="Arial" w:hAnsi="Arial"/>
          <w:sz w:val="16"/>
          <w:szCs w:val="16"/>
          <w:u w:val="single" w:color="auto"/>
          <w:color w:val="0000EE"/>
        </w:rPr>
      </w:pPr>
      <w:hyperlink r:id="rId136">
        <w:r>
          <w:rPr>
            <w:rFonts w:ascii="Arial" w:cs="Arial" w:eastAsia="Arial" w:hAnsi="Arial"/>
            <w:sz w:val="16"/>
            <w:szCs w:val="16"/>
            <w:u w:val="single" w:color="auto"/>
            <w:color w:val="0000EE"/>
          </w:rPr>
          <w:t>Previously filed as an exhibit to the Company’s Current Report on Form 8-K</w:t>
        </w:r>
      </w:hyperlink>
      <w:r>
        <w:rPr>
          <w:rFonts w:ascii="Arial" w:cs="Arial" w:eastAsia="Arial" w:hAnsi="Arial"/>
          <w:sz w:val="16"/>
          <w:szCs w:val="16"/>
          <w:u w:val="single" w:color="auto"/>
          <w:color w:val="0000EE"/>
        </w:rPr>
        <w:t xml:space="preserve"> </w:t>
      </w:r>
      <w:hyperlink r:id="rId136">
        <w:r>
          <w:rPr>
            <w:rFonts w:ascii="Arial" w:cs="Arial" w:eastAsia="Arial" w:hAnsi="Arial"/>
            <w:sz w:val="16"/>
            <w:szCs w:val="16"/>
            <w:u w:val="single" w:color="auto"/>
            <w:color w:val="0000EE"/>
          </w:rPr>
          <w:t>(filed January 9, 2015) and incorporated by reference thereto</w:t>
        </w:r>
      </w:hyperlink>
    </w:p>
    <w:p>
      <w:pPr>
        <w:spacing w:after="0" w:line="547" w:lineRule="exact"/>
        <w:rPr>
          <w:sz w:val="20"/>
          <w:szCs w:val="20"/>
          <w:color w:val="auto"/>
        </w:rPr>
      </w:pPr>
    </w:p>
    <w:p>
      <w:pPr>
        <w:sectPr>
          <w:pgSz w:w="11900" w:h="16838" w:orient="portrait"/>
          <w:cols w:equalWidth="0" w:num="2">
            <w:col w:w="5960" w:space="100"/>
            <w:col w:w="5180"/>
          </w:cols>
          <w:pgMar w:left="240" w:top="228" w:right="419" w:bottom="1440" w:gutter="0" w:footer="0" w:header="0"/>
          <w:type w:val="continuous"/>
        </w:sectPr>
      </w:pPr>
    </w:p>
    <w:p>
      <w:pPr>
        <w:ind w:left="1260" w:hanging="779"/>
        <w:spacing w:after="0" w:line="260" w:lineRule="auto"/>
        <w:tabs>
          <w:tab w:leader="none" w:pos="1240" w:val="left"/>
        </w:tabs>
        <w:rPr>
          <w:rFonts w:ascii="Arial" w:cs="Arial" w:eastAsia="Arial" w:hAnsi="Arial"/>
          <w:sz w:val="17"/>
          <w:szCs w:val="17"/>
          <w:u w:val="single" w:color="auto"/>
          <w:color w:val="0000EE"/>
        </w:rPr>
      </w:pPr>
      <w:hyperlink r:id="rId137">
        <w:r>
          <w:rPr>
            <w:rFonts w:ascii="Arial" w:cs="Arial" w:eastAsia="Arial" w:hAnsi="Arial"/>
            <w:sz w:val="17"/>
            <w:szCs w:val="17"/>
            <w:u w:val="single" w:color="auto"/>
            <w:color w:val="0000EE"/>
          </w:rPr>
          <w:t>2.5§</w:t>
        </w:r>
      </w:hyperlink>
      <w:r>
        <w:rPr>
          <w:rFonts w:ascii="Arial" w:cs="Arial" w:eastAsia="Arial" w:hAnsi="Arial"/>
          <w:sz w:val="17"/>
          <w:szCs w:val="17"/>
          <w:u w:val="single" w:color="auto"/>
          <w:color w:val="0000EE"/>
        </w:rPr>
        <w:tab/>
      </w:r>
      <w:hyperlink r:id="rId137">
        <w:r>
          <w:rPr>
            <w:rFonts w:ascii="Arial" w:cs="Arial" w:eastAsia="Arial" w:hAnsi="Arial"/>
            <w:sz w:val="17"/>
            <w:szCs w:val="17"/>
            <w:u w:val="single" w:color="auto"/>
            <w:color w:val="0000EE"/>
          </w:rPr>
          <w:t>Agreement for the Sale and Purchase of All Shares in HEKA Canada</w:t>
        </w:r>
      </w:hyperlink>
      <w:r>
        <w:rPr>
          <w:rFonts w:ascii="Arial" w:cs="Arial" w:eastAsia="Arial" w:hAnsi="Arial"/>
          <w:sz w:val="17"/>
          <w:szCs w:val="17"/>
          <w:u w:val="single" w:color="auto"/>
          <w:color w:val="0000EE"/>
        </w:rPr>
        <w:t xml:space="preserve"> </w:t>
      </w:r>
      <w:hyperlink r:id="rId137">
        <w:r>
          <w:rPr>
            <w:rFonts w:ascii="Arial" w:cs="Arial" w:eastAsia="Arial" w:hAnsi="Arial"/>
            <w:sz w:val="17"/>
            <w:szCs w:val="17"/>
            <w:u w:val="single" w:color="auto"/>
            <w:color w:val="0000EE"/>
          </w:rPr>
          <w:t>between Ealing Scientific Limited, as Purchaser, and Dr. Peter</w:t>
        </w:r>
      </w:hyperlink>
      <w:r>
        <w:rPr>
          <w:rFonts w:ascii="Arial" w:cs="Arial" w:eastAsia="Arial" w:hAnsi="Arial"/>
          <w:sz w:val="17"/>
          <w:szCs w:val="17"/>
          <w:u w:val="single" w:color="auto"/>
          <w:color w:val="0000EE"/>
        </w:rPr>
        <w:t xml:space="preserve"> </w:t>
      </w:r>
      <w:hyperlink r:id="rId137">
        <w:r>
          <w:rPr>
            <w:rFonts w:ascii="Arial" w:cs="Arial" w:eastAsia="Arial" w:hAnsi="Arial"/>
            <w:sz w:val="17"/>
            <w:szCs w:val="17"/>
            <w:u w:val="single" w:color="auto"/>
            <w:color w:val="0000EE"/>
          </w:rPr>
          <w:t>Schulze, as Seller, dated as of January 8, 2015</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303" w:lineRule="auto"/>
        <w:rPr>
          <w:rFonts w:ascii="Arial" w:cs="Arial" w:eastAsia="Arial" w:hAnsi="Arial"/>
          <w:sz w:val="16"/>
          <w:szCs w:val="16"/>
          <w:u w:val="single" w:color="auto"/>
          <w:color w:val="0000EE"/>
        </w:rPr>
      </w:pPr>
      <w:hyperlink r:id="rId137">
        <w:r>
          <w:rPr>
            <w:rFonts w:ascii="Arial" w:cs="Arial" w:eastAsia="Arial" w:hAnsi="Arial"/>
            <w:sz w:val="16"/>
            <w:szCs w:val="16"/>
            <w:u w:val="single" w:color="auto"/>
            <w:color w:val="0000EE"/>
          </w:rPr>
          <w:t>Previously filed as an exhibit to the Company’s Current Report on Form 8-K</w:t>
        </w:r>
      </w:hyperlink>
      <w:r>
        <w:rPr>
          <w:rFonts w:ascii="Arial" w:cs="Arial" w:eastAsia="Arial" w:hAnsi="Arial"/>
          <w:sz w:val="16"/>
          <w:szCs w:val="16"/>
          <w:u w:val="single" w:color="auto"/>
          <w:color w:val="0000EE"/>
        </w:rPr>
        <w:t xml:space="preserve"> </w:t>
      </w:r>
      <w:hyperlink r:id="rId137">
        <w:r>
          <w:rPr>
            <w:rFonts w:ascii="Arial" w:cs="Arial" w:eastAsia="Arial" w:hAnsi="Arial"/>
            <w:sz w:val="16"/>
            <w:szCs w:val="16"/>
            <w:u w:val="single" w:color="auto"/>
            <w:color w:val="0000EE"/>
          </w:rPr>
          <w:t>(filed January 9, 2015) and incorporated by reference thereto</w:t>
        </w:r>
      </w:hyperlink>
    </w:p>
    <w:p>
      <w:pPr>
        <w:spacing w:after="0" w:line="344" w:lineRule="exact"/>
        <w:rPr>
          <w:sz w:val="20"/>
          <w:szCs w:val="20"/>
          <w:color w:val="auto"/>
        </w:rPr>
      </w:pPr>
    </w:p>
    <w:p>
      <w:pPr>
        <w:sectPr>
          <w:pgSz w:w="11900" w:h="16838" w:orient="portrait"/>
          <w:cols w:equalWidth="0" w:num="2">
            <w:col w:w="5940" w:space="120"/>
            <w:col w:w="5180"/>
          </w:cols>
          <w:pgMar w:left="240" w:top="228" w:right="419" w:bottom="1440" w:gutter="0" w:footer="0" w:header="0"/>
          <w:type w:val="continuous"/>
        </w:sectPr>
      </w:pPr>
    </w:p>
    <w:p>
      <w:pPr>
        <w:ind w:left="1260" w:hanging="779"/>
        <w:spacing w:after="0" w:line="260" w:lineRule="auto"/>
        <w:tabs>
          <w:tab w:leader="none" w:pos="1240" w:val="left"/>
        </w:tabs>
        <w:rPr>
          <w:rFonts w:ascii="Arial" w:cs="Arial" w:eastAsia="Arial" w:hAnsi="Arial"/>
          <w:sz w:val="17"/>
          <w:szCs w:val="17"/>
          <w:u w:val="single" w:color="auto"/>
          <w:color w:val="0000EE"/>
        </w:rPr>
      </w:pPr>
      <w:hyperlink r:id="rId138">
        <w:r>
          <w:rPr>
            <w:rFonts w:ascii="Arial" w:cs="Arial" w:eastAsia="Arial" w:hAnsi="Arial"/>
            <w:sz w:val="17"/>
            <w:szCs w:val="17"/>
            <w:u w:val="single" w:color="auto"/>
            <w:color w:val="0000EE"/>
          </w:rPr>
          <w:t>2.6§</w:t>
        </w:r>
      </w:hyperlink>
      <w:r>
        <w:rPr>
          <w:rFonts w:ascii="Arial" w:cs="Arial" w:eastAsia="Arial" w:hAnsi="Arial"/>
          <w:sz w:val="17"/>
          <w:szCs w:val="17"/>
          <w:u w:val="single" w:color="auto"/>
          <w:color w:val="0000EE"/>
        </w:rPr>
        <w:tab/>
      </w:r>
      <w:hyperlink r:id="rId138">
        <w:r>
          <w:rPr>
            <w:rFonts w:ascii="Arial" w:cs="Arial" w:eastAsia="Arial" w:hAnsi="Arial"/>
            <w:sz w:val="17"/>
            <w:szCs w:val="17"/>
            <w:u w:val="single" w:color="auto"/>
            <w:color w:val="0000EE"/>
          </w:rPr>
          <w:t>Merger Agreement, dated as of January 22, 2018, between Harvard</w:t>
        </w:r>
      </w:hyperlink>
      <w:r>
        <w:rPr>
          <w:rFonts w:ascii="Arial" w:cs="Arial" w:eastAsia="Arial" w:hAnsi="Arial"/>
          <w:sz w:val="17"/>
          <w:szCs w:val="17"/>
          <w:u w:val="single" w:color="auto"/>
          <w:color w:val="0000EE"/>
        </w:rPr>
        <w:t xml:space="preserve"> </w:t>
      </w:r>
      <w:hyperlink r:id="rId138">
        <w:r>
          <w:rPr>
            <w:rFonts w:ascii="Arial" w:cs="Arial" w:eastAsia="Arial" w:hAnsi="Arial"/>
            <w:sz w:val="17"/>
            <w:szCs w:val="17"/>
            <w:u w:val="single" w:color="auto"/>
            <w:color w:val="0000EE"/>
          </w:rPr>
          <w:t>Bioscience, Inc., Plymouth Sub, Inc. and Data Sciences International,</w:t>
        </w:r>
      </w:hyperlink>
      <w:r>
        <w:rPr>
          <w:rFonts w:ascii="Arial" w:cs="Arial" w:eastAsia="Arial" w:hAnsi="Arial"/>
          <w:sz w:val="17"/>
          <w:szCs w:val="17"/>
          <w:u w:val="single" w:color="auto"/>
          <w:color w:val="0000EE"/>
        </w:rPr>
        <w:t xml:space="preserve"> </w:t>
      </w:r>
      <w:hyperlink r:id="rId138">
        <w:r>
          <w:rPr>
            <w:rFonts w:ascii="Arial" w:cs="Arial" w:eastAsia="Arial" w:hAnsi="Arial"/>
            <w:sz w:val="17"/>
            <w:szCs w:val="17"/>
            <w:u w:val="single" w:color="auto"/>
            <w:color w:val="0000EE"/>
          </w:rPr>
          <w:t>Inc.</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303" w:lineRule="auto"/>
        <w:rPr>
          <w:rFonts w:ascii="Arial" w:cs="Arial" w:eastAsia="Arial" w:hAnsi="Arial"/>
          <w:sz w:val="16"/>
          <w:szCs w:val="16"/>
          <w:u w:val="single" w:color="auto"/>
          <w:color w:val="0000EE"/>
        </w:rPr>
      </w:pPr>
      <w:hyperlink r:id="rId138">
        <w:r>
          <w:rPr>
            <w:rFonts w:ascii="Arial" w:cs="Arial" w:eastAsia="Arial" w:hAnsi="Arial"/>
            <w:sz w:val="16"/>
            <w:szCs w:val="16"/>
            <w:u w:val="single" w:color="auto"/>
            <w:color w:val="0000EE"/>
          </w:rPr>
          <w:t>Previously filed as an exhibit to the Company’s Current Report on Form 8-K</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(filed January 26, 2018) and incorporated by reference thereto</w:t>
        </w:r>
      </w:hyperlink>
    </w:p>
    <w:p>
      <w:pPr>
        <w:spacing w:after="0" w:line="326" w:lineRule="exact"/>
        <w:rPr>
          <w:sz w:val="20"/>
          <w:szCs w:val="20"/>
          <w:color w:val="auto"/>
        </w:rPr>
      </w:pPr>
    </w:p>
    <w:p>
      <w:pPr>
        <w:sectPr>
          <w:pgSz w:w="11900" w:h="16838" w:orient="portrait"/>
          <w:cols w:equalWidth="0" w:num="2">
            <w:col w:w="5960" w:space="100"/>
            <w:col w:w="5180"/>
          </w:cols>
          <w:pgMar w:left="240" w:top="228" w:right="419" w:bottom="1440" w:gutter="0" w:footer="0" w:header="0"/>
          <w:type w:val="continuous"/>
        </w:sectPr>
      </w:pPr>
    </w:p>
    <w:tbl>
      <w:tblPr>
        <w:tblLayout w:type="fixed"/>
        <w:tblInd w:w="480" w:type="dxa"/>
        <w:tblCellMar>
          <w:top w:w="0" w:type="dxa"/>
          <w:left w:w="0" w:type="dxa"/>
          <w:bottom w:w="0" w:type="dxa"/>
          <w:right w:w="0" w:type="dxa"/>
        </w:tblCellMar>
      </w:tblPr>
      <w:tr>
        <w:trPr>
          <w:trHeight w:val="195"/>
        </w:trPr>
        <w:tc>
          <w:tcPr>
            <w:tcW w:w="780" w:type="dxa"/>
            <w:vAlign w:val="bottom"/>
            <w:gridSpan w:val="3"/>
          </w:tcPr>
          <w:p>
            <w:pPr>
              <w:jc w:val="center"/>
              <w:ind w:right="480"/>
              <w:spacing w:after="0"/>
              <w:rPr>
                <w:rFonts w:ascii="Arial" w:cs="Arial" w:eastAsia="Arial" w:hAnsi="Arial"/>
                <w:sz w:val="17"/>
                <w:szCs w:val="17"/>
                <w:color w:val="0000EE"/>
                <w:w w:val="90"/>
              </w:rPr>
            </w:pPr>
            <w:hyperlink r:id="rId139">
              <w:r>
                <w:rPr>
                  <w:rFonts w:ascii="Arial" w:cs="Arial" w:eastAsia="Arial" w:hAnsi="Arial"/>
                  <w:sz w:val="17"/>
                  <w:szCs w:val="17"/>
                  <w:color w:val="0000EE"/>
                  <w:w w:val="90"/>
                </w:rPr>
                <w:t>2.</w:t>
              </w:r>
              <w:r>
                <w:rPr>
                  <w:rFonts w:ascii="Arial" w:cs="Arial" w:eastAsia="Arial" w:hAnsi="Arial"/>
                  <w:sz w:val="17"/>
                  <w:szCs w:val="17"/>
                  <w:u w:val="single" w:color="auto"/>
                  <w:color w:val="0000EE"/>
                  <w:w w:val="90"/>
                </w:rPr>
                <w:t>7§</w:t>
              </w:r>
            </w:hyperlink>
          </w:p>
        </w:tc>
        <w:tc>
          <w:tcPr>
            <w:tcW w:w="4740" w:type="dxa"/>
            <w:vAlign w:val="bottom"/>
            <w:gridSpan w:val="4"/>
          </w:tcPr>
          <w:p>
            <w:pPr>
              <w:spacing w:after="0"/>
              <w:rPr>
                <w:rFonts w:ascii="Arial" w:cs="Arial" w:eastAsia="Arial" w:hAnsi="Arial"/>
                <w:sz w:val="17"/>
                <w:szCs w:val="17"/>
                <w:color w:val="0000EE"/>
                <w:w w:val="89"/>
              </w:rPr>
            </w:pPr>
            <w:hyperlink r:id="rId139">
              <w:r>
                <w:rPr>
                  <w:rFonts w:ascii="Arial" w:cs="Arial" w:eastAsia="Arial" w:hAnsi="Arial"/>
                  <w:sz w:val="17"/>
                  <w:szCs w:val="17"/>
                  <w:color w:val="0000EE"/>
                  <w:w w:val="89"/>
                </w:rPr>
                <w:t>Purchase Agreement, dated as of January 22, 2018, between Harvard</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80" w:type="dxa"/>
            <w:vAlign w:val="bottom"/>
            <w:gridSpan w:val="5"/>
          </w:tcPr>
          <w:p>
            <w:pPr>
              <w:spacing w:after="0"/>
              <w:rPr>
                <w:rFonts w:ascii="Arial" w:cs="Arial" w:eastAsia="Arial" w:hAnsi="Arial"/>
                <w:sz w:val="17"/>
                <w:szCs w:val="17"/>
                <w:color w:val="0000EE"/>
                <w:w w:val="90"/>
              </w:rPr>
            </w:pPr>
            <w:hyperlink r:id="rId139">
              <w:r>
                <w:rPr>
                  <w:rFonts w:ascii="Arial" w:cs="Arial" w:eastAsia="Arial" w:hAnsi="Arial"/>
                  <w:sz w:val="17"/>
                  <w:szCs w:val="17"/>
                  <w:color w:val="0000EE"/>
                  <w:w w:val="90"/>
                </w:rPr>
                <w:t>Previously filed as an exhibit to the Company’s Current Report on Form 8-K</w:t>
              </w:r>
            </w:hyperlink>
          </w:p>
        </w:tc>
      </w:tr>
      <w:tr>
        <w:trPr>
          <w:trHeight w:val="20"/>
        </w:trPr>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82"/>
        </w:trPr>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80" w:type="dxa"/>
            <w:vAlign w:val="bottom"/>
            <w:gridSpan w:val="11"/>
          </w:tcPr>
          <w:p>
            <w:pPr>
              <w:spacing w:after="0" w:line="183" w:lineRule="exact"/>
              <w:rPr>
                <w:rFonts w:ascii="Arial" w:cs="Arial" w:eastAsia="Arial" w:hAnsi="Arial"/>
                <w:sz w:val="17"/>
                <w:szCs w:val="17"/>
                <w:color w:val="0000EE"/>
              </w:rPr>
            </w:pPr>
            <w:hyperlink r:id="rId139">
              <w:r>
                <w:rPr>
                  <w:rFonts w:ascii="Arial" w:cs="Arial" w:eastAsia="Arial" w:hAnsi="Arial"/>
                  <w:sz w:val="17"/>
                  <w:szCs w:val="17"/>
                  <w:color w:val="0000EE"/>
                </w:rPr>
                <w:t>Bioscience, Inc., Denville Scientific, Inc. and Thomas Scientific, LLC (filed January 26, 2018) and incorporated by reference thereto</w:t>
              </w:r>
            </w:hyperlink>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85"/>
        </w:trPr>
        <w:tc>
          <w:tcPr>
            <w:tcW w:w="780" w:type="dxa"/>
            <w:vAlign w:val="bottom"/>
            <w:gridSpan w:val="3"/>
          </w:tcPr>
          <w:p>
            <w:pPr>
              <w:jc w:val="center"/>
              <w:ind w:right="460"/>
              <w:spacing w:after="0"/>
              <w:rPr>
                <w:rFonts w:ascii="Arial" w:cs="Arial" w:eastAsia="Arial" w:hAnsi="Arial"/>
                <w:sz w:val="17"/>
                <w:szCs w:val="17"/>
                <w:color w:val="0000EE"/>
                <w:w w:val="97"/>
              </w:rPr>
            </w:pPr>
            <w:hyperlink r:id="rId140">
              <w:r>
                <w:rPr>
                  <w:rFonts w:ascii="Arial" w:cs="Arial" w:eastAsia="Arial" w:hAnsi="Arial"/>
                  <w:sz w:val="17"/>
                  <w:szCs w:val="17"/>
                  <w:color w:val="0000EE"/>
                  <w:w w:val="97"/>
                </w:rPr>
                <w:t>3(i)</w:t>
              </w:r>
            </w:hyperlink>
          </w:p>
        </w:tc>
        <w:tc>
          <w:tcPr>
            <w:tcW w:w="9980" w:type="dxa"/>
            <w:vAlign w:val="bottom"/>
            <w:gridSpan w:val="11"/>
          </w:tcPr>
          <w:p>
            <w:pPr>
              <w:spacing w:after="0"/>
              <w:rPr>
                <w:rFonts w:ascii="Arial" w:cs="Arial" w:eastAsia="Arial" w:hAnsi="Arial"/>
                <w:sz w:val="17"/>
                <w:szCs w:val="17"/>
                <w:color w:val="0000EE"/>
                <w:w w:val="91"/>
              </w:rPr>
            </w:pPr>
            <w:hyperlink r:id="rId140">
              <w:r>
                <w:rPr>
                  <w:rFonts w:ascii="Arial" w:cs="Arial" w:eastAsia="Arial" w:hAnsi="Arial"/>
                  <w:sz w:val="17"/>
                  <w:szCs w:val="17"/>
                  <w:color w:val="0000EE"/>
                  <w:w w:val="91"/>
                </w:rPr>
                <w:t>Second Amended and Restated Certificate of Incorporation of Harvard Previously filed as an exhibit to the Company’s Registration Statement on</w:t>
              </w:r>
            </w:hyperlink>
          </w:p>
        </w:tc>
      </w:tr>
      <w:tr>
        <w:trPr>
          <w:trHeight w:val="182"/>
        </w:trPr>
        <w:tc>
          <w:tcPr>
            <w:tcW w:w="40" w:type="dxa"/>
            <w:vAlign w:val="bottom"/>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80" w:type="dxa"/>
            <w:vAlign w:val="bottom"/>
          </w:tcPr>
          <w:p>
            <w:pPr>
              <w:spacing w:after="0"/>
              <w:rPr>
                <w:sz w:val="15"/>
                <w:szCs w:val="15"/>
                <w:color w:val="auto"/>
              </w:rPr>
            </w:pPr>
          </w:p>
        </w:tc>
        <w:tc>
          <w:tcPr>
            <w:tcW w:w="4740" w:type="dxa"/>
            <w:vAlign w:val="bottom"/>
            <w:tcBorders>
              <w:top w:val="single" w:sz="8" w:color="0000EE"/>
            </w:tcBorders>
            <w:gridSpan w:val="4"/>
          </w:tcPr>
          <w:p>
            <w:pPr>
              <w:spacing w:after="0" w:line="183" w:lineRule="exact"/>
              <w:rPr>
                <w:rFonts w:ascii="Arial" w:cs="Arial" w:eastAsia="Arial" w:hAnsi="Arial"/>
                <w:sz w:val="17"/>
                <w:szCs w:val="17"/>
                <w:color w:val="0000EE"/>
              </w:rPr>
            </w:pPr>
            <w:hyperlink r:id="rId140">
              <w:r>
                <w:rPr>
                  <w:rFonts w:ascii="Arial" w:cs="Arial" w:eastAsia="Arial" w:hAnsi="Arial"/>
                  <w:sz w:val="17"/>
                  <w:szCs w:val="17"/>
                  <w:color w:val="0000EE"/>
                </w:rPr>
                <w:t>Bioscience, Inc.</w:t>
              </w:r>
            </w:hyperlink>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tcBorders>
              <w:top w:val="single" w:sz="8" w:color="0000EE"/>
            </w:tcBorders>
            <w:gridSpan w:val="4"/>
          </w:tcPr>
          <w:p>
            <w:pPr>
              <w:spacing w:after="0" w:line="183" w:lineRule="exact"/>
              <w:rPr>
                <w:rFonts w:ascii="Arial" w:cs="Arial" w:eastAsia="Arial" w:hAnsi="Arial"/>
                <w:sz w:val="17"/>
                <w:szCs w:val="17"/>
                <w:color w:val="0000EE"/>
              </w:rPr>
            </w:pPr>
            <w:hyperlink r:id="rId140">
              <w:r>
                <w:rPr>
                  <w:rFonts w:ascii="Arial" w:cs="Arial" w:eastAsia="Arial" w:hAnsi="Arial"/>
                  <w:sz w:val="17"/>
                  <w:szCs w:val="17"/>
                  <w:color w:val="0000EE"/>
                </w:rPr>
                <w:t>Form S-1/A (File No. 333-45996) (filed on November 9, 2000) and</w:t>
              </w:r>
            </w:hyperlink>
          </w:p>
        </w:tc>
        <w:tc>
          <w:tcPr>
            <w:tcW w:w="180" w:type="dxa"/>
            <w:vAlign w:val="bottom"/>
          </w:tcPr>
          <w:p>
            <w:pPr>
              <w:spacing w:after="0"/>
              <w:rPr>
                <w:sz w:val="15"/>
                <w:szCs w:val="15"/>
                <w:color w:val="auto"/>
              </w:rPr>
            </w:pPr>
          </w:p>
        </w:tc>
      </w:tr>
      <w:tr>
        <w:trPr>
          <w:trHeight w:val="182"/>
        </w:trPr>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3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60" w:type="dxa"/>
            <w:vAlign w:val="bottom"/>
            <w:tcBorders>
              <w:top w:val="single" w:sz="8" w:color="0000EE"/>
            </w:tcBorders>
            <w:gridSpan w:val="3"/>
          </w:tcPr>
          <w:p>
            <w:pPr>
              <w:spacing w:after="0" w:line="183" w:lineRule="exact"/>
              <w:rPr>
                <w:rFonts w:ascii="Arial" w:cs="Arial" w:eastAsia="Arial" w:hAnsi="Arial"/>
                <w:sz w:val="17"/>
                <w:szCs w:val="17"/>
                <w:color w:val="0000EE"/>
              </w:rPr>
            </w:pPr>
            <w:hyperlink r:id="rId140">
              <w:r>
                <w:rPr>
                  <w:rFonts w:ascii="Arial" w:cs="Arial" w:eastAsia="Arial" w:hAnsi="Arial"/>
                  <w:sz w:val="17"/>
                  <w:szCs w:val="17"/>
                  <w:color w:val="0000EE"/>
                </w:rPr>
                <w:t>incorporated by reference thereto</w:t>
              </w:r>
            </w:hyperlink>
          </w:p>
        </w:tc>
        <w:tc>
          <w:tcPr>
            <w:tcW w:w="620" w:type="dxa"/>
            <w:vAlign w:val="bottom"/>
            <w:gridSpan w:val="2"/>
          </w:tcPr>
          <w:p>
            <w:pPr>
              <w:spacing w:after="0"/>
              <w:rPr>
                <w:sz w:val="15"/>
                <w:szCs w:val="15"/>
                <w:color w:val="auto"/>
              </w:rPr>
            </w:pPr>
          </w:p>
        </w:tc>
      </w:tr>
      <w:tr>
        <w:trPr>
          <w:trHeight w:val="20"/>
        </w:trPr>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r>
      <w:tr>
        <w:trPr>
          <w:trHeight w:val="385"/>
        </w:trPr>
        <w:tc>
          <w:tcPr>
            <w:tcW w:w="300" w:type="dxa"/>
            <w:vAlign w:val="bottom"/>
            <w:tcBorders>
              <w:bottom w:val="single" w:sz="8" w:color="0000EE"/>
            </w:tcBorders>
            <w:gridSpan w:val="2"/>
          </w:tcPr>
          <w:p>
            <w:pPr>
              <w:jc w:val="center"/>
              <w:spacing w:after="0"/>
              <w:rPr>
                <w:rFonts w:ascii="Arial" w:cs="Arial" w:eastAsia="Arial" w:hAnsi="Arial"/>
                <w:sz w:val="17"/>
                <w:szCs w:val="17"/>
                <w:color w:val="0000EE"/>
              </w:rPr>
            </w:pPr>
            <w:hyperlink r:id="rId141">
              <w:r>
                <w:rPr>
                  <w:rFonts w:ascii="Arial" w:cs="Arial" w:eastAsia="Arial" w:hAnsi="Arial"/>
                  <w:sz w:val="17"/>
                  <w:szCs w:val="17"/>
                  <w:color w:val="0000EE"/>
                </w:rPr>
                <w:t>3(ii)</w:t>
              </w:r>
            </w:hyperlink>
          </w:p>
        </w:tc>
        <w:tc>
          <w:tcPr>
            <w:tcW w:w="480" w:type="dxa"/>
            <w:vAlign w:val="bottom"/>
          </w:tcPr>
          <w:p>
            <w:pPr>
              <w:spacing w:after="0"/>
              <w:rPr>
                <w:sz w:val="24"/>
                <w:szCs w:val="24"/>
                <w:color w:val="auto"/>
              </w:rPr>
            </w:pPr>
          </w:p>
        </w:tc>
        <w:tc>
          <w:tcPr>
            <w:tcW w:w="4080" w:type="dxa"/>
            <w:vAlign w:val="bottom"/>
            <w:tcBorders>
              <w:bottom w:val="single" w:sz="8" w:color="0000EE"/>
            </w:tcBorders>
            <w:gridSpan w:val="2"/>
          </w:tcPr>
          <w:p>
            <w:pPr>
              <w:spacing w:after="0"/>
              <w:rPr>
                <w:rFonts w:ascii="Arial" w:cs="Arial" w:eastAsia="Arial" w:hAnsi="Arial"/>
                <w:sz w:val="17"/>
                <w:szCs w:val="17"/>
                <w:color w:val="0000EE"/>
                <w:w w:val="90"/>
              </w:rPr>
            </w:pPr>
            <w:hyperlink r:id="rId141">
              <w:r>
                <w:rPr>
                  <w:rFonts w:ascii="Arial" w:cs="Arial" w:eastAsia="Arial" w:hAnsi="Arial"/>
                  <w:sz w:val="17"/>
                  <w:szCs w:val="17"/>
                  <w:color w:val="0000EE"/>
                  <w:w w:val="90"/>
                </w:rPr>
                <w:t>Amended and Restated By-laws of Harvard Bioscience, Inc.</w:t>
              </w:r>
            </w:hyperlink>
          </w:p>
        </w:tc>
        <w:tc>
          <w:tcPr>
            <w:tcW w:w="6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tcBorders>
              <w:bottom w:val="single" w:sz="8" w:color="0000EE"/>
            </w:tcBorders>
            <w:gridSpan w:val="4"/>
          </w:tcPr>
          <w:p>
            <w:pPr>
              <w:spacing w:after="0"/>
              <w:rPr>
                <w:rFonts w:ascii="Arial" w:cs="Arial" w:eastAsia="Arial" w:hAnsi="Arial"/>
                <w:sz w:val="17"/>
                <w:szCs w:val="17"/>
                <w:color w:val="0000EE"/>
                <w:w w:val="90"/>
              </w:rPr>
            </w:pPr>
            <w:hyperlink r:id="rId141">
              <w:r>
                <w:rPr>
                  <w:rFonts w:ascii="Arial" w:cs="Arial" w:eastAsia="Arial" w:hAnsi="Arial"/>
                  <w:sz w:val="17"/>
                  <w:szCs w:val="17"/>
                  <w:color w:val="0000EE"/>
                  <w:w w:val="90"/>
                </w:rPr>
                <w:t>Previously filed as an exhibit to the Company’s Registration Statement on</w:t>
              </w:r>
            </w:hyperlink>
          </w:p>
        </w:tc>
        <w:tc>
          <w:tcPr>
            <w:tcW w:w="180" w:type="dxa"/>
            <w:vAlign w:val="bottom"/>
          </w:tcPr>
          <w:p>
            <w:pPr>
              <w:spacing w:after="0"/>
              <w:rPr>
                <w:sz w:val="24"/>
                <w:szCs w:val="24"/>
                <w:color w:val="auto"/>
              </w:rPr>
            </w:pPr>
          </w:p>
        </w:tc>
      </w:tr>
      <w:tr>
        <w:trPr>
          <w:trHeight w:val="182"/>
        </w:trPr>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60" w:type="dxa"/>
            <w:vAlign w:val="bottom"/>
            <w:tcBorders>
              <w:bottom w:val="single" w:sz="8" w:color="0000EE"/>
            </w:tcBorders>
            <w:gridSpan w:val="3"/>
          </w:tcPr>
          <w:p>
            <w:pPr>
              <w:spacing w:after="0" w:line="183" w:lineRule="exact"/>
              <w:rPr>
                <w:rFonts w:ascii="Arial" w:cs="Arial" w:eastAsia="Arial" w:hAnsi="Arial"/>
                <w:sz w:val="17"/>
                <w:szCs w:val="17"/>
                <w:color w:val="0000EE"/>
                <w:w w:val="91"/>
              </w:rPr>
            </w:pPr>
            <w:hyperlink r:id="rId141">
              <w:r>
                <w:rPr>
                  <w:rFonts w:ascii="Arial" w:cs="Arial" w:eastAsia="Arial" w:hAnsi="Arial"/>
                  <w:sz w:val="17"/>
                  <w:szCs w:val="17"/>
                  <w:color w:val="0000EE"/>
                  <w:w w:val="91"/>
                </w:rPr>
                <w:t>Form S-1/A (File No. 333-45996) (filed on November 9, 2000) and</w:t>
              </w:r>
            </w:hyperlink>
          </w:p>
        </w:tc>
        <w:tc>
          <w:tcPr>
            <w:tcW w:w="620" w:type="dxa"/>
            <w:vAlign w:val="bottom"/>
            <w:gridSpan w:val="2"/>
          </w:tcPr>
          <w:p>
            <w:pPr>
              <w:spacing w:after="0"/>
              <w:rPr>
                <w:sz w:val="15"/>
                <w:szCs w:val="15"/>
                <w:color w:val="auto"/>
              </w:rPr>
            </w:pPr>
          </w:p>
        </w:tc>
      </w:tr>
      <w:tr>
        <w:trPr>
          <w:trHeight w:val="182"/>
        </w:trPr>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80" w:type="dxa"/>
            <w:vAlign w:val="bottom"/>
            <w:gridSpan w:val="5"/>
          </w:tcPr>
          <w:p>
            <w:pPr>
              <w:spacing w:after="0" w:line="183" w:lineRule="exact"/>
              <w:rPr>
                <w:rFonts w:ascii="Arial" w:cs="Arial" w:eastAsia="Arial" w:hAnsi="Arial"/>
                <w:sz w:val="17"/>
                <w:szCs w:val="17"/>
                <w:color w:val="0000EE"/>
              </w:rPr>
            </w:pPr>
            <w:hyperlink r:id="rId141">
              <w:r>
                <w:rPr>
                  <w:rFonts w:ascii="Arial" w:cs="Arial" w:eastAsia="Arial" w:hAnsi="Arial"/>
                  <w:sz w:val="17"/>
                  <w:szCs w:val="17"/>
                  <w:color w:val="0000EE"/>
                </w:rPr>
                <w:t>incorporated by reference thereto</w:t>
              </w:r>
            </w:hyperlink>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228" w:right="419" w:bottom="1440" w:gutter="0" w:footer="0" w:header="0"/>
          <w:type w:val="continuous"/>
        </w:sectPr>
      </w:pPr>
    </w:p>
    <w:p>
      <w:pPr>
        <w:spacing w:after="0" w:line="15" w:lineRule="exact"/>
        <w:rPr>
          <w:sz w:val="20"/>
          <w:szCs w:val="20"/>
          <w:color w:val="auto"/>
        </w:rPr>
      </w:pPr>
    </w:p>
    <w:p>
      <w:pPr>
        <w:ind w:left="1260" w:hanging="737"/>
        <w:spacing w:after="0" w:line="271" w:lineRule="auto"/>
        <w:tabs>
          <w:tab w:leader="none" w:pos="1240" w:val="left"/>
        </w:tabs>
        <w:rPr>
          <w:rFonts w:ascii="Arial" w:cs="Arial" w:eastAsia="Arial" w:hAnsi="Arial"/>
          <w:sz w:val="17"/>
          <w:szCs w:val="17"/>
          <w:u w:val="single" w:color="auto"/>
          <w:color w:val="0000EE"/>
        </w:rPr>
      </w:pPr>
      <w:hyperlink r:id="rId142">
        <w:r>
          <w:rPr>
            <w:rFonts w:ascii="Arial" w:cs="Arial" w:eastAsia="Arial" w:hAnsi="Arial"/>
            <w:sz w:val="17"/>
            <w:szCs w:val="17"/>
            <w:u w:val="single" w:color="auto"/>
            <w:color w:val="0000EE"/>
          </w:rPr>
          <w:t>3.1</w:t>
        </w:r>
      </w:hyperlink>
      <w:r>
        <w:rPr>
          <w:rFonts w:ascii="Arial" w:cs="Arial" w:eastAsia="Arial" w:hAnsi="Arial"/>
          <w:sz w:val="17"/>
          <w:szCs w:val="17"/>
          <w:u w:val="single" w:color="auto"/>
          <w:color w:val="0000EE"/>
        </w:rPr>
        <w:tab/>
      </w:r>
      <w:hyperlink r:id="rId142">
        <w:r>
          <w:rPr>
            <w:rFonts w:ascii="Arial" w:cs="Arial" w:eastAsia="Arial" w:hAnsi="Arial"/>
            <w:sz w:val="17"/>
            <w:szCs w:val="17"/>
            <w:u w:val="single" w:color="auto"/>
            <w:color w:val="0000EE"/>
          </w:rPr>
          <w:t>Amendment No. 1 to Amended and Restated Bylaws of Harvard</w:t>
        </w:r>
      </w:hyperlink>
      <w:r>
        <w:rPr>
          <w:rFonts w:ascii="Arial" w:cs="Arial" w:eastAsia="Arial" w:hAnsi="Arial"/>
          <w:sz w:val="17"/>
          <w:szCs w:val="17"/>
          <w:u w:val="single" w:color="auto"/>
          <w:color w:val="0000EE"/>
        </w:rPr>
        <w:t xml:space="preserve"> </w:t>
      </w:r>
      <w:hyperlink r:id="rId142">
        <w:r>
          <w:rPr>
            <w:rFonts w:ascii="Arial" w:cs="Arial" w:eastAsia="Arial" w:hAnsi="Arial"/>
            <w:sz w:val="17"/>
            <w:szCs w:val="17"/>
            <w:u w:val="single" w:color="auto"/>
            <w:color w:val="0000EE"/>
          </w:rPr>
          <w:t>Bioscience, Inc. (as adopted October 30, 2007)</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635</wp:posOffset>
            </wp:positionH>
            <wp:positionV relativeFrom="paragraph">
              <wp:posOffset>241935</wp:posOffset>
            </wp:positionV>
            <wp:extent cx="7255510"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303" w:lineRule="auto"/>
        <w:rPr>
          <w:rFonts w:ascii="Arial" w:cs="Arial" w:eastAsia="Arial" w:hAnsi="Arial"/>
          <w:sz w:val="16"/>
          <w:szCs w:val="16"/>
          <w:u w:val="single" w:color="auto"/>
          <w:color w:val="0000EE"/>
        </w:rPr>
      </w:pPr>
      <w:hyperlink r:id="rId142">
        <w:r>
          <w:rPr>
            <w:rFonts w:ascii="Arial" w:cs="Arial" w:eastAsia="Arial" w:hAnsi="Arial"/>
            <w:sz w:val="16"/>
            <w:szCs w:val="16"/>
            <w:u w:val="single" w:color="auto"/>
            <w:color w:val="0000EE"/>
          </w:rPr>
          <w:t>Previously filed as an exhibit to the Company’s Current Report on Form 8-K</w:t>
        </w:r>
      </w:hyperlink>
      <w:r>
        <w:rPr>
          <w:rFonts w:ascii="Arial" w:cs="Arial" w:eastAsia="Arial" w:hAnsi="Arial"/>
          <w:sz w:val="16"/>
          <w:szCs w:val="16"/>
          <w:u w:val="single" w:color="auto"/>
          <w:color w:val="0000EE"/>
        </w:rPr>
        <w:t xml:space="preserve"> </w:t>
      </w:r>
      <w:hyperlink r:id="rId142">
        <w:r>
          <w:rPr>
            <w:rFonts w:ascii="Arial" w:cs="Arial" w:eastAsia="Arial" w:hAnsi="Arial"/>
            <w:sz w:val="16"/>
            <w:szCs w:val="16"/>
            <w:u w:val="single" w:color="auto"/>
            <w:color w:val="0000EE"/>
          </w:rPr>
          <w:t>(filed on November 1, 2007) and incorporated by reference thereto</w:t>
        </w:r>
      </w:hyperlink>
    </w:p>
    <w:p>
      <w:pPr>
        <w:sectPr>
          <w:pgSz w:w="11900" w:h="16838" w:orient="portrait"/>
          <w:cols w:equalWidth="0" w:num="2">
            <w:col w:w="5620" w:space="440"/>
            <w:col w:w="5180"/>
          </w:cols>
          <w:pgMar w:left="240" w:top="228" w:right="419" w:bottom="1440" w:gutter="0" w:footer="0" w:header="0"/>
          <w:type w:val="continuous"/>
        </w:sectPr>
      </w:pPr>
    </w:p>
    <w:bookmarkStart w:id="84" w:name="page85"/>
    <w:bookmarkEnd w:id="8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p>
      <w:pPr>
        <w:ind w:left="1260" w:hanging="737"/>
        <w:spacing w:after="0" w:line="256" w:lineRule="auto"/>
        <w:tabs>
          <w:tab w:leader="none" w:pos="1240" w:val="left"/>
        </w:tabs>
        <w:rPr>
          <w:rFonts w:ascii="Arial" w:cs="Arial" w:eastAsia="Arial" w:hAnsi="Arial"/>
          <w:sz w:val="17"/>
          <w:szCs w:val="17"/>
          <w:u w:val="single" w:color="auto"/>
          <w:color w:val="0000EE"/>
        </w:rPr>
      </w:pPr>
      <w:hyperlink r:id="rId144">
        <w:r>
          <w:rPr>
            <w:rFonts w:ascii="Arial" w:cs="Arial" w:eastAsia="Arial" w:hAnsi="Arial"/>
            <w:sz w:val="17"/>
            <w:szCs w:val="17"/>
            <w:u w:val="single" w:color="auto"/>
            <w:color w:val="0000EE"/>
          </w:rPr>
          <w:t>3.2</w:t>
        </w:r>
      </w:hyperlink>
      <w:r>
        <w:rPr>
          <w:rFonts w:ascii="Arial" w:cs="Arial" w:eastAsia="Arial" w:hAnsi="Arial"/>
          <w:sz w:val="17"/>
          <w:szCs w:val="17"/>
          <w:u w:val="single" w:color="auto"/>
          <w:color w:val="0000EE"/>
        </w:rPr>
        <w:tab/>
      </w:r>
      <w:hyperlink r:id="rId144">
        <w:r>
          <w:rPr>
            <w:rFonts w:ascii="Arial" w:cs="Arial" w:eastAsia="Arial" w:hAnsi="Arial"/>
            <w:sz w:val="17"/>
            <w:szCs w:val="17"/>
            <w:u w:val="single" w:color="auto"/>
            <w:color w:val="0000EE"/>
          </w:rPr>
          <w:t>Certificate of Designations, Preferences and Rights of a Series of</w:t>
        </w:r>
      </w:hyperlink>
      <w:r>
        <w:rPr>
          <w:rFonts w:ascii="Arial" w:cs="Arial" w:eastAsia="Arial" w:hAnsi="Arial"/>
          <w:sz w:val="17"/>
          <w:szCs w:val="17"/>
          <w:u w:val="single" w:color="auto"/>
          <w:color w:val="0000EE"/>
        </w:rPr>
        <w:t xml:space="preserve"> </w:t>
      </w:r>
      <w:hyperlink r:id="rId144">
        <w:r>
          <w:rPr>
            <w:rFonts w:ascii="Arial" w:cs="Arial" w:eastAsia="Arial" w:hAnsi="Arial"/>
            <w:sz w:val="17"/>
            <w:szCs w:val="17"/>
            <w:u w:val="single" w:color="auto"/>
            <w:color w:val="0000EE"/>
          </w:rPr>
          <w:t>Preferred Stock of Harvard Bioscience, Inc. classifying and</w:t>
        </w:r>
      </w:hyperlink>
      <w:r>
        <w:rPr>
          <w:rFonts w:ascii="Arial" w:cs="Arial" w:eastAsia="Arial" w:hAnsi="Arial"/>
          <w:sz w:val="17"/>
          <w:szCs w:val="17"/>
          <w:u w:val="single" w:color="auto"/>
          <w:color w:val="0000EE"/>
        </w:rPr>
        <w:t xml:space="preserve"> </w:t>
      </w:r>
      <w:hyperlink r:id="rId144">
        <w:r>
          <w:rPr>
            <w:rFonts w:ascii="Arial" w:cs="Arial" w:eastAsia="Arial" w:hAnsi="Arial"/>
            <w:sz w:val="17"/>
            <w:szCs w:val="17"/>
            <w:u w:val="single" w:color="auto"/>
            <w:color w:val="0000EE"/>
          </w:rPr>
          <w:t>designating the Series A Junior Participating Cumulative Preferred</w:t>
        </w:r>
      </w:hyperlink>
      <w:r>
        <w:rPr>
          <w:rFonts w:ascii="Arial" w:cs="Arial" w:eastAsia="Arial" w:hAnsi="Arial"/>
          <w:sz w:val="17"/>
          <w:szCs w:val="17"/>
          <w:u w:val="single" w:color="auto"/>
          <w:color w:val="0000EE"/>
        </w:rPr>
        <w:t xml:space="preserve"> </w:t>
      </w:r>
      <w:hyperlink r:id="rId144">
        <w:r>
          <w:rPr>
            <w:rFonts w:ascii="Arial" w:cs="Arial" w:eastAsia="Arial" w:hAnsi="Arial"/>
            <w:sz w:val="17"/>
            <w:szCs w:val="17"/>
            <w:u w:val="single" w:color="auto"/>
            <w:color w:val="0000EE"/>
          </w:rPr>
          <w:t>Stock</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385" w:lineRule="exact"/>
        <w:rPr>
          <w:rFonts w:ascii="Arial" w:cs="Arial" w:eastAsia="Arial" w:hAnsi="Arial"/>
          <w:sz w:val="17"/>
          <w:szCs w:val="17"/>
          <w:u w:val="single" w:color="auto"/>
          <w:color w:val="0000EE"/>
        </w:rPr>
      </w:pPr>
    </w:p>
    <w:p>
      <w:pPr>
        <w:ind w:right="360"/>
        <w:spacing w:after="0" w:line="339" w:lineRule="auto"/>
        <w:rPr>
          <w:rFonts w:ascii="Arial" w:cs="Arial" w:eastAsia="Arial" w:hAnsi="Arial"/>
          <w:sz w:val="15"/>
          <w:szCs w:val="15"/>
          <w:u w:val="single" w:color="auto"/>
          <w:color w:val="0000EE"/>
        </w:rPr>
      </w:pPr>
      <w:hyperlink r:id="rId144">
        <w:r>
          <w:rPr>
            <w:rFonts w:ascii="Arial" w:cs="Arial" w:eastAsia="Arial" w:hAnsi="Arial"/>
            <w:sz w:val="15"/>
            <w:szCs w:val="15"/>
            <w:u w:val="single" w:color="auto"/>
            <w:color w:val="0000EE"/>
          </w:rPr>
          <w:t>Previously filed as an exhibit to the Company’s Registration Statement on</w:t>
        </w:r>
      </w:hyperlink>
      <w:r>
        <w:rPr>
          <w:rFonts w:ascii="Arial" w:cs="Arial" w:eastAsia="Arial" w:hAnsi="Arial"/>
          <w:sz w:val="15"/>
          <w:szCs w:val="15"/>
          <w:u w:val="single" w:color="auto"/>
          <w:color w:val="0000EE"/>
        </w:rPr>
        <w:t xml:space="preserve"> </w:t>
      </w:r>
      <w:hyperlink r:id="rId144">
        <w:r>
          <w:rPr>
            <w:rFonts w:ascii="Arial" w:cs="Arial" w:eastAsia="Arial" w:hAnsi="Arial"/>
            <w:sz w:val="15"/>
            <w:szCs w:val="15"/>
            <w:u w:val="single" w:color="auto"/>
            <w:color w:val="0000EE"/>
          </w:rPr>
          <w:t>Form 8-A (filed February 8, 2008) and incorporated by reference thereto</w:t>
        </w:r>
      </w:hyperlink>
    </w:p>
    <w:p>
      <w:pPr>
        <w:spacing w:after="0" w:line="524" w:lineRule="exact"/>
        <w:rPr>
          <w:sz w:val="20"/>
          <w:szCs w:val="20"/>
          <w:color w:val="auto"/>
        </w:rPr>
      </w:pPr>
    </w:p>
    <w:p>
      <w:pPr>
        <w:sectPr>
          <w:pgSz w:w="11900" w:h="16838" w:orient="portrait"/>
          <w:cols w:equalWidth="0" w:num="2">
            <w:col w:w="5780" w:space="280"/>
            <w:col w:w="5360"/>
          </w:cols>
          <w:pgMar w:left="240" w:top="228" w:right="239" w:bottom="1440" w:gutter="0" w:footer="0" w:header="0"/>
        </w:sectPr>
      </w:pPr>
    </w:p>
    <w:p>
      <w:pPr>
        <w:ind w:left="1260" w:hanging="737"/>
        <w:spacing w:after="0" w:line="271" w:lineRule="auto"/>
        <w:tabs>
          <w:tab w:leader="none" w:pos="1240" w:val="left"/>
        </w:tabs>
        <w:rPr>
          <w:rFonts w:ascii="Arial" w:cs="Arial" w:eastAsia="Arial" w:hAnsi="Arial"/>
          <w:sz w:val="17"/>
          <w:szCs w:val="17"/>
          <w:u w:val="single" w:color="auto"/>
          <w:color w:val="0000EE"/>
        </w:rPr>
      </w:pPr>
      <w:hyperlink r:id="rId145">
        <w:r>
          <w:rPr>
            <w:rFonts w:ascii="Arial" w:cs="Arial" w:eastAsia="Arial" w:hAnsi="Arial"/>
            <w:sz w:val="17"/>
            <w:szCs w:val="17"/>
            <w:u w:val="single" w:color="auto"/>
            <w:color w:val="0000EE"/>
          </w:rPr>
          <w:t>3.3</w:t>
        </w:r>
      </w:hyperlink>
      <w:r>
        <w:rPr>
          <w:rFonts w:ascii="Arial" w:cs="Arial" w:eastAsia="Arial" w:hAnsi="Arial"/>
          <w:sz w:val="17"/>
          <w:szCs w:val="17"/>
          <w:u w:val="single" w:color="auto"/>
          <w:color w:val="0000EE"/>
        </w:rPr>
        <w:tab/>
      </w:r>
      <w:hyperlink r:id="rId145">
        <w:r>
          <w:rPr>
            <w:rFonts w:ascii="Arial" w:cs="Arial" w:eastAsia="Arial" w:hAnsi="Arial"/>
            <w:sz w:val="17"/>
            <w:szCs w:val="17"/>
            <w:u w:val="single" w:color="auto"/>
            <w:color w:val="0000EE"/>
          </w:rPr>
          <w:t>Certificate of Elimination of Series A Junior Participating Cumulative</w:t>
        </w:r>
      </w:hyperlink>
      <w:r>
        <w:rPr>
          <w:rFonts w:ascii="Arial" w:cs="Arial" w:eastAsia="Arial" w:hAnsi="Arial"/>
          <w:sz w:val="17"/>
          <w:szCs w:val="17"/>
          <w:u w:val="single" w:color="auto"/>
          <w:color w:val="0000EE"/>
        </w:rPr>
        <w:t xml:space="preserve"> </w:t>
      </w:r>
      <w:hyperlink r:id="rId145">
        <w:r>
          <w:rPr>
            <w:rFonts w:ascii="Arial" w:cs="Arial" w:eastAsia="Arial" w:hAnsi="Arial"/>
            <w:sz w:val="17"/>
            <w:szCs w:val="17"/>
            <w:u w:val="single" w:color="auto"/>
            <w:color w:val="0000EE"/>
          </w:rPr>
          <w:t>Preferred Stock, dated as of February 27, 2018</w:t>
        </w:r>
      </w:hyperlink>
    </w:p>
    <w:p>
      <w:pPr>
        <w:spacing w:after="0" w:line="166" w:lineRule="exact"/>
        <w:rPr>
          <w:rFonts w:ascii="Arial" w:cs="Arial" w:eastAsia="Arial" w:hAnsi="Arial"/>
          <w:sz w:val="17"/>
          <w:szCs w:val="17"/>
          <w:u w:val="single" w:color="auto"/>
          <w:color w:val="0000EE"/>
        </w:rPr>
      </w:pPr>
    </w:p>
    <w:p>
      <w:pPr>
        <w:ind w:left="1260" w:right="20" w:hanging="737"/>
        <w:spacing w:after="0" w:line="271" w:lineRule="auto"/>
        <w:tabs>
          <w:tab w:leader="none" w:pos="1240" w:val="left"/>
        </w:tabs>
        <w:rPr>
          <w:rFonts w:ascii="Arial" w:cs="Arial" w:eastAsia="Arial" w:hAnsi="Arial"/>
          <w:sz w:val="17"/>
          <w:szCs w:val="17"/>
          <w:u w:val="single" w:color="auto"/>
          <w:color w:val="0000EE"/>
        </w:rPr>
      </w:pPr>
      <w:hyperlink r:id="rId146">
        <w:r>
          <w:rPr>
            <w:rFonts w:ascii="Arial" w:cs="Arial" w:eastAsia="Arial" w:hAnsi="Arial"/>
            <w:sz w:val="17"/>
            <w:szCs w:val="17"/>
            <w:u w:val="single" w:color="auto"/>
            <w:color w:val="0000EE"/>
          </w:rPr>
          <w:t>4.1</w:t>
        </w:r>
      </w:hyperlink>
      <w:r>
        <w:rPr>
          <w:rFonts w:ascii="Arial" w:cs="Arial" w:eastAsia="Arial" w:hAnsi="Arial"/>
          <w:sz w:val="17"/>
          <w:szCs w:val="17"/>
          <w:u w:val="single" w:color="auto"/>
          <w:color w:val="0000EE"/>
        </w:rPr>
        <w:tab/>
      </w:r>
      <w:hyperlink r:id="rId146">
        <w:r>
          <w:rPr>
            <w:rFonts w:ascii="Arial" w:cs="Arial" w:eastAsia="Arial" w:hAnsi="Arial"/>
            <w:sz w:val="17"/>
            <w:szCs w:val="17"/>
            <w:u w:val="single" w:color="auto"/>
            <w:color w:val="0000EE"/>
          </w:rPr>
          <w:t>Specimen certificate for shares of Common Stock, $0.01 par value, of</w:t>
        </w:r>
      </w:hyperlink>
      <w:r>
        <w:rPr>
          <w:rFonts w:ascii="Arial" w:cs="Arial" w:eastAsia="Arial" w:hAnsi="Arial"/>
          <w:sz w:val="17"/>
          <w:szCs w:val="17"/>
          <w:u w:val="single" w:color="auto"/>
          <w:color w:val="0000EE"/>
        </w:rPr>
        <w:t xml:space="preserve"> </w:t>
      </w:r>
      <w:hyperlink r:id="rId146">
        <w:r>
          <w:rPr>
            <w:rFonts w:ascii="Arial" w:cs="Arial" w:eastAsia="Arial" w:hAnsi="Arial"/>
            <w:sz w:val="17"/>
            <w:szCs w:val="17"/>
            <w:u w:val="single" w:color="auto"/>
            <w:color w:val="0000EE"/>
          </w:rPr>
          <w:t>Harvard Bioscience, Inc.</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ind w:right="360"/>
        <w:spacing w:after="0" w:line="339" w:lineRule="auto"/>
        <w:rPr>
          <w:rFonts w:ascii="Arial" w:cs="Arial" w:eastAsia="Arial" w:hAnsi="Arial"/>
          <w:sz w:val="15"/>
          <w:szCs w:val="15"/>
          <w:u w:val="single" w:color="auto"/>
          <w:color w:val="0000EE"/>
        </w:rPr>
      </w:pPr>
      <w:hyperlink r:id="rId145">
        <w:r>
          <w:rPr>
            <w:rFonts w:ascii="Arial" w:cs="Arial" w:eastAsia="Arial" w:hAnsi="Arial"/>
            <w:sz w:val="15"/>
            <w:szCs w:val="15"/>
            <w:u w:val="single" w:color="auto"/>
            <w:color w:val="0000EE"/>
          </w:rPr>
          <w:t>Previously filed as an exhibit to the Company’s Registration Statement on</w:t>
        </w:r>
      </w:hyperlink>
      <w:r>
        <w:rPr>
          <w:rFonts w:ascii="Arial" w:cs="Arial" w:eastAsia="Arial" w:hAnsi="Arial"/>
          <w:sz w:val="15"/>
          <w:szCs w:val="15"/>
          <w:u w:val="single" w:color="auto"/>
          <w:color w:val="0000EE"/>
        </w:rPr>
        <w:t xml:space="preserve"> </w:t>
      </w:r>
      <w:hyperlink r:id="rId145">
        <w:r>
          <w:rPr>
            <w:rFonts w:ascii="Arial" w:cs="Arial" w:eastAsia="Arial" w:hAnsi="Arial"/>
            <w:sz w:val="15"/>
            <w:szCs w:val="15"/>
            <w:u w:val="single" w:color="auto"/>
            <w:color w:val="0000EE"/>
          </w:rPr>
          <w:t>Form 8-A/A (filed March 2, 2018) and incorporated by reference thereto</w:t>
        </w:r>
      </w:hyperlink>
    </w:p>
    <w:p>
      <w:pPr>
        <w:spacing w:after="0" w:line="120" w:lineRule="exact"/>
        <w:rPr>
          <w:sz w:val="20"/>
          <w:szCs w:val="20"/>
          <w:color w:val="auto"/>
        </w:rPr>
      </w:pPr>
    </w:p>
    <w:p>
      <w:pPr>
        <w:ind w:right="360"/>
        <w:spacing w:after="0" w:line="260" w:lineRule="auto"/>
        <w:rPr>
          <w:rFonts w:ascii="Arial" w:cs="Arial" w:eastAsia="Arial" w:hAnsi="Arial"/>
          <w:sz w:val="17"/>
          <w:szCs w:val="17"/>
          <w:u w:val="single" w:color="auto"/>
          <w:color w:val="0000EE"/>
        </w:rPr>
      </w:pPr>
      <w:hyperlink r:id="rId146">
        <w:r>
          <w:rPr>
            <w:rFonts w:ascii="Arial" w:cs="Arial" w:eastAsia="Arial" w:hAnsi="Arial"/>
            <w:sz w:val="17"/>
            <w:szCs w:val="17"/>
            <w:u w:val="single" w:color="auto"/>
            <w:color w:val="0000EE"/>
          </w:rPr>
          <w:t>Previously filed as an exhibit to the Company’s Registration Statement on</w:t>
        </w:r>
      </w:hyperlink>
      <w:r>
        <w:rPr>
          <w:rFonts w:ascii="Arial" w:cs="Arial" w:eastAsia="Arial" w:hAnsi="Arial"/>
          <w:sz w:val="17"/>
          <w:szCs w:val="17"/>
          <w:u w:val="single" w:color="auto"/>
          <w:color w:val="0000EE"/>
        </w:rPr>
        <w:t xml:space="preserve"> </w:t>
      </w:r>
      <w:hyperlink r:id="rId146">
        <w:r>
          <w:rPr>
            <w:rFonts w:ascii="Arial" w:cs="Arial" w:eastAsia="Arial" w:hAnsi="Arial"/>
            <w:sz w:val="17"/>
            <w:szCs w:val="17"/>
            <w:u w:val="single" w:color="auto"/>
            <w:color w:val="0000EE"/>
          </w:rPr>
          <w:t>Form S-1/A (File No. 333-45996) (filed on November 9, 2000) and</w:t>
        </w:r>
      </w:hyperlink>
      <w:r>
        <w:rPr>
          <w:rFonts w:ascii="Arial" w:cs="Arial" w:eastAsia="Arial" w:hAnsi="Arial"/>
          <w:sz w:val="17"/>
          <w:szCs w:val="17"/>
          <w:u w:val="single" w:color="auto"/>
          <w:color w:val="0000EE"/>
        </w:rPr>
        <w:t xml:space="preserve"> </w:t>
      </w:r>
      <w:hyperlink r:id="rId146">
        <w:r>
          <w:rPr>
            <w:rFonts w:ascii="Arial" w:cs="Arial" w:eastAsia="Arial" w:hAnsi="Arial"/>
            <w:sz w:val="17"/>
            <w:szCs w:val="17"/>
            <w:u w:val="single" w:color="auto"/>
            <w:color w:val="0000EE"/>
          </w:rPr>
          <w:t>incorporated by reference thereto</w:t>
        </w:r>
      </w:hyperlink>
    </w:p>
    <w:p>
      <w:pPr>
        <w:spacing w:after="0" w:line="174" w:lineRule="exact"/>
        <w:rPr>
          <w:rFonts w:ascii="Arial" w:cs="Arial" w:eastAsia="Arial" w:hAnsi="Arial"/>
          <w:sz w:val="17"/>
          <w:szCs w:val="17"/>
          <w:u w:val="single" w:color="auto"/>
          <w:color w:val="0000EE"/>
        </w:rPr>
      </w:pPr>
    </w:p>
    <w:p>
      <w:pPr>
        <w:sectPr>
          <w:pgSz w:w="11900" w:h="16838" w:orient="portrait"/>
          <w:cols w:equalWidth="0" w:num="2">
            <w:col w:w="6000" w:space="60"/>
            <w:col w:w="5360"/>
          </w:cols>
          <w:pgMar w:left="240" w:top="228" w:right="239" w:bottom="1440" w:gutter="0" w:footer="0" w:header="0"/>
          <w:type w:val="continuous"/>
        </w:sectPr>
      </w:pPr>
    </w:p>
    <w:p>
      <w:pPr>
        <w:ind w:left="1260" w:hanging="737"/>
        <w:spacing w:after="0" w:line="301" w:lineRule="auto"/>
        <w:tabs>
          <w:tab w:leader="none" w:pos="1240" w:val="left"/>
        </w:tabs>
        <w:rPr>
          <w:rFonts w:ascii="Arial" w:cs="Arial" w:eastAsia="Arial" w:hAnsi="Arial"/>
          <w:sz w:val="15"/>
          <w:szCs w:val="15"/>
          <w:u w:val="single" w:color="auto"/>
          <w:color w:val="0000EE"/>
        </w:rPr>
      </w:pPr>
      <w:hyperlink r:id="rId147">
        <w:r>
          <w:rPr>
            <w:rFonts w:ascii="Arial" w:cs="Arial" w:eastAsia="Arial" w:hAnsi="Arial"/>
            <w:sz w:val="17"/>
            <w:szCs w:val="17"/>
            <w:u w:val="single" w:color="auto"/>
            <w:color w:val="0000EE"/>
          </w:rPr>
          <w:t>4.2</w:t>
        </w:r>
      </w:hyperlink>
      <w:r>
        <w:rPr>
          <w:rFonts w:ascii="Arial" w:cs="Arial" w:eastAsia="Arial" w:hAnsi="Arial"/>
          <w:sz w:val="17"/>
          <w:szCs w:val="17"/>
          <w:u w:val="single" w:color="auto"/>
          <w:color w:val="0000EE"/>
        </w:rPr>
        <w:tab/>
      </w:r>
      <w:hyperlink r:id="rId147">
        <w:r>
          <w:rPr>
            <w:rFonts w:ascii="Arial" w:cs="Arial" w:eastAsia="Arial" w:hAnsi="Arial"/>
            <w:sz w:val="15"/>
            <w:szCs w:val="15"/>
            <w:u w:val="single" w:color="auto"/>
            <w:color w:val="0000EE"/>
          </w:rPr>
          <w:t>Amended and Restated Securityholders’ Agreement dated as of</w:t>
        </w:r>
      </w:hyperlink>
      <w:r>
        <w:rPr>
          <w:rFonts w:ascii="Arial" w:cs="Arial" w:eastAsia="Arial" w:hAnsi="Arial"/>
          <w:sz w:val="15"/>
          <w:szCs w:val="15"/>
          <w:u w:val="single" w:color="auto"/>
          <w:color w:val="0000EE"/>
        </w:rPr>
        <w:t xml:space="preserve"> </w:t>
      </w:r>
      <w:hyperlink r:id="rId147">
        <w:r>
          <w:rPr>
            <w:rFonts w:ascii="Arial" w:cs="Arial" w:eastAsia="Arial" w:hAnsi="Arial"/>
            <w:sz w:val="15"/>
            <w:szCs w:val="15"/>
            <w:u w:val="single" w:color="auto"/>
            <w:color w:val="0000EE"/>
          </w:rPr>
          <w:t>March 2, 1999 by and among Harvard Apparatus, Inc., Pioneer</w:t>
        </w:r>
      </w:hyperlink>
      <w:r>
        <w:rPr>
          <w:rFonts w:ascii="Arial" w:cs="Arial" w:eastAsia="Arial" w:hAnsi="Arial"/>
          <w:sz w:val="15"/>
          <w:szCs w:val="15"/>
          <w:u w:val="single" w:color="auto"/>
          <w:color w:val="0000EE"/>
        </w:rPr>
        <w:t xml:space="preserve"> </w:t>
      </w:r>
      <w:hyperlink r:id="rId147">
        <w:r>
          <w:rPr>
            <w:rFonts w:ascii="Arial" w:cs="Arial" w:eastAsia="Arial" w:hAnsi="Arial"/>
            <w:sz w:val="15"/>
            <w:szCs w:val="15"/>
            <w:u w:val="single" w:color="auto"/>
            <w:color w:val="0000EE"/>
          </w:rPr>
          <w:t>Partnership II, Pioneer Capital Corp., First New England Capital, L.P.</w:t>
        </w:r>
      </w:hyperlink>
      <w:r>
        <w:rPr>
          <w:rFonts w:ascii="Arial" w:cs="Arial" w:eastAsia="Arial" w:hAnsi="Arial"/>
          <w:sz w:val="15"/>
          <w:szCs w:val="15"/>
          <w:u w:val="single" w:color="auto"/>
          <w:color w:val="0000EE"/>
        </w:rPr>
        <w:t xml:space="preserve"> </w:t>
      </w:r>
      <w:hyperlink r:id="rId147">
        <w:r>
          <w:rPr>
            <w:rFonts w:ascii="Arial" w:cs="Arial" w:eastAsia="Arial" w:hAnsi="Arial"/>
            <w:sz w:val="15"/>
            <w:szCs w:val="15"/>
            <w:u w:val="single" w:color="auto"/>
            <w:color w:val="0000EE"/>
          </w:rPr>
          <w:t>and Citizens Capital, Inc. and Chane Graziano and David Green</w:t>
        </w:r>
      </w:hyperlink>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br w:type="column"/>
      </w:r>
    </w:p>
    <w:p>
      <w:pPr>
        <w:spacing w:after="0" w:line="260" w:lineRule="auto"/>
        <w:rPr>
          <w:rFonts w:ascii="Arial" w:cs="Arial" w:eastAsia="Arial" w:hAnsi="Arial"/>
          <w:sz w:val="17"/>
          <w:szCs w:val="17"/>
          <w:u w:val="single" w:color="auto"/>
          <w:color w:val="0000EE"/>
        </w:rPr>
      </w:pPr>
      <w:hyperlink r:id="rId147">
        <w:r>
          <w:rPr>
            <w:rFonts w:ascii="Arial" w:cs="Arial" w:eastAsia="Arial" w:hAnsi="Arial"/>
            <w:sz w:val="17"/>
            <w:szCs w:val="17"/>
            <w:u w:val="single" w:color="auto"/>
            <w:color w:val="0000EE"/>
          </w:rPr>
          <w:t>Previously filed as an exhibit to the Company’s Registration Statement on</w:t>
        </w:r>
      </w:hyperlink>
      <w:r>
        <w:rPr>
          <w:rFonts w:ascii="Arial" w:cs="Arial" w:eastAsia="Arial" w:hAnsi="Arial"/>
          <w:sz w:val="17"/>
          <w:szCs w:val="17"/>
          <w:u w:val="single" w:color="auto"/>
          <w:color w:val="0000EE"/>
        </w:rPr>
        <w:t xml:space="preserve"> </w:t>
      </w:r>
      <w:hyperlink r:id="rId147">
        <w:r>
          <w:rPr>
            <w:rFonts w:ascii="Arial" w:cs="Arial" w:eastAsia="Arial" w:hAnsi="Arial"/>
            <w:sz w:val="17"/>
            <w:szCs w:val="17"/>
            <w:u w:val="single" w:color="auto"/>
            <w:color w:val="0000EE"/>
          </w:rPr>
          <w:t>Form S-1/A (File No. 333-45996) (filed on October 25, 2000) and incorporated</w:t>
        </w:r>
      </w:hyperlink>
      <w:r>
        <w:rPr>
          <w:rFonts w:ascii="Arial" w:cs="Arial" w:eastAsia="Arial" w:hAnsi="Arial"/>
          <w:sz w:val="17"/>
          <w:szCs w:val="17"/>
          <w:u w:val="single" w:color="auto"/>
          <w:color w:val="0000EE"/>
        </w:rPr>
        <w:t xml:space="preserve"> </w:t>
      </w:r>
      <w:hyperlink r:id="rId147">
        <w:r>
          <w:rPr>
            <w:rFonts w:ascii="Arial" w:cs="Arial" w:eastAsia="Arial" w:hAnsi="Arial"/>
            <w:sz w:val="17"/>
            <w:szCs w:val="17"/>
            <w:u w:val="single" w:color="auto"/>
            <w:color w:val="0000EE"/>
          </w:rPr>
          <w:t>by reference thereto</w:t>
        </w:r>
      </w:hyperlink>
    </w:p>
    <w:p>
      <w:pPr>
        <w:spacing w:after="0" w:line="358" w:lineRule="exact"/>
        <w:rPr>
          <w:rFonts w:ascii="Arial" w:cs="Arial" w:eastAsia="Arial" w:hAnsi="Arial"/>
          <w:sz w:val="17"/>
          <w:szCs w:val="17"/>
          <w:u w:val="single" w:color="auto"/>
          <w:color w:val="0000EE"/>
        </w:rPr>
      </w:pPr>
    </w:p>
    <w:p>
      <w:pPr>
        <w:sectPr>
          <w:pgSz w:w="11900" w:h="16838" w:orient="portrait"/>
          <w:cols w:equalWidth="0" w:num="2">
            <w:col w:w="5980" w:space="80"/>
            <w:col w:w="5360"/>
          </w:cols>
          <w:pgMar w:left="240" w:top="228" w:right="239" w:bottom="1440" w:gutter="0" w:footer="0" w:header="0"/>
          <w:type w:val="continuous"/>
        </w:sectPr>
      </w:pPr>
    </w:p>
    <w:tbl>
      <w:tblPr>
        <w:tblLayout w:type="fixed"/>
        <w:tblInd w:w="520" w:type="dxa"/>
        <w:tblCellMar>
          <w:top w:w="0" w:type="dxa"/>
          <w:left w:w="0" w:type="dxa"/>
          <w:bottom w:w="0" w:type="dxa"/>
          <w:right w:w="0" w:type="dxa"/>
        </w:tblCellMar>
      </w:tblPr>
      <w:tr>
        <w:trPr>
          <w:trHeight w:val="195"/>
        </w:trPr>
        <w:tc>
          <w:tcPr>
            <w:tcW w:w="740" w:type="dxa"/>
            <w:vAlign w:val="bottom"/>
            <w:gridSpan w:val="2"/>
          </w:tcPr>
          <w:p>
            <w:pPr>
              <w:jc w:val="right"/>
              <w:ind w:right="520"/>
              <w:spacing w:after="0"/>
              <w:rPr>
                <w:rFonts w:ascii="Arial" w:cs="Arial" w:eastAsia="Arial" w:hAnsi="Arial"/>
                <w:sz w:val="17"/>
                <w:szCs w:val="17"/>
                <w:color w:val="0000EE"/>
                <w:w w:val="84"/>
              </w:rPr>
            </w:pPr>
            <w:hyperlink r:id="rId148">
              <w:r>
                <w:rPr>
                  <w:rFonts w:ascii="Arial" w:cs="Arial" w:eastAsia="Arial" w:hAnsi="Arial"/>
                  <w:sz w:val="17"/>
                  <w:szCs w:val="17"/>
                  <w:color w:val="0000EE"/>
                  <w:w w:val="84"/>
                </w:rPr>
                <w:t>4.</w:t>
              </w:r>
              <w:r>
                <w:rPr>
                  <w:rFonts w:ascii="Arial" w:cs="Arial" w:eastAsia="Arial" w:hAnsi="Arial"/>
                  <w:sz w:val="17"/>
                  <w:szCs w:val="17"/>
                  <w:u w:val="single" w:color="auto"/>
                  <w:color w:val="0000EE"/>
                  <w:w w:val="84"/>
                </w:rPr>
                <w:t>3</w:t>
              </w:r>
            </w:hyperlink>
          </w:p>
        </w:tc>
        <w:tc>
          <w:tcPr>
            <w:tcW w:w="9800" w:type="dxa"/>
            <w:vAlign w:val="bottom"/>
            <w:gridSpan w:val="6"/>
          </w:tcPr>
          <w:p>
            <w:pPr>
              <w:spacing w:after="0"/>
              <w:rPr>
                <w:rFonts w:ascii="Arial" w:cs="Arial" w:eastAsia="Arial" w:hAnsi="Arial"/>
                <w:sz w:val="17"/>
                <w:szCs w:val="17"/>
                <w:color w:val="0000EE"/>
                <w:w w:val="89"/>
              </w:rPr>
            </w:pPr>
            <w:hyperlink r:id="rId148">
              <w:r>
                <w:rPr>
                  <w:rFonts w:ascii="Arial" w:cs="Arial" w:eastAsia="Arial" w:hAnsi="Arial"/>
                  <w:sz w:val="17"/>
                  <w:szCs w:val="17"/>
                  <w:color w:val="0000EE"/>
                  <w:w w:val="89"/>
                </w:rPr>
                <w:t>Shareholders Rights Agreement, dated as of February 5, 2008 between Previously filed as an exhibit to the Company’s Registration Statement on</w:t>
              </w:r>
            </w:hyperlink>
          </w:p>
        </w:tc>
      </w:tr>
      <w:tr>
        <w:trPr>
          <w:trHeight w:val="182"/>
        </w:trPr>
        <w:tc>
          <w:tcPr>
            <w:tcW w:w="220" w:type="dxa"/>
            <w:vAlign w:val="bottom"/>
            <w:tcBorders>
              <w:top w:val="single" w:sz="8" w:color="0000EE"/>
            </w:tcBorders>
          </w:tcPr>
          <w:p>
            <w:pPr>
              <w:spacing w:after="0"/>
              <w:rPr>
                <w:sz w:val="15"/>
                <w:szCs w:val="15"/>
                <w:color w:val="auto"/>
              </w:rPr>
            </w:pPr>
          </w:p>
        </w:tc>
        <w:tc>
          <w:tcPr>
            <w:tcW w:w="520" w:type="dxa"/>
            <w:vAlign w:val="bottom"/>
          </w:tcPr>
          <w:p>
            <w:pPr>
              <w:spacing w:after="0"/>
              <w:rPr>
                <w:sz w:val="15"/>
                <w:szCs w:val="15"/>
                <w:color w:val="auto"/>
              </w:rPr>
            </w:pPr>
          </w:p>
        </w:tc>
        <w:tc>
          <w:tcPr>
            <w:tcW w:w="4480" w:type="dxa"/>
            <w:vAlign w:val="bottom"/>
            <w:tcBorders>
              <w:top w:val="single" w:sz="8" w:color="0000EE"/>
            </w:tcBorders>
            <w:gridSpan w:val="2"/>
          </w:tcPr>
          <w:p>
            <w:pPr>
              <w:spacing w:after="0" w:line="183" w:lineRule="exact"/>
              <w:rPr>
                <w:rFonts w:ascii="Arial" w:cs="Arial" w:eastAsia="Arial" w:hAnsi="Arial"/>
                <w:sz w:val="17"/>
                <w:szCs w:val="17"/>
                <w:color w:val="0000EE"/>
                <w:w w:val="88"/>
              </w:rPr>
            </w:pPr>
            <w:hyperlink r:id="rId148">
              <w:r>
                <w:rPr>
                  <w:rFonts w:ascii="Arial" w:cs="Arial" w:eastAsia="Arial" w:hAnsi="Arial"/>
                  <w:sz w:val="17"/>
                  <w:szCs w:val="17"/>
                  <w:color w:val="0000EE"/>
                  <w:w w:val="88"/>
                </w:rPr>
                <w:t>Harvard Bioscience, Inc., and Registrar and Transfer Company, as</w:t>
              </w:r>
            </w:hyperlink>
          </w:p>
        </w:tc>
        <w:tc>
          <w:tcPr>
            <w:tcW w:w="3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tcBorders>
              <w:top w:val="single" w:sz="8" w:color="0000EE"/>
            </w:tcBorders>
            <w:gridSpan w:val="2"/>
          </w:tcPr>
          <w:p>
            <w:pPr>
              <w:spacing w:after="0" w:line="183" w:lineRule="exact"/>
              <w:rPr>
                <w:rFonts w:ascii="Arial" w:cs="Arial" w:eastAsia="Arial" w:hAnsi="Arial"/>
                <w:sz w:val="17"/>
                <w:szCs w:val="17"/>
                <w:color w:val="0000EE"/>
                <w:w w:val="91"/>
              </w:rPr>
            </w:pPr>
            <w:hyperlink r:id="rId148">
              <w:r>
                <w:rPr>
                  <w:rFonts w:ascii="Arial" w:cs="Arial" w:eastAsia="Arial" w:hAnsi="Arial"/>
                  <w:sz w:val="17"/>
                  <w:szCs w:val="17"/>
                  <w:color w:val="0000EE"/>
                  <w:w w:val="91"/>
                </w:rPr>
                <w:t>Form 8-A (filed February 8, 2008) and incorporated by reference thereto</w:t>
              </w:r>
            </w:hyperlink>
          </w:p>
        </w:tc>
      </w:tr>
      <w:tr>
        <w:trPr>
          <w:trHeight w:val="182"/>
        </w:trPr>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80" w:type="dxa"/>
            <w:vAlign w:val="bottom"/>
            <w:tcBorders>
              <w:top w:val="single" w:sz="8" w:color="0000EE"/>
            </w:tcBorders>
            <w:gridSpan w:val="2"/>
          </w:tcPr>
          <w:p>
            <w:pPr>
              <w:spacing w:after="0" w:line="183" w:lineRule="exact"/>
              <w:rPr>
                <w:rFonts w:ascii="Arial" w:cs="Arial" w:eastAsia="Arial" w:hAnsi="Arial"/>
                <w:sz w:val="17"/>
                <w:szCs w:val="17"/>
                <w:color w:val="0000EE"/>
              </w:rPr>
            </w:pPr>
            <w:hyperlink r:id="rId148">
              <w:r>
                <w:rPr>
                  <w:rFonts w:ascii="Arial" w:cs="Arial" w:eastAsia="Arial" w:hAnsi="Arial"/>
                  <w:sz w:val="17"/>
                  <w:szCs w:val="17"/>
                  <w:color w:val="0000EE"/>
                </w:rPr>
                <w:t>Rights Agent</w:t>
              </w:r>
            </w:hyperlink>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8" w:right="239" w:bottom="1440" w:gutter="0" w:footer="0" w:header="0"/>
          <w:type w:val="continuous"/>
        </w:sectPr>
      </w:pPr>
    </w:p>
    <w:p>
      <w:pPr>
        <w:spacing w:after="0" w:line="15" w:lineRule="exact"/>
        <w:rPr>
          <w:sz w:val="20"/>
          <w:szCs w:val="20"/>
          <w:color w:val="auto"/>
        </w:rPr>
      </w:pPr>
    </w:p>
    <w:p>
      <w:pPr>
        <w:ind w:left="480"/>
        <w:spacing w:after="0"/>
        <w:tabs>
          <w:tab w:leader="none" w:pos="1240" w:val="left"/>
        </w:tabs>
        <w:rPr>
          <w:rFonts w:ascii="Arial" w:cs="Arial" w:eastAsia="Arial" w:hAnsi="Arial"/>
          <w:sz w:val="15"/>
          <w:szCs w:val="15"/>
          <w:u w:val="single" w:color="auto"/>
          <w:color w:val="0000EE"/>
        </w:rPr>
      </w:pPr>
      <w:hyperlink r:id="rId149">
        <w:r>
          <w:rPr>
            <w:rFonts w:ascii="Arial" w:cs="Arial" w:eastAsia="Arial" w:hAnsi="Arial"/>
            <w:sz w:val="17"/>
            <w:szCs w:val="17"/>
            <w:u w:val="single" w:color="auto"/>
            <w:color w:val="0000EE"/>
          </w:rPr>
          <w:t>10.1</w:t>
        </w:r>
      </w:hyperlink>
      <w:r>
        <w:rPr>
          <w:rFonts w:ascii="Arial" w:cs="Arial" w:eastAsia="Arial" w:hAnsi="Arial"/>
          <w:sz w:val="17"/>
          <w:szCs w:val="17"/>
          <w:u w:val="single" w:color="auto"/>
          <w:color w:val="0000EE"/>
        </w:rPr>
        <w:tab/>
      </w:r>
      <w:hyperlink r:id="rId149">
        <w:r>
          <w:rPr>
            <w:rFonts w:ascii="Arial" w:cs="Arial" w:eastAsia="Arial" w:hAnsi="Arial"/>
            <w:sz w:val="15"/>
            <w:szCs w:val="15"/>
            <w:u w:val="single" w:color="auto"/>
            <w:color w:val="0000EE"/>
          </w:rPr>
          <w:t>Harvard Apparatus, Inc. 1996 Stock Option and Grant Plan</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hanging="779"/>
        <w:spacing w:after="0" w:line="271" w:lineRule="auto"/>
        <w:tabs>
          <w:tab w:leader="none" w:pos="1240" w:val="left"/>
        </w:tabs>
        <w:rPr>
          <w:rFonts w:ascii="Arial" w:cs="Arial" w:eastAsia="Arial" w:hAnsi="Arial"/>
          <w:sz w:val="17"/>
          <w:szCs w:val="17"/>
          <w:u w:val="single" w:color="auto"/>
          <w:color w:val="0000EE"/>
        </w:rPr>
      </w:pPr>
      <w:hyperlink r:id="rId150">
        <w:r>
          <w:rPr>
            <w:rFonts w:ascii="Arial" w:cs="Arial" w:eastAsia="Arial" w:hAnsi="Arial"/>
            <w:sz w:val="17"/>
            <w:szCs w:val="17"/>
            <w:u w:val="single" w:color="auto"/>
            <w:color w:val="0000EE"/>
          </w:rPr>
          <w:t>10.2</w:t>
        </w:r>
      </w:hyperlink>
      <w:r>
        <w:rPr>
          <w:rFonts w:ascii="Arial" w:cs="Arial" w:eastAsia="Arial" w:hAnsi="Arial"/>
          <w:sz w:val="17"/>
          <w:szCs w:val="17"/>
          <w:u w:val="single" w:color="auto"/>
          <w:color w:val="0000EE"/>
        </w:rPr>
        <w:tab/>
      </w:r>
      <w:hyperlink r:id="rId150">
        <w:r>
          <w:rPr>
            <w:rFonts w:ascii="Arial" w:cs="Arial" w:eastAsia="Arial" w:hAnsi="Arial"/>
            <w:sz w:val="17"/>
            <w:szCs w:val="17"/>
            <w:u w:val="single" w:color="auto"/>
            <w:color w:val="0000EE"/>
          </w:rPr>
          <w:t>Harvard Bioscience, Inc. Third Amended and Restated 2000 Stock</w:t>
        </w:r>
      </w:hyperlink>
      <w:r>
        <w:rPr>
          <w:rFonts w:ascii="Arial" w:cs="Arial" w:eastAsia="Arial" w:hAnsi="Arial"/>
          <w:sz w:val="17"/>
          <w:szCs w:val="17"/>
          <w:u w:val="single" w:color="auto"/>
          <w:color w:val="0000EE"/>
        </w:rPr>
        <w:t xml:space="preserve"> </w:t>
      </w:r>
      <w:hyperlink r:id="rId150">
        <w:r>
          <w:rPr>
            <w:rFonts w:ascii="Arial" w:cs="Arial" w:eastAsia="Arial" w:hAnsi="Arial"/>
            <w:sz w:val="17"/>
            <w:szCs w:val="17"/>
            <w:u w:val="single" w:color="auto"/>
            <w:color w:val="0000EE"/>
          </w:rPr>
          <w:t>Option and Incentive Plan</w:t>
        </w:r>
      </w:hyperlink>
    </w:p>
    <w:p>
      <w:pPr>
        <w:spacing w:after="0" w:line="166" w:lineRule="exact"/>
        <w:rPr>
          <w:rFonts w:ascii="Arial" w:cs="Arial" w:eastAsia="Arial" w:hAnsi="Arial"/>
          <w:sz w:val="17"/>
          <w:szCs w:val="17"/>
          <w:u w:val="single" w:color="auto"/>
          <w:color w:val="0000EE"/>
        </w:rPr>
      </w:pPr>
    </w:p>
    <w:p>
      <w:pPr>
        <w:ind w:left="480"/>
        <w:spacing w:after="0"/>
        <w:tabs>
          <w:tab w:leader="none" w:pos="1240" w:val="left"/>
        </w:tabs>
        <w:rPr>
          <w:rFonts w:ascii="Arial" w:cs="Arial" w:eastAsia="Arial" w:hAnsi="Arial"/>
          <w:sz w:val="15"/>
          <w:szCs w:val="15"/>
          <w:u w:val="single" w:color="auto"/>
          <w:color w:val="0000EE"/>
        </w:rPr>
      </w:pPr>
      <w:hyperlink r:id="rId151">
        <w:r>
          <w:rPr>
            <w:rFonts w:ascii="Arial" w:cs="Arial" w:eastAsia="Arial" w:hAnsi="Arial"/>
            <w:sz w:val="17"/>
            <w:szCs w:val="17"/>
            <w:u w:val="single" w:color="auto"/>
            <w:color w:val="0000EE"/>
          </w:rPr>
          <w:t>10.3</w:t>
        </w:r>
      </w:hyperlink>
      <w:r>
        <w:rPr>
          <w:rFonts w:ascii="Arial" w:cs="Arial" w:eastAsia="Arial" w:hAnsi="Arial"/>
          <w:sz w:val="17"/>
          <w:szCs w:val="17"/>
          <w:u w:val="single" w:color="auto"/>
          <w:color w:val="0000EE"/>
        </w:rPr>
        <w:tab/>
      </w:r>
      <w:hyperlink r:id="rId151">
        <w:r>
          <w:rPr>
            <w:rFonts w:ascii="Arial" w:cs="Arial" w:eastAsia="Arial" w:hAnsi="Arial"/>
            <w:sz w:val="15"/>
            <w:szCs w:val="15"/>
            <w:u w:val="single" w:color="auto"/>
            <w:color w:val="0000EE"/>
          </w:rPr>
          <w:t>Harvard Bioscience, Inc. Employee Stock Purchase Plan</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0"/>
        <w:spacing w:after="0"/>
        <w:tabs>
          <w:tab w:leader="none" w:pos="1240" w:val="left"/>
        </w:tabs>
        <w:rPr>
          <w:rFonts w:ascii="Arial" w:cs="Arial" w:eastAsia="Arial" w:hAnsi="Arial"/>
          <w:sz w:val="15"/>
          <w:szCs w:val="15"/>
          <w:u w:val="single" w:color="auto"/>
          <w:color w:val="0000EE"/>
        </w:rPr>
      </w:pPr>
      <w:hyperlink r:id="rId152">
        <w:r>
          <w:rPr>
            <w:rFonts w:ascii="Arial" w:cs="Arial" w:eastAsia="Arial" w:hAnsi="Arial"/>
            <w:sz w:val="17"/>
            <w:szCs w:val="17"/>
            <w:u w:val="single" w:color="auto"/>
            <w:color w:val="0000EE"/>
          </w:rPr>
          <w:t>10.4</w:t>
        </w:r>
      </w:hyperlink>
      <w:r>
        <w:rPr>
          <w:rFonts w:ascii="Arial" w:cs="Arial" w:eastAsia="Arial" w:hAnsi="Arial"/>
          <w:sz w:val="17"/>
          <w:szCs w:val="17"/>
          <w:u w:val="single" w:color="auto"/>
          <w:color w:val="0000EE"/>
        </w:rPr>
        <w:tab/>
      </w:r>
      <w:hyperlink r:id="rId152">
        <w:r>
          <w:rPr>
            <w:rFonts w:ascii="Arial" w:cs="Arial" w:eastAsia="Arial" w:hAnsi="Arial"/>
            <w:sz w:val="15"/>
            <w:szCs w:val="15"/>
            <w:u w:val="single" w:color="auto"/>
            <w:color w:val="0000EE"/>
          </w:rPr>
          <w:t>Form of Director Indemnification Agreement</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260" w:right="160" w:hanging="779"/>
        <w:spacing w:after="0" w:line="310" w:lineRule="auto"/>
        <w:tabs>
          <w:tab w:leader="none" w:pos="1240" w:val="left"/>
        </w:tabs>
        <w:rPr>
          <w:rFonts w:ascii="Arial" w:cs="Arial" w:eastAsia="Arial" w:hAnsi="Arial"/>
          <w:sz w:val="15"/>
          <w:szCs w:val="15"/>
          <w:u w:val="single" w:color="auto"/>
          <w:color w:val="0000EE"/>
        </w:rPr>
      </w:pPr>
      <w:hyperlink r:id="rId153">
        <w:r>
          <w:rPr>
            <w:rFonts w:ascii="Arial" w:cs="Arial" w:eastAsia="Arial" w:hAnsi="Arial"/>
            <w:sz w:val="17"/>
            <w:szCs w:val="17"/>
            <w:u w:val="single" w:color="auto"/>
            <w:color w:val="0000EE"/>
          </w:rPr>
          <w:t>10.5</w:t>
        </w:r>
      </w:hyperlink>
      <w:r>
        <w:rPr>
          <w:rFonts w:ascii="Arial" w:cs="Arial" w:eastAsia="Arial" w:hAnsi="Arial"/>
          <w:sz w:val="17"/>
          <w:szCs w:val="17"/>
          <w:u w:val="single" w:color="auto"/>
          <w:color w:val="0000EE"/>
        </w:rPr>
        <w:tab/>
      </w:r>
      <w:hyperlink r:id="rId153">
        <w:r>
          <w:rPr>
            <w:rFonts w:ascii="Arial" w:cs="Arial" w:eastAsia="Arial" w:hAnsi="Arial"/>
            <w:sz w:val="15"/>
            <w:szCs w:val="15"/>
            <w:u w:val="single" w:color="auto"/>
            <w:color w:val="0000EE"/>
          </w:rPr>
          <w:t>Lease of Unit 22 Phase I Cambridge Science Park, Milton Road,</w:t>
        </w:r>
      </w:hyperlink>
      <w:r>
        <w:rPr>
          <w:rFonts w:ascii="Arial" w:cs="Arial" w:eastAsia="Arial" w:hAnsi="Arial"/>
          <w:sz w:val="15"/>
          <w:szCs w:val="15"/>
          <w:u w:val="single" w:color="auto"/>
          <w:color w:val="0000EE"/>
        </w:rPr>
        <w:t xml:space="preserve"> </w:t>
      </w:r>
      <w:hyperlink r:id="rId153">
        <w:r>
          <w:rPr>
            <w:rFonts w:ascii="Arial" w:cs="Arial" w:eastAsia="Arial" w:hAnsi="Arial"/>
            <w:sz w:val="15"/>
            <w:szCs w:val="15"/>
            <w:u w:val="single" w:color="auto"/>
            <w:color w:val="0000EE"/>
          </w:rPr>
          <w:t>Cambridge dated May 8, 2008 between The Master Fellows and</w:t>
        </w:r>
      </w:hyperlink>
      <w:r>
        <w:rPr>
          <w:rFonts w:ascii="Arial" w:cs="Arial" w:eastAsia="Arial" w:hAnsi="Arial"/>
          <w:sz w:val="15"/>
          <w:szCs w:val="15"/>
          <w:u w:val="single" w:color="auto"/>
          <w:color w:val="0000EE"/>
        </w:rPr>
        <w:t xml:space="preserve"> </w:t>
      </w:r>
      <w:hyperlink r:id="rId153">
        <w:r>
          <w:rPr>
            <w:rFonts w:ascii="Arial" w:cs="Arial" w:eastAsia="Arial" w:hAnsi="Arial"/>
            <w:sz w:val="15"/>
            <w:szCs w:val="15"/>
            <w:u w:val="single" w:color="auto"/>
            <w:color w:val="0000EE"/>
          </w:rPr>
          <w:t>Scholars of Trinity College Cambridge and Biochrom Limited.</w:t>
        </w:r>
      </w:hyperlink>
    </w:p>
    <w:p>
      <w:pPr>
        <w:spacing w:after="0" w:line="141" w:lineRule="exact"/>
        <w:rPr>
          <w:rFonts w:ascii="Arial" w:cs="Arial" w:eastAsia="Arial" w:hAnsi="Arial"/>
          <w:sz w:val="15"/>
          <w:szCs w:val="15"/>
          <w:u w:val="single" w:color="auto"/>
          <w:color w:val="0000EE"/>
        </w:rPr>
      </w:pPr>
    </w:p>
    <w:p>
      <w:pPr>
        <w:ind w:left="1260" w:right="280" w:hanging="779"/>
        <w:spacing w:after="0" w:line="271" w:lineRule="auto"/>
        <w:tabs>
          <w:tab w:leader="none" w:pos="1240" w:val="left"/>
        </w:tabs>
        <w:rPr>
          <w:rFonts w:ascii="Arial" w:cs="Arial" w:eastAsia="Arial" w:hAnsi="Arial"/>
          <w:sz w:val="17"/>
          <w:szCs w:val="17"/>
          <w:u w:val="single" w:color="auto"/>
          <w:color w:val="0000EE"/>
        </w:rPr>
      </w:pPr>
      <w:hyperlink r:id="rId154">
        <w:r>
          <w:rPr>
            <w:rFonts w:ascii="Arial" w:cs="Arial" w:eastAsia="Arial" w:hAnsi="Arial"/>
            <w:sz w:val="17"/>
            <w:szCs w:val="17"/>
            <w:u w:val="single" w:color="auto"/>
            <w:color w:val="0000EE"/>
          </w:rPr>
          <w:t>10.6</w:t>
        </w:r>
      </w:hyperlink>
      <w:r>
        <w:rPr>
          <w:rFonts w:ascii="Arial" w:cs="Arial" w:eastAsia="Arial" w:hAnsi="Arial"/>
          <w:sz w:val="17"/>
          <w:szCs w:val="17"/>
          <w:u w:val="single" w:color="auto"/>
          <w:color w:val="0000EE"/>
        </w:rPr>
        <w:tab/>
      </w:r>
      <w:hyperlink r:id="rId154">
        <w:r>
          <w:rPr>
            <w:rFonts w:ascii="Arial" w:cs="Arial" w:eastAsia="Arial" w:hAnsi="Arial"/>
            <w:sz w:val="17"/>
            <w:szCs w:val="17"/>
            <w:u w:val="single" w:color="auto"/>
            <w:color w:val="0000EE"/>
          </w:rPr>
          <w:t>Lease, dated February 23, 2004, by and between William Cash</w:t>
        </w:r>
      </w:hyperlink>
      <w:r>
        <w:rPr>
          <w:rFonts w:ascii="Arial" w:cs="Arial" w:eastAsia="Arial" w:hAnsi="Arial"/>
          <w:sz w:val="17"/>
          <w:szCs w:val="17"/>
          <w:u w:val="single" w:color="auto"/>
          <w:color w:val="0000EE"/>
        </w:rPr>
        <w:t xml:space="preserve"> </w:t>
      </w:r>
      <w:hyperlink r:id="rId154">
        <w:r>
          <w:rPr>
            <w:rFonts w:ascii="Arial" w:cs="Arial" w:eastAsia="Arial" w:hAnsi="Arial"/>
            <w:sz w:val="17"/>
            <w:szCs w:val="17"/>
            <w:u w:val="single" w:color="auto"/>
            <w:color w:val="0000EE"/>
          </w:rPr>
          <w:t>Forman and Hoefer, Inc.</w:t>
        </w:r>
      </w:hyperlink>
    </w:p>
    <w:p>
      <w:pPr>
        <w:spacing w:after="0" w:line="166" w:lineRule="exact"/>
        <w:rPr>
          <w:rFonts w:ascii="Arial" w:cs="Arial" w:eastAsia="Arial" w:hAnsi="Arial"/>
          <w:sz w:val="17"/>
          <w:szCs w:val="17"/>
          <w:u w:val="single" w:color="auto"/>
          <w:color w:val="0000EE"/>
        </w:rPr>
      </w:pPr>
    </w:p>
    <w:p>
      <w:pPr>
        <w:ind w:left="1260" w:right="60" w:hanging="848"/>
        <w:spacing w:after="0" w:line="260" w:lineRule="auto"/>
        <w:tabs>
          <w:tab w:leader="none" w:pos="1240" w:val="left"/>
        </w:tabs>
        <w:rPr>
          <w:rFonts w:ascii="Arial" w:cs="Arial" w:eastAsia="Arial" w:hAnsi="Arial"/>
          <w:sz w:val="17"/>
          <w:szCs w:val="17"/>
          <w:u w:val="single" w:color="auto"/>
          <w:color w:val="0000EE"/>
        </w:rPr>
      </w:pPr>
      <w:hyperlink r:id="rId155">
        <w:r>
          <w:rPr>
            <w:rFonts w:ascii="Arial" w:cs="Arial" w:eastAsia="Arial" w:hAnsi="Arial"/>
            <w:sz w:val="17"/>
            <w:szCs w:val="17"/>
            <w:u w:val="single" w:color="auto"/>
            <w:color w:val="0000EE"/>
          </w:rPr>
          <w:t>10.7 +</w:t>
        </w:r>
      </w:hyperlink>
      <w:r>
        <w:rPr>
          <w:rFonts w:ascii="Arial" w:cs="Arial" w:eastAsia="Arial" w:hAnsi="Arial"/>
          <w:sz w:val="17"/>
          <w:szCs w:val="17"/>
          <w:u w:val="single" w:color="auto"/>
          <w:color w:val="0000EE"/>
        </w:rPr>
        <w:tab/>
      </w:r>
      <w:hyperlink r:id="rId155">
        <w:r>
          <w:rPr>
            <w:rFonts w:ascii="Arial" w:cs="Arial" w:eastAsia="Arial" w:hAnsi="Arial"/>
            <w:sz w:val="17"/>
            <w:szCs w:val="17"/>
            <w:u w:val="single" w:color="auto"/>
            <w:color w:val="0000EE"/>
          </w:rPr>
          <w:t>Trademark License Agreement, dated December 19, 2002, by and</w:t>
        </w:r>
      </w:hyperlink>
      <w:r>
        <w:rPr>
          <w:rFonts w:ascii="Arial" w:cs="Arial" w:eastAsia="Arial" w:hAnsi="Arial"/>
          <w:sz w:val="17"/>
          <w:szCs w:val="17"/>
          <w:u w:val="single" w:color="auto"/>
          <w:color w:val="0000EE"/>
        </w:rPr>
        <w:t xml:space="preserve"> </w:t>
      </w:r>
      <w:hyperlink r:id="rId155">
        <w:r>
          <w:rPr>
            <w:rFonts w:ascii="Arial" w:cs="Arial" w:eastAsia="Arial" w:hAnsi="Arial"/>
            <w:sz w:val="17"/>
            <w:szCs w:val="17"/>
            <w:u w:val="single" w:color="auto"/>
            <w:color w:val="0000EE"/>
          </w:rPr>
          <w:t>between Harvard Bioscience, Inc. and President and Fellows of</w:t>
        </w:r>
      </w:hyperlink>
      <w:r>
        <w:rPr>
          <w:rFonts w:ascii="Arial" w:cs="Arial" w:eastAsia="Arial" w:hAnsi="Arial"/>
          <w:sz w:val="17"/>
          <w:szCs w:val="17"/>
          <w:u w:val="single" w:color="auto"/>
          <w:color w:val="0000EE"/>
        </w:rPr>
        <w:t xml:space="preserve"> </w:t>
      </w:r>
      <w:hyperlink r:id="rId155">
        <w:r>
          <w:rPr>
            <w:rFonts w:ascii="Arial" w:cs="Arial" w:eastAsia="Arial" w:hAnsi="Arial"/>
            <w:sz w:val="17"/>
            <w:szCs w:val="17"/>
            <w:u w:val="single" w:color="auto"/>
            <w:color w:val="0000EE"/>
          </w:rPr>
          <w:t>Harvard College.</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635</wp:posOffset>
            </wp:positionH>
            <wp:positionV relativeFrom="paragraph">
              <wp:posOffset>247015</wp:posOffset>
            </wp:positionV>
            <wp:extent cx="7255510"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260" w:lineRule="auto"/>
        <w:rPr>
          <w:rFonts w:ascii="Arial" w:cs="Arial" w:eastAsia="Arial" w:hAnsi="Arial"/>
          <w:sz w:val="17"/>
          <w:szCs w:val="17"/>
          <w:u w:val="single" w:color="auto"/>
          <w:color w:val="0000EE"/>
        </w:rPr>
      </w:pPr>
      <w:hyperlink r:id="rId149">
        <w:r>
          <w:rPr>
            <w:rFonts w:ascii="Arial" w:cs="Arial" w:eastAsia="Arial" w:hAnsi="Arial"/>
            <w:sz w:val="17"/>
            <w:szCs w:val="17"/>
            <w:u w:val="single" w:color="auto"/>
            <w:color w:val="0000EE"/>
          </w:rPr>
          <w:t>Previously filed as an exhibit to the Company’s Registration Statement on</w:t>
        </w:r>
      </w:hyperlink>
      <w:r>
        <w:rPr>
          <w:rFonts w:ascii="Arial" w:cs="Arial" w:eastAsia="Arial" w:hAnsi="Arial"/>
          <w:sz w:val="17"/>
          <w:szCs w:val="17"/>
          <w:u w:val="single" w:color="auto"/>
          <w:color w:val="0000EE"/>
        </w:rPr>
        <w:t xml:space="preserve"> </w:t>
      </w:r>
      <w:hyperlink r:id="rId149">
        <w:r>
          <w:rPr>
            <w:rFonts w:ascii="Arial" w:cs="Arial" w:eastAsia="Arial" w:hAnsi="Arial"/>
            <w:sz w:val="17"/>
            <w:szCs w:val="17"/>
            <w:u w:val="single" w:color="auto"/>
            <w:color w:val="0000EE"/>
          </w:rPr>
          <w:t>Form S-1/A (File No. 333-45996) (filed on October 25, 2000) and incorporated</w:t>
        </w:r>
      </w:hyperlink>
      <w:r>
        <w:rPr>
          <w:rFonts w:ascii="Arial" w:cs="Arial" w:eastAsia="Arial" w:hAnsi="Arial"/>
          <w:sz w:val="17"/>
          <w:szCs w:val="17"/>
          <w:u w:val="single" w:color="auto"/>
          <w:color w:val="0000EE"/>
        </w:rPr>
        <w:t xml:space="preserve"> </w:t>
      </w:r>
      <w:hyperlink r:id="rId149">
        <w:r>
          <w:rPr>
            <w:rFonts w:ascii="Arial" w:cs="Arial" w:eastAsia="Arial" w:hAnsi="Arial"/>
            <w:sz w:val="17"/>
            <w:szCs w:val="17"/>
            <w:u w:val="single" w:color="auto"/>
            <w:color w:val="0000EE"/>
          </w:rPr>
          <w:t>by reference thereto</w:t>
        </w:r>
      </w:hyperlink>
    </w:p>
    <w:p>
      <w:pPr>
        <w:spacing w:after="0" w:line="174" w:lineRule="exact"/>
        <w:rPr>
          <w:rFonts w:ascii="Arial" w:cs="Arial" w:eastAsia="Arial" w:hAnsi="Arial"/>
          <w:sz w:val="17"/>
          <w:szCs w:val="17"/>
          <w:u w:val="single" w:color="auto"/>
          <w:color w:val="0000EE"/>
        </w:rPr>
      </w:pPr>
    </w:p>
    <w:p>
      <w:pPr>
        <w:ind w:right="360"/>
        <w:spacing w:after="0" w:line="303" w:lineRule="auto"/>
        <w:rPr>
          <w:rFonts w:ascii="Arial" w:cs="Arial" w:eastAsia="Arial" w:hAnsi="Arial"/>
          <w:sz w:val="16"/>
          <w:szCs w:val="16"/>
          <w:u w:val="single" w:color="auto"/>
          <w:color w:val="0000EE"/>
        </w:rPr>
      </w:pPr>
      <w:hyperlink r:id="rId150">
        <w:r>
          <w:rPr>
            <w:rFonts w:ascii="Arial" w:cs="Arial" w:eastAsia="Arial" w:hAnsi="Arial"/>
            <w:sz w:val="16"/>
            <w:szCs w:val="16"/>
            <w:u w:val="single" w:color="auto"/>
            <w:color w:val="0000EE"/>
          </w:rPr>
          <w:t>Previously disclosed in the Company’s Proxy Statement on Schedule 14A</w:t>
        </w:r>
      </w:hyperlink>
      <w:r>
        <w:rPr>
          <w:rFonts w:ascii="Arial" w:cs="Arial" w:eastAsia="Arial" w:hAnsi="Arial"/>
          <w:sz w:val="16"/>
          <w:szCs w:val="16"/>
          <w:u w:val="single" w:color="auto"/>
          <w:color w:val="0000EE"/>
        </w:rPr>
        <w:t xml:space="preserve"> </w:t>
      </w:r>
      <w:hyperlink r:id="rId150">
        <w:r>
          <w:rPr>
            <w:rFonts w:ascii="Arial" w:cs="Arial" w:eastAsia="Arial" w:hAnsi="Arial"/>
            <w:sz w:val="16"/>
            <w:szCs w:val="16"/>
            <w:u w:val="single" w:color="auto"/>
            <w:color w:val="0000EE"/>
          </w:rPr>
          <w:t>(filed April 15, 2011) and incorporated by reference thereto</w:t>
        </w:r>
      </w:hyperlink>
    </w:p>
    <w:p>
      <w:pPr>
        <w:spacing w:after="0" w:line="143" w:lineRule="exact"/>
        <w:rPr>
          <w:sz w:val="20"/>
          <w:szCs w:val="20"/>
          <w:color w:val="auto"/>
        </w:rPr>
      </w:pPr>
    </w:p>
    <w:p>
      <w:pPr>
        <w:ind w:right="360"/>
        <w:spacing w:after="0" w:line="260" w:lineRule="auto"/>
        <w:rPr>
          <w:rFonts w:ascii="Arial" w:cs="Arial" w:eastAsia="Arial" w:hAnsi="Arial"/>
          <w:sz w:val="17"/>
          <w:szCs w:val="17"/>
          <w:u w:val="single" w:color="auto"/>
          <w:color w:val="0000EE"/>
        </w:rPr>
      </w:pPr>
      <w:hyperlink r:id="rId151">
        <w:r>
          <w:rPr>
            <w:rFonts w:ascii="Arial" w:cs="Arial" w:eastAsia="Arial" w:hAnsi="Arial"/>
            <w:sz w:val="17"/>
            <w:szCs w:val="17"/>
            <w:u w:val="single" w:color="auto"/>
            <w:color w:val="0000EE"/>
          </w:rPr>
          <w:t>Previously filed as an exhibit to the Company’s Registration Statement on</w:t>
        </w:r>
      </w:hyperlink>
      <w:r>
        <w:rPr>
          <w:rFonts w:ascii="Arial" w:cs="Arial" w:eastAsia="Arial" w:hAnsi="Arial"/>
          <w:sz w:val="17"/>
          <w:szCs w:val="17"/>
          <w:u w:val="single" w:color="auto"/>
          <w:color w:val="0000EE"/>
        </w:rPr>
        <w:t xml:space="preserve"> </w:t>
      </w:r>
      <w:hyperlink r:id="rId151">
        <w:r>
          <w:rPr>
            <w:rFonts w:ascii="Arial" w:cs="Arial" w:eastAsia="Arial" w:hAnsi="Arial"/>
            <w:sz w:val="17"/>
            <w:szCs w:val="17"/>
            <w:u w:val="single" w:color="auto"/>
            <w:color w:val="0000EE"/>
          </w:rPr>
          <w:t>Form S-1/A (File No. 333-45996) (filed on November 9, 2000) and</w:t>
        </w:r>
      </w:hyperlink>
      <w:r>
        <w:rPr>
          <w:rFonts w:ascii="Arial" w:cs="Arial" w:eastAsia="Arial" w:hAnsi="Arial"/>
          <w:sz w:val="17"/>
          <w:szCs w:val="17"/>
          <w:u w:val="single" w:color="auto"/>
          <w:color w:val="0000EE"/>
        </w:rPr>
        <w:t xml:space="preserve"> </w:t>
      </w:r>
      <w:hyperlink r:id="rId151">
        <w:r>
          <w:rPr>
            <w:rFonts w:ascii="Arial" w:cs="Arial" w:eastAsia="Arial" w:hAnsi="Arial"/>
            <w:sz w:val="17"/>
            <w:szCs w:val="17"/>
            <w:u w:val="single" w:color="auto"/>
            <w:color w:val="0000EE"/>
          </w:rPr>
          <w:t>incorporated by reference thereto</w:t>
        </w:r>
      </w:hyperlink>
    </w:p>
    <w:p>
      <w:pPr>
        <w:spacing w:after="0" w:line="174" w:lineRule="exact"/>
        <w:rPr>
          <w:rFonts w:ascii="Arial" w:cs="Arial" w:eastAsia="Arial" w:hAnsi="Arial"/>
          <w:sz w:val="17"/>
          <w:szCs w:val="17"/>
          <w:u w:val="single" w:color="auto"/>
          <w:color w:val="0000EE"/>
        </w:rPr>
      </w:pPr>
    </w:p>
    <w:p>
      <w:pPr>
        <w:spacing w:after="0" w:line="260" w:lineRule="auto"/>
        <w:rPr>
          <w:rFonts w:ascii="Arial" w:cs="Arial" w:eastAsia="Arial" w:hAnsi="Arial"/>
          <w:sz w:val="17"/>
          <w:szCs w:val="17"/>
          <w:u w:val="single" w:color="auto"/>
          <w:color w:val="0000EE"/>
        </w:rPr>
      </w:pPr>
      <w:hyperlink r:id="rId152">
        <w:r>
          <w:rPr>
            <w:rFonts w:ascii="Arial" w:cs="Arial" w:eastAsia="Arial" w:hAnsi="Arial"/>
            <w:sz w:val="17"/>
            <w:szCs w:val="17"/>
            <w:u w:val="single" w:color="auto"/>
            <w:color w:val="0000EE"/>
          </w:rPr>
          <w:t>Previously filed as an exhibit to the Company’s Registration Statement on</w:t>
        </w:r>
      </w:hyperlink>
      <w:r>
        <w:rPr>
          <w:rFonts w:ascii="Arial" w:cs="Arial" w:eastAsia="Arial" w:hAnsi="Arial"/>
          <w:sz w:val="17"/>
          <w:szCs w:val="17"/>
          <w:u w:val="single" w:color="auto"/>
          <w:color w:val="0000EE"/>
        </w:rPr>
        <w:t xml:space="preserve"> </w:t>
      </w:r>
      <w:hyperlink r:id="rId152">
        <w:r>
          <w:rPr>
            <w:rFonts w:ascii="Arial" w:cs="Arial" w:eastAsia="Arial" w:hAnsi="Arial"/>
            <w:sz w:val="17"/>
            <w:szCs w:val="17"/>
            <w:u w:val="single" w:color="auto"/>
            <w:color w:val="0000EE"/>
          </w:rPr>
          <w:t>Form S-1/A (File No. 333-45996) (filed on October 25, 2000) and incorporated</w:t>
        </w:r>
      </w:hyperlink>
      <w:r>
        <w:rPr>
          <w:rFonts w:ascii="Arial" w:cs="Arial" w:eastAsia="Arial" w:hAnsi="Arial"/>
          <w:sz w:val="17"/>
          <w:szCs w:val="17"/>
          <w:u w:val="single" w:color="auto"/>
          <w:color w:val="0000EE"/>
        </w:rPr>
        <w:t xml:space="preserve"> </w:t>
      </w:r>
      <w:hyperlink r:id="rId152">
        <w:r>
          <w:rPr>
            <w:rFonts w:ascii="Arial" w:cs="Arial" w:eastAsia="Arial" w:hAnsi="Arial"/>
            <w:sz w:val="17"/>
            <w:szCs w:val="17"/>
            <w:u w:val="single" w:color="auto"/>
            <w:color w:val="0000EE"/>
          </w:rPr>
          <w:t>by reference thereto</w:t>
        </w:r>
      </w:hyperlink>
    </w:p>
    <w:p>
      <w:pPr>
        <w:spacing w:after="0" w:line="174" w:lineRule="exact"/>
        <w:rPr>
          <w:rFonts w:ascii="Arial" w:cs="Arial" w:eastAsia="Arial" w:hAnsi="Arial"/>
          <w:sz w:val="17"/>
          <w:szCs w:val="17"/>
          <w:u w:val="single" w:color="auto"/>
          <w:color w:val="0000EE"/>
        </w:rPr>
      </w:pPr>
    </w:p>
    <w:p>
      <w:pPr>
        <w:ind w:right="120"/>
        <w:spacing w:after="0" w:line="303" w:lineRule="auto"/>
        <w:rPr>
          <w:rFonts w:ascii="Arial" w:cs="Arial" w:eastAsia="Arial" w:hAnsi="Arial"/>
          <w:sz w:val="16"/>
          <w:szCs w:val="16"/>
          <w:u w:val="single" w:color="auto"/>
          <w:color w:val="0000EE"/>
        </w:rPr>
      </w:pPr>
      <w:hyperlink r:id="rId153">
        <w:r>
          <w:rPr>
            <w:rFonts w:ascii="Arial" w:cs="Arial" w:eastAsia="Arial" w:hAnsi="Arial"/>
            <w:sz w:val="16"/>
            <w:szCs w:val="16"/>
            <w:u w:val="single" w:color="auto"/>
            <w:color w:val="0000EE"/>
          </w:rPr>
          <w:t>Previously filed as an exhibit to the Company’s Annual Report on Form 10-K</w:t>
        </w:r>
      </w:hyperlink>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(filed March 11, 2009) and incorporated by reference thereto</w:t>
        </w:r>
      </w:hyperlink>
    </w:p>
    <w:p>
      <w:pPr>
        <w:spacing w:after="0" w:line="345" w:lineRule="exact"/>
        <w:rPr>
          <w:sz w:val="20"/>
          <w:szCs w:val="20"/>
          <w:color w:val="auto"/>
        </w:rPr>
      </w:pPr>
    </w:p>
    <w:p>
      <w:pPr>
        <w:ind w:right="120"/>
        <w:spacing w:after="0" w:line="303" w:lineRule="auto"/>
        <w:rPr>
          <w:rFonts w:ascii="Arial" w:cs="Arial" w:eastAsia="Arial" w:hAnsi="Arial"/>
          <w:sz w:val="16"/>
          <w:szCs w:val="16"/>
          <w:u w:val="single" w:color="auto"/>
          <w:color w:val="0000EE"/>
        </w:rPr>
      </w:pPr>
      <w:hyperlink r:id="rId154">
        <w:r>
          <w:rPr>
            <w:rFonts w:ascii="Arial" w:cs="Arial" w:eastAsia="Arial" w:hAnsi="Arial"/>
            <w:sz w:val="16"/>
            <w:szCs w:val="16"/>
            <w:u w:val="single" w:color="auto"/>
            <w:color w:val="0000EE"/>
          </w:rPr>
          <w:t>Previously filed as an exhibit to the Company’s Annual Report on Form 10-K</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(filed March 15, 2004) and incorporated by reference thereto</w:t>
        </w:r>
      </w:hyperlink>
    </w:p>
    <w:p>
      <w:pPr>
        <w:spacing w:after="0" w:line="143" w:lineRule="exact"/>
        <w:rPr>
          <w:sz w:val="20"/>
          <w:szCs w:val="20"/>
          <w:color w:val="auto"/>
        </w:rPr>
      </w:pPr>
    </w:p>
    <w:p>
      <w:pPr>
        <w:ind w:right="80"/>
        <w:spacing w:after="0" w:line="271" w:lineRule="auto"/>
        <w:rPr>
          <w:rFonts w:ascii="Arial" w:cs="Arial" w:eastAsia="Arial" w:hAnsi="Arial"/>
          <w:sz w:val="17"/>
          <w:szCs w:val="17"/>
          <w:u w:val="single" w:color="auto"/>
          <w:color w:val="0000EE"/>
        </w:rPr>
      </w:pPr>
      <w:hyperlink r:id="rId155">
        <w:r>
          <w:rPr>
            <w:rFonts w:ascii="Arial" w:cs="Arial" w:eastAsia="Arial" w:hAnsi="Arial"/>
            <w:sz w:val="17"/>
            <w:szCs w:val="17"/>
            <w:u w:val="single" w:color="auto"/>
            <w:color w:val="0000EE"/>
          </w:rPr>
          <w:t>Previously filed as an exhibit to the Company’s Quarterly Report on Form 10-</w:t>
        </w:r>
      </w:hyperlink>
      <w:hyperlink r:id="rId155">
        <w:r>
          <w:rPr>
            <w:rFonts w:ascii="Arial" w:cs="Arial" w:eastAsia="Arial" w:hAnsi="Arial"/>
            <w:sz w:val="17"/>
            <w:szCs w:val="17"/>
            <w:u w:val="single" w:color="auto"/>
            <w:color w:val="0000EE"/>
          </w:rPr>
          <w:t>Q (filed May 15, 2003) and incorporated by reference thereto</w:t>
        </w:r>
      </w:hyperlink>
    </w:p>
    <w:p>
      <w:pPr>
        <w:sectPr>
          <w:pgSz w:w="11900" w:h="16838" w:orient="portrait"/>
          <w:cols w:equalWidth="0" w:num="2">
            <w:col w:w="5780" w:space="280"/>
            <w:col w:w="5360"/>
          </w:cols>
          <w:pgMar w:left="240" w:top="228" w:right="2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195"/>
        </w:trPr>
        <w:tc>
          <w:tcPr>
            <w:tcW w:w="1260" w:type="dxa"/>
            <w:vAlign w:val="bottom"/>
            <w:gridSpan w:val="4"/>
          </w:tcPr>
          <w:p>
            <w:pPr>
              <w:spacing w:after="0"/>
              <w:rPr>
                <w:rFonts w:ascii="Arial" w:cs="Arial" w:eastAsia="Arial" w:hAnsi="Arial"/>
                <w:sz w:val="17"/>
                <w:szCs w:val="17"/>
                <w:color w:val="0000EE"/>
                <w:w w:val="92"/>
              </w:rPr>
            </w:pPr>
            <w:hyperlink w:anchor="page2">
              <w:r>
                <w:rPr>
                  <w:rFonts w:ascii="Arial" w:cs="Arial" w:eastAsia="Arial" w:hAnsi="Arial"/>
                  <w:sz w:val="17"/>
                  <w:szCs w:val="17"/>
                  <w:color w:val="0000EE"/>
                  <w:w w:val="92"/>
                </w:rPr>
                <w:t>Table of Contents</w:t>
              </w:r>
            </w:hyperlink>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85"/>
        </w:trPr>
        <w:tc>
          <w:tcPr>
            <w:tcW w:w="4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jc w:val="center"/>
              <w:spacing w:after="0"/>
              <w:rPr>
                <w:rFonts w:ascii="Arial" w:cs="Arial" w:eastAsia="Arial" w:hAnsi="Arial"/>
                <w:sz w:val="17"/>
                <w:szCs w:val="17"/>
                <w:color w:val="0000EE"/>
                <w:w w:val="90"/>
              </w:rPr>
            </w:pPr>
            <w:hyperlink r:id="rId157">
              <w:r>
                <w:rPr>
                  <w:rFonts w:ascii="Arial" w:cs="Arial" w:eastAsia="Arial" w:hAnsi="Arial"/>
                  <w:sz w:val="17"/>
                  <w:szCs w:val="17"/>
                  <w:color w:val="0000EE"/>
                  <w:w w:val="90"/>
                </w:rPr>
                <w:t>10.</w:t>
              </w:r>
              <w:r>
                <w:rPr>
                  <w:rFonts w:ascii="Arial" w:cs="Arial" w:eastAsia="Arial" w:hAnsi="Arial"/>
                  <w:sz w:val="17"/>
                  <w:szCs w:val="17"/>
                  <w:u w:val="single" w:color="auto"/>
                  <w:color w:val="0000EE"/>
                  <w:w w:val="90"/>
                </w:rPr>
                <w:t>8</w:t>
              </w:r>
            </w:hyperlink>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800" w:type="dxa"/>
            <w:vAlign w:val="bottom"/>
            <w:gridSpan w:val="13"/>
          </w:tcPr>
          <w:p>
            <w:pPr>
              <w:spacing w:after="0"/>
              <w:rPr>
                <w:rFonts w:ascii="Arial" w:cs="Arial" w:eastAsia="Arial" w:hAnsi="Arial"/>
                <w:sz w:val="17"/>
                <w:szCs w:val="17"/>
                <w:color w:val="0000EE"/>
                <w:w w:val="97"/>
              </w:rPr>
            </w:pPr>
            <w:hyperlink r:id="rId157">
              <w:r>
                <w:rPr>
                  <w:rFonts w:ascii="Arial" w:cs="Arial" w:eastAsia="Arial" w:hAnsi="Arial"/>
                  <w:sz w:val="17"/>
                  <w:szCs w:val="17"/>
                  <w:color w:val="0000EE"/>
                  <w:w w:val="97"/>
                </w:rPr>
                <w:t>Lease Agreement Between Seven October Hill, LLC and Harvard</w:t>
              </w:r>
            </w:hyperlink>
          </w:p>
        </w:tc>
        <w:tc>
          <w:tcPr>
            <w:tcW w:w="5240" w:type="dxa"/>
            <w:vAlign w:val="bottom"/>
            <w:gridSpan w:val="6"/>
          </w:tcPr>
          <w:p>
            <w:pPr>
              <w:spacing w:after="0"/>
              <w:rPr>
                <w:rFonts w:ascii="Arial" w:cs="Arial" w:eastAsia="Arial" w:hAnsi="Arial"/>
                <w:sz w:val="17"/>
                <w:szCs w:val="17"/>
                <w:color w:val="0000EE"/>
                <w:w w:val="91"/>
              </w:rPr>
            </w:pPr>
            <w:hyperlink r:id="rId157">
              <w:r>
                <w:rPr>
                  <w:rFonts w:ascii="Arial" w:cs="Arial" w:eastAsia="Arial" w:hAnsi="Arial"/>
                  <w:sz w:val="17"/>
                  <w:szCs w:val="17"/>
                  <w:color w:val="0000EE"/>
                  <w:w w:val="91"/>
                </w:rPr>
                <w:t>Previously filed as an exhibit to the Company’s Current Report on Form 8-K</w:t>
              </w:r>
            </w:hyperlink>
          </w:p>
        </w:tc>
      </w:tr>
      <w:tr>
        <w:trPr>
          <w:trHeight w:val="182"/>
        </w:trPr>
        <w:tc>
          <w:tcPr>
            <w:tcW w:w="480" w:type="dxa"/>
            <w:vAlign w:val="bottom"/>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tcBorders>
              <w:top w:val="single" w:sz="8" w:color="0000EE"/>
            </w:tcBorders>
            <w:gridSpan w:val="8"/>
          </w:tcPr>
          <w:p>
            <w:pPr>
              <w:spacing w:after="0" w:line="183" w:lineRule="exact"/>
              <w:rPr>
                <w:rFonts w:ascii="Arial" w:cs="Arial" w:eastAsia="Arial" w:hAnsi="Arial"/>
                <w:sz w:val="17"/>
                <w:szCs w:val="17"/>
                <w:color w:val="0000EE"/>
              </w:rPr>
            </w:pPr>
            <w:hyperlink r:id="rId157">
              <w:r>
                <w:rPr>
                  <w:rFonts w:ascii="Arial" w:cs="Arial" w:eastAsia="Arial" w:hAnsi="Arial"/>
                  <w:sz w:val="17"/>
                  <w:szCs w:val="17"/>
                  <w:color w:val="0000EE"/>
                </w:rPr>
                <w:t>Bioscience, Inc. dated December 30, 2005.</w:t>
              </w:r>
            </w:hyperlink>
          </w:p>
        </w:tc>
        <w:tc>
          <w:tcPr>
            <w:tcW w:w="340" w:type="dxa"/>
            <w:vAlign w:val="bottom"/>
            <w:gridSpan w:val="5"/>
          </w:tcPr>
          <w:p>
            <w:pPr>
              <w:spacing w:after="0"/>
              <w:rPr>
                <w:sz w:val="15"/>
                <w:szCs w:val="15"/>
                <w:color w:val="auto"/>
              </w:rPr>
            </w:pPr>
          </w:p>
        </w:tc>
        <w:tc>
          <w:tcPr>
            <w:tcW w:w="5180" w:type="dxa"/>
            <w:vAlign w:val="bottom"/>
            <w:tcBorders>
              <w:top w:val="single" w:sz="8" w:color="0000EE"/>
            </w:tcBorders>
            <w:gridSpan w:val="5"/>
          </w:tcPr>
          <w:p>
            <w:pPr>
              <w:spacing w:after="0" w:line="183" w:lineRule="exact"/>
              <w:rPr>
                <w:rFonts w:ascii="Arial" w:cs="Arial" w:eastAsia="Arial" w:hAnsi="Arial"/>
                <w:sz w:val="17"/>
                <w:szCs w:val="17"/>
                <w:color w:val="0000EE"/>
              </w:rPr>
            </w:pPr>
            <w:hyperlink r:id="rId157">
              <w:r>
                <w:rPr>
                  <w:rFonts w:ascii="Arial" w:cs="Arial" w:eastAsia="Arial" w:hAnsi="Arial"/>
                  <w:sz w:val="17"/>
                  <w:szCs w:val="17"/>
                  <w:color w:val="0000EE"/>
                </w:rPr>
                <w:t>(filed January 4, 2006) and incorporated by reference thereto</w:t>
              </w:r>
            </w:hyperlink>
          </w:p>
        </w:tc>
        <w:tc>
          <w:tcPr>
            <w:tcW w:w="60" w:type="dxa"/>
            <w:vAlign w:val="bottom"/>
          </w:tcPr>
          <w:p>
            <w:pPr>
              <w:spacing w:after="0"/>
              <w:rPr>
                <w:sz w:val="15"/>
                <w:szCs w:val="15"/>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820" w:type="dxa"/>
            <w:vAlign w:val="bottom"/>
            <w:gridSpan w:val="2"/>
          </w:tcPr>
          <w:p>
            <w:pPr>
              <w:jc w:val="center"/>
              <w:ind w:left="356"/>
              <w:spacing w:after="0"/>
              <w:rPr>
                <w:rFonts w:ascii="Arial" w:cs="Arial" w:eastAsia="Arial" w:hAnsi="Arial"/>
                <w:sz w:val="17"/>
                <w:szCs w:val="17"/>
                <w:color w:val="0000EE"/>
                <w:w w:val="90"/>
              </w:rPr>
            </w:pPr>
            <w:hyperlink r:id="rId158">
              <w:r>
                <w:rPr>
                  <w:rFonts w:ascii="Arial" w:cs="Arial" w:eastAsia="Arial" w:hAnsi="Arial"/>
                  <w:sz w:val="17"/>
                  <w:szCs w:val="17"/>
                  <w:color w:val="0000EE"/>
                  <w:w w:val="90"/>
                </w:rPr>
                <w:t>10.</w:t>
              </w:r>
              <w:r>
                <w:rPr>
                  <w:rFonts w:ascii="Arial" w:cs="Arial" w:eastAsia="Arial" w:hAnsi="Arial"/>
                  <w:sz w:val="17"/>
                  <w:szCs w:val="17"/>
                  <w:u w:val="single" w:color="auto"/>
                  <w:color w:val="0000EE"/>
                  <w:w w:val="90"/>
                </w:rPr>
                <w:t>9</w:t>
              </w:r>
            </w:hyperlink>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0" w:type="dxa"/>
            <w:vAlign w:val="bottom"/>
            <w:gridSpan w:val="13"/>
          </w:tcPr>
          <w:p>
            <w:pPr>
              <w:spacing w:after="0"/>
              <w:rPr>
                <w:rFonts w:ascii="Arial" w:cs="Arial" w:eastAsia="Arial" w:hAnsi="Arial"/>
                <w:sz w:val="17"/>
                <w:szCs w:val="17"/>
                <w:color w:val="0000EE"/>
                <w:w w:val="99"/>
              </w:rPr>
            </w:pPr>
            <w:hyperlink r:id="rId158">
              <w:r>
                <w:rPr>
                  <w:rFonts w:ascii="Arial" w:cs="Arial" w:eastAsia="Arial" w:hAnsi="Arial"/>
                  <w:sz w:val="17"/>
                  <w:szCs w:val="17"/>
                  <w:color w:val="0000EE"/>
                  <w:w w:val="99"/>
                </w:rPr>
                <w:t>Form of Incentive Stock Option Agreement (Executive Officers).</w:t>
              </w:r>
            </w:hyperlink>
          </w:p>
        </w:tc>
        <w:tc>
          <w:tcPr>
            <w:tcW w:w="5240" w:type="dxa"/>
            <w:vAlign w:val="bottom"/>
            <w:gridSpan w:val="6"/>
          </w:tcPr>
          <w:p>
            <w:pPr>
              <w:spacing w:after="0"/>
              <w:rPr>
                <w:rFonts w:ascii="Arial" w:cs="Arial" w:eastAsia="Arial" w:hAnsi="Arial"/>
                <w:sz w:val="17"/>
                <w:szCs w:val="17"/>
                <w:color w:val="0000EE"/>
                <w:w w:val="91"/>
              </w:rPr>
            </w:pPr>
            <w:hyperlink r:id="rId158">
              <w:r>
                <w:rPr>
                  <w:rFonts w:ascii="Arial" w:cs="Arial" w:eastAsia="Arial" w:hAnsi="Arial"/>
                  <w:sz w:val="17"/>
                  <w:szCs w:val="17"/>
                  <w:color w:val="0000EE"/>
                  <w:w w:val="91"/>
                </w:rPr>
                <w:t>Previously filed as an exhibit to the Company’s Annual Report on Form 10-K</w:t>
              </w:r>
            </w:hyperlink>
          </w:p>
        </w:tc>
      </w:tr>
      <w:tr>
        <w:trPr>
          <w:trHeight w:val="182"/>
        </w:trPr>
        <w:tc>
          <w:tcPr>
            <w:tcW w:w="480" w:type="dxa"/>
            <w:vAlign w:val="bottom"/>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tcBorders>
              <w:top w:val="single" w:sz="8" w:color="0000EE"/>
              <w:bottom w:val="single" w:sz="8" w:color="0000EE"/>
            </w:tcBorders>
            <w:gridSpan w:val="3"/>
          </w:tcPr>
          <w:p>
            <w:pPr>
              <w:spacing w:after="0" w:line="183" w:lineRule="exact"/>
              <w:rPr>
                <w:rFonts w:ascii="Arial" w:cs="Arial" w:eastAsia="Arial" w:hAnsi="Arial"/>
                <w:sz w:val="17"/>
                <w:szCs w:val="17"/>
                <w:color w:val="0000EE"/>
                <w:w w:val="90"/>
              </w:rPr>
            </w:pPr>
            <w:hyperlink r:id="rId158">
              <w:r>
                <w:rPr>
                  <w:rFonts w:ascii="Arial" w:cs="Arial" w:eastAsia="Arial" w:hAnsi="Arial"/>
                  <w:sz w:val="17"/>
                  <w:szCs w:val="17"/>
                  <w:color w:val="0000EE"/>
                  <w:w w:val="90"/>
                </w:rPr>
                <w:t>(filed March 16, 2006) and incorporated by reference thereto</w:t>
              </w:r>
            </w:hyperlink>
          </w:p>
        </w:tc>
        <w:tc>
          <w:tcPr>
            <w:tcW w:w="1120" w:type="dxa"/>
            <w:vAlign w:val="bottom"/>
            <w:tcBorders>
              <w:top w:val="single" w:sz="8" w:color="0000EE"/>
            </w:tcBorders>
            <w:gridSpan w:val="3"/>
          </w:tcPr>
          <w:p>
            <w:pPr>
              <w:spacing w:after="0"/>
              <w:rPr>
                <w:sz w:val="15"/>
                <w:szCs w:val="15"/>
                <w:color w:val="auto"/>
              </w:rPr>
            </w:pPr>
          </w:p>
        </w:tc>
      </w:tr>
      <w:tr>
        <w:trPr>
          <w:trHeight w:val="385"/>
        </w:trPr>
        <w:tc>
          <w:tcPr>
            <w:tcW w:w="1200" w:type="dxa"/>
            <w:vAlign w:val="bottom"/>
            <w:gridSpan w:val="3"/>
          </w:tcPr>
          <w:p>
            <w:pPr>
              <w:jc w:val="center"/>
              <w:spacing w:after="0"/>
              <w:rPr>
                <w:rFonts w:ascii="Arial" w:cs="Arial" w:eastAsia="Arial" w:hAnsi="Arial"/>
                <w:sz w:val="17"/>
                <w:szCs w:val="17"/>
                <w:color w:val="0000EE"/>
                <w:w w:val="89"/>
              </w:rPr>
            </w:pPr>
            <w:hyperlink r:id="rId159">
              <w:r>
                <w:rPr>
                  <w:rFonts w:ascii="Arial" w:cs="Arial" w:eastAsia="Arial" w:hAnsi="Arial"/>
                  <w:sz w:val="17"/>
                  <w:szCs w:val="17"/>
                  <w:color w:val="0000EE"/>
                  <w:w w:val="89"/>
                </w:rPr>
                <w:t>10.</w:t>
              </w:r>
              <w:r>
                <w:rPr>
                  <w:rFonts w:ascii="Arial" w:cs="Arial" w:eastAsia="Arial" w:hAnsi="Arial"/>
                  <w:sz w:val="17"/>
                  <w:szCs w:val="17"/>
                  <w:u w:val="single" w:color="auto"/>
                  <w:color w:val="0000EE"/>
                  <w:w w:val="89"/>
                </w:rPr>
                <w:t>10</w:t>
              </w:r>
            </w:hyperlink>
          </w:p>
        </w:tc>
        <w:tc>
          <w:tcPr>
            <w:tcW w:w="60" w:type="dxa"/>
            <w:vAlign w:val="bottom"/>
          </w:tcPr>
          <w:p>
            <w:pPr>
              <w:spacing w:after="0"/>
              <w:rPr>
                <w:sz w:val="24"/>
                <w:szCs w:val="24"/>
                <w:color w:val="auto"/>
              </w:rPr>
            </w:pPr>
          </w:p>
        </w:tc>
        <w:tc>
          <w:tcPr>
            <w:tcW w:w="10040" w:type="dxa"/>
            <w:vAlign w:val="bottom"/>
            <w:gridSpan w:val="19"/>
          </w:tcPr>
          <w:p>
            <w:pPr>
              <w:spacing w:after="0"/>
              <w:rPr>
                <w:rFonts w:ascii="Arial" w:cs="Arial" w:eastAsia="Arial" w:hAnsi="Arial"/>
                <w:sz w:val="17"/>
                <w:szCs w:val="17"/>
                <w:color w:val="0000EE"/>
                <w:w w:val="91"/>
              </w:rPr>
            </w:pPr>
            <w:hyperlink r:id="rId159">
              <w:r>
                <w:rPr>
                  <w:rFonts w:ascii="Arial" w:cs="Arial" w:eastAsia="Arial" w:hAnsi="Arial"/>
                  <w:sz w:val="17"/>
                  <w:szCs w:val="17"/>
                  <w:color w:val="0000EE"/>
                  <w:w w:val="91"/>
                </w:rPr>
                <w:t>Form of Non-Qualified Stock Option Agreement (Executive Officers). Previously filed as an exhibit to the Company’s Annual Report on Form 10-K</w:t>
              </w:r>
            </w:hyperlink>
          </w:p>
        </w:tc>
      </w:tr>
      <w:tr>
        <w:trPr>
          <w:trHeight w:val="182"/>
        </w:trPr>
        <w:tc>
          <w:tcPr>
            <w:tcW w:w="480" w:type="dxa"/>
            <w:vAlign w:val="bottom"/>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tcBorders>
              <w:top w:val="single" w:sz="8" w:color="0000EE"/>
              <w:bottom w:val="single" w:sz="8" w:color="0000EE"/>
            </w:tcBorders>
            <w:gridSpan w:val="3"/>
          </w:tcPr>
          <w:p>
            <w:pPr>
              <w:spacing w:after="0" w:line="183" w:lineRule="exact"/>
              <w:rPr>
                <w:rFonts w:ascii="Arial" w:cs="Arial" w:eastAsia="Arial" w:hAnsi="Arial"/>
                <w:sz w:val="17"/>
                <w:szCs w:val="17"/>
                <w:color w:val="0000EE"/>
                <w:w w:val="90"/>
              </w:rPr>
            </w:pPr>
            <w:hyperlink r:id="rId159">
              <w:r>
                <w:rPr>
                  <w:rFonts w:ascii="Arial" w:cs="Arial" w:eastAsia="Arial" w:hAnsi="Arial"/>
                  <w:sz w:val="17"/>
                  <w:szCs w:val="17"/>
                  <w:color w:val="0000EE"/>
                  <w:w w:val="90"/>
                </w:rPr>
                <w:t>(filed March 16, 2006) and incorporated by reference thereto</w:t>
              </w:r>
            </w:hyperlink>
          </w:p>
        </w:tc>
        <w:tc>
          <w:tcPr>
            <w:tcW w:w="1120" w:type="dxa"/>
            <w:vAlign w:val="bottom"/>
            <w:tcBorders>
              <w:top w:val="single" w:sz="8" w:color="0000EE"/>
            </w:tcBorders>
            <w:gridSpan w:val="3"/>
          </w:tcPr>
          <w:p>
            <w:pPr>
              <w:spacing w:after="0"/>
              <w:rPr>
                <w:sz w:val="15"/>
                <w:szCs w:val="15"/>
                <w:color w:val="auto"/>
              </w:rPr>
            </w:pPr>
          </w:p>
        </w:tc>
      </w:tr>
      <w:tr>
        <w:trPr>
          <w:trHeight w:val="385"/>
        </w:trPr>
        <w:tc>
          <w:tcPr>
            <w:tcW w:w="480" w:type="dxa"/>
            <w:vAlign w:val="bottom"/>
          </w:tcPr>
          <w:p>
            <w:pPr>
              <w:spacing w:after="0"/>
              <w:rPr>
                <w:sz w:val="24"/>
                <w:szCs w:val="24"/>
                <w:color w:val="auto"/>
              </w:rPr>
            </w:pPr>
          </w:p>
        </w:tc>
        <w:tc>
          <w:tcPr>
            <w:tcW w:w="340" w:type="dxa"/>
            <w:vAlign w:val="bottom"/>
            <w:tcBorders>
              <w:bottom w:val="single" w:sz="8" w:color="0000EE"/>
            </w:tcBorders>
          </w:tcPr>
          <w:p>
            <w:pPr>
              <w:jc w:val="center"/>
              <w:spacing w:after="0"/>
              <w:rPr>
                <w:rFonts w:ascii="Arial" w:cs="Arial" w:eastAsia="Arial" w:hAnsi="Arial"/>
                <w:sz w:val="17"/>
                <w:szCs w:val="17"/>
                <w:color w:val="0000EE"/>
                <w:w w:val="79"/>
              </w:rPr>
            </w:pPr>
            <w:hyperlink r:id="rId160">
              <w:r>
                <w:rPr>
                  <w:rFonts w:ascii="Arial" w:cs="Arial" w:eastAsia="Arial" w:hAnsi="Arial"/>
                  <w:sz w:val="17"/>
                  <w:szCs w:val="17"/>
                  <w:color w:val="0000EE"/>
                  <w:w w:val="79"/>
                </w:rPr>
                <w:t>10.</w:t>
              </w:r>
              <w:r>
                <w:rPr>
                  <w:rFonts w:ascii="Arial" w:cs="Arial" w:eastAsia="Arial" w:hAnsi="Arial"/>
                  <w:sz w:val="17"/>
                  <w:szCs w:val="17"/>
                  <w:u w:val="single" w:color="auto"/>
                  <w:color w:val="0000EE"/>
                  <w:w w:val="79"/>
                </w:rPr>
                <w:t>11</w:t>
              </w:r>
            </w:hyperlink>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40" w:type="dxa"/>
            <w:vAlign w:val="bottom"/>
            <w:tcBorders>
              <w:bottom w:val="single" w:sz="8" w:color="0000EE"/>
            </w:tcBorders>
            <w:gridSpan w:val="7"/>
          </w:tcPr>
          <w:p>
            <w:pPr>
              <w:spacing w:after="0"/>
              <w:rPr>
                <w:rFonts w:ascii="Arial" w:cs="Arial" w:eastAsia="Arial" w:hAnsi="Arial"/>
                <w:sz w:val="17"/>
                <w:szCs w:val="17"/>
                <w:color w:val="0000EE"/>
                <w:w w:val="92"/>
              </w:rPr>
            </w:pPr>
            <w:hyperlink r:id="rId160">
              <w:r>
                <w:rPr>
                  <w:rFonts w:ascii="Arial" w:cs="Arial" w:eastAsia="Arial" w:hAnsi="Arial"/>
                  <w:sz w:val="17"/>
                  <w:szCs w:val="17"/>
                  <w:color w:val="0000EE"/>
                  <w:w w:val="92"/>
                </w:rPr>
                <w:t>Form of Non-Qualified Stock Option Agreement (Non-Employee</w:t>
              </w:r>
            </w:hyperlink>
          </w:p>
        </w:tc>
        <w:tc>
          <w:tcPr>
            <w:tcW w:w="360" w:type="dxa"/>
            <w:vAlign w:val="bottom"/>
            <w:gridSpan w:val="6"/>
          </w:tcPr>
          <w:p>
            <w:pPr>
              <w:spacing w:after="0"/>
              <w:rPr>
                <w:sz w:val="24"/>
                <w:szCs w:val="24"/>
                <w:color w:val="auto"/>
              </w:rPr>
            </w:pPr>
          </w:p>
        </w:tc>
        <w:tc>
          <w:tcPr>
            <w:tcW w:w="5240" w:type="dxa"/>
            <w:vAlign w:val="bottom"/>
            <w:tcBorders>
              <w:bottom w:val="single" w:sz="8" w:color="0000EE"/>
            </w:tcBorders>
            <w:gridSpan w:val="6"/>
          </w:tcPr>
          <w:p>
            <w:pPr>
              <w:spacing w:after="0"/>
              <w:rPr>
                <w:rFonts w:ascii="Arial" w:cs="Arial" w:eastAsia="Arial" w:hAnsi="Arial"/>
                <w:sz w:val="17"/>
                <w:szCs w:val="17"/>
                <w:color w:val="0000EE"/>
                <w:w w:val="91"/>
              </w:rPr>
            </w:pPr>
            <w:hyperlink r:id="rId160">
              <w:r>
                <w:rPr>
                  <w:rFonts w:ascii="Arial" w:cs="Arial" w:eastAsia="Arial" w:hAnsi="Arial"/>
                  <w:sz w:val="17"/>
                  <w:szCs w:val="17"/>
                  <w:color w:val="0000EE"/>
                  <w:w w:val="91"/>
                </w:rPr>
                <w:t>Previously filed as an exhibit to the Company’s Annual Report on Form 10-K</w:t>
              </w:r>
            </w:hyperlink>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line="183" w:lineRule="exact"/>
              <w:rPr>
                <w:rFonts w:ascii="Arial" w:cs="Arial" w:eastAsia="Arial" w:hAnsi="Arial"/>
                <w:sz w:val="17"/>
                <w:szCs w:val="17"/>
                <w:color w:val="0000EE"/>
              </w:rPr>
            </w:pPr>
            <w:hyperlink r:id="rId160">
              <w:r>
                <w:rPr>
                  <w:rFonts w:ascii="Arial" w:cs="Arial" w:eastAsia="Arial" w:hAnsi="Arial"/>
                  <w:sz w:val="17"/>
                  <w:szCs w:val="17"/>
                  <w:color w:val="0000EE"/>
                </w:rPr>
                <w:t>Directors).</w:t>
              </w:r>
            </w:hyperlink>
          </w:p>
        </w:tc>
        <w:tc>
          <w:tcPr>
            <w:tcW w:w="3980" w:type="dxa"/>
            <w:vAlign w:val="bottom"/>
            <w:gridSpan w:val="12"/>
          </w:tcPr>
          <w:p>
            <w:pPr>
              <w:spacing w:after="0"/>
              <w:rPr>
                <w:sz w:val="15"/>
                <w:szCs w:val="15"/>
                <w:color w:val="auto"/>
              </w:rPr>
            </w:pPr>
          </w:p>
        </w:tc>
        <w:tc>
          <w:tcPr>
            <w:tcW w:w="5240" w:type="dxa"/>
            <w:vAlign w:val="bottom"/>
            <w:gridSpan w:val="6"/>
          </w:tcPr>
          <w:p>
            <w:pPr>
              <w:spacing w:after="0" w:line="183" w:lineRule="exact"/>
              <w:rPr>
                <w:rFonts w:ascii="Arial" w:cs="Arial" w:eastAsia="Arial" w:hAnsi="Arial"/>
                <w:sz w:val="17"/>
                <w:szCs w:val="17"/>
                <w:color w:val="0000EE"/>
              </w:rPr>
            </w:pPr>
            <w:hyperlink r:id="rId160">
              <w:r>
                <w:rPr>
                  <w:rFonts w:ascii="Arial" w:cs="Arial" w:eastAsia="Arial" w:hAnsi="Arial"/>
                  <w:sz w:val="17"/>
                  <w:szCs w:val="17"/>
                  <w:color w:val="0000EE"/>
                </w:rPr>
                <w:t>(filed March 16, 2006) and incorporated by reference thereto</w:t>
              </w:r>
            </w:hyperlink>
          </w:p>
        </w:tc>
      </w:tr>
      <w:tr>
        <w:trPr>
          <w:trHeight w:val="20"/>
        </w:trPr>
        <w:tc>
          <w:tcPr>
            <w:tcW w:w="1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385"/>
        </w:trPr>
        <w:tc>
          <w:tcPr>
            <w:tcW w:w="480" w:type="dxa"/>
            <w:vAlign w:val="bottom"/>
          </w:tcPr>
          <w:p>
            <w:pPr>
              <w:spacing w:after="0"/>
              <w:rPr>
                <w:sz w:val="24"/>
                <w:szCs w:val="24"/>
                <w:color w:val="auto"/>
              </w:rPr>
            </w:pPr>
          </w:p>
        </w:tc>
        <w:tc>
          <w:tcPr>
            <w:tcW w:w="720" w:type="dxa"/>
            <w:vAlign w:val="bottom"/>
            <w:gridSpan w:val="2"/>
          </w:tcPr>
          <w:p>
            <w:pPr>
              <w:jc w:val="center"/>
              <w:ind w:right="380"/>
              <w:spacing w:after="0"/>
              <w:rPr>
                <w:rFonts w:ascii="Arial" w:cs="Arial" w:eastAsia="Arial" w:hAnsi="Arial"/>
                <w:sz w:val="17"/>
                <w:szCs w:val="17"/>
                <w:color w:val="0000EE"/>
                <w:w w:val="79"/>
              </w:rPr>
            </w:pPr>
            <w:hyperlink r:id="rId161">
              <w:r>
                <w:rPr>
                  <w:rFonts w:ascii="Arial" w:cs="Arial" w:eastAsia="Arial" w:hAnsi="Arial"/>
                  <w:sz w:val="17"/>
                  <w:szCs w:val="17"/>
                  <w:color w:val="0000EE"/>
                  <w:w w:val="79"/>
                </w:rPr>
                <w:t>10.</w:t>
              </w:r>
              <w:r>
                <w:rPr>
                  <w:rFonts w:ascii="Arial" w:cs="Arial" w:eastAsia="Arial" w:hAnsi="Arial"/>
                  <w:sz w:val="17"/>
                  <w:szCs w:val="17"/>
                  <w:u w:val="single" w:color="auto"/>
                  <w:color w:val="0000EE"/>
                  <w:w w:val="79"/>
                </w:rPr>
                <w:t>12</w:t>
              </w:r>
            </w:hyperlink>
          </w:p>
        </w:tc>
        <w:tc>
          <w:tcPr>
            <w:tcW w:w="60" w:type="dxa"/>
            <w:vAlign w:val="bottom"/>
          </w:tcPr>
          <w:p>
            <w:pPr>
              <w:spacing w:after="0"/>
              <w:rPr>
                <w:sz w:val="24"/>
                <w:szCs w:val="24"/>
                <w:color w:val="auto"/>
              </w:rPr>
            </w:pPr>
          </w:p>
        </w:tc>
        <w:tc>
          <w:tcPr>
            <w:tcW w:w="10040" w:type="dxa"/>
            <w:vAlign w:val="bottom"/>
            <w:gridSpan w:val="19"/>
          </w:tcPr>
          <w:p>
            <w:pPr>
              <w:spacing w:after="0"/>
              <w:rPr>
                <w:rFonts w:ascii="Arial" w:cs="Arial" w:eastAsia="Arial" w:hAnsi="Arial"/>
                <w:sz w:val="17"/>
                <w:szCs w:val="17"/>
                <w:color w:val="0000EE"/>
                <w:w w:val="90"/>
              </w:rPr>
            </w:pPr>
            <w:hyperlink r:id="rId161">
              <w:r>
                <w:rPr>
                  <w:rFonts w:ascii="Arial" w:cs="Arial" w:eastAsia="Arial" w:hAnsi="Arial"/>
                  <w:sz w:val="17"/>
                  <w:szCs w:val="17"/>
                  <w:color w:val="0000EE"/>
                  <w:w w:val="90"/>
                </w:rPr>
                <w:t>Amended and Restated Revolving Credit Loan Agreement, dated as of Previously filed as an exhibit to the Company’s Current Report on Form 8-K</w:t>
              </w:r>
            </w:hyperlink>
          </w:p>
        </w:tc>
      </w:tr>
      <w:tr>
        <w:trPr>
          <w:trHeight w:val="182"/>
        </w:trPr>
        <w:tc>
          <w:tcPr>
            <w:tcW w:w="480" w:type="dxa"/>
            <w:vAlign w:val="bottom"/>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40" w:type="dxa"/>
            <w:vAlign w:val="bottom"/>
            <w:tcBorders>
              <w:top w:val="single" w:sz="8" w:color="0000EE"/>
              <w:bottom w:val="single" w:sz="8" w:color="0000EE"/>
            </w:tcBorders>
            <w:gridSpan w:val="5"/>
          </w:tcPr>
          <w:p>
            <w:pPr>
              <w:spacing w:after="0" w:line="183" w:lineRule="exact"/>
              <w:rPr>
                <w:rFonts w:ascii="Arial" w:cs="Arial" w:eastAsia="Arial" w:hAnsi="Arial"/>
                <w:sz w:val="17"/>
                <w:szCs w:val="17"/>
                <w:color w:val="0000EE"/>
                <w:w w:val="89"/>
              </w:rPr>
            </w:pPr>
            <w:hyperlink r:id="rId161">
              <w:r>
                <w:rPr>
                  <w:rFonts w:ascii="Arial" w:cs="Arial" w:eastAsia="Arial" w:hAnsi="Arial"/>
                  <w:sz w:val="17"/>
                  <w:szCs w:val="17"/>
                  <w:color w:val="0000EE"/>
                  <w:w w:val="89"/>
                </w:rPr>
                <w:t>August 7, 2009, by and among Harvard Bioscience, Inc. and the</w:t>
              </w:r>
            </w:hyperlink>
          </w:p>
        </w:tc>
        <w:tc>
          <w:tcPr>
            <w:tcW w:w="44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4160" w:type="dxa"/>
            <w:vAlign w:val="bottom"/>
            <w:tcBorders>
              <w:top w:val="single" w:sz="8" w:color="0000EE"/>
              <w:bottom w:val="single" w:sz="8" w:color="0000EE"/>
            </w:tcBorders>
            <w:gridSpan w:val="4"/>
          </w:tcPr>
          <w:p>
            <w:pPr>
              <w:spacing w:after="0" w:line="183" w:lineRule="exact"/>
              <w:rPr>
                <w:rFonts w:ascii="Arial" w:cs="Arial" w:eastAsia="Arial" w:hAnsi="Arial"/>
                <w:sz w:val="17"/>
                <w:szCs w:val="17"/>
                <w:color w:val="0000EE"/>
                <w:w w:val="89"/>
              </w:rPr>
            </w:pPr>
            <w:hyperlink r:id="rId161">
              <w:r>
                <w:rPr>
                  <w:rFonts w:ascii="Arial" w:cs="Arial" w:eastAsia="Arial" w:hAnsi="Arial"/>
                  <w:sz w:val="17"/>
                  <w:szCs w:val="17"/>
                  <w:color w:val="0000EE"/>
                  <w:w w:val="89"/>
                </w:rPr>
                <w:t>(filed August 13, 2009) and incorporated by reference thereto</w:t>
              </w:r>
            </w:hyperlink>
          </w:p>
        </w:tc>
        <w:tc>
          <w:tcPr>
            <w:tcW w:w="102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0" w:type="dxa"/>
            <w:vAlign w:val="bottom"/>
            <w:gridSpan w:val="13"/>
          </w:tcPr>
          <w:p>
            <w:pPr>
              <w:spacing w:after="0" w:line="183" w:lineRule="exact"/>
              <w:rPr>
                <w:rFonts w:ascii="Arial" w:cs="Arial" w:eastAsia="Arial" w:hAnsi="Arial"/>
                <w:sz w:val="17"/>
                <w:szCs w:val="17"/>
                <w:color w:val="0000EE"/>
                <w:w w:val="94"/>
              </w:rPr>
            </w:pPr>
            <w:hyperlink r:id="rId161">
              <w:r>
                <w:rPr>
                  <w:rFonts w:ascii="Arial" w:cs="Arial" w:eastAsia="Arial" w:hAnsi="Arial"/>
                  <w:sz w:val="17"/>
                  <w:szCs w:val="17"/>
                  <w:color w:val="0000EE"/>
                  <w:w w:val="94"/>
                </w:rPr>
                <w:t>Lenders from time to time party thereto, including Bank of America,</w:t>
              </w:r>
            </w:hyperlink>
          </w:p>
        </w:tc>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1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720" w:type="dxa"/>
            <w:vAlign w:val="bottom"/>
            <w:tcBorders>
              <w:bottom w:val="single" w:sz="8" w:color="0000EE"/>
            </w:tcBorders>
            <w:gridSpan w:val="10"/>
          </w:tcPr>
          <w:p>
            <w:pPr>
              <w:spacing w:after="0" w:line="183" w:lineRule="exact"/>
              <w:rPr>
                <w:rFonts w:ascii="Arial" w:cs="Arial" w:eastAsia="Arial" w:hAnsi="Arial"/>
                <w:sz w:val="17"/>
                <w:szCs w:val="17"/>
                <w:color w:val="0000EE"/>
                <w:w w:val="92"/>
              </w:rPr>
            </w:pPr>
            <w:hyperlink r:id="rId161">
              <w:r>
                <w:rPr>
                  <w:rFonts w:ascii="Arial" w:cs="Arial" w:eastAsia="Arial" w:hAnsi="Arial"/>
                  <w:sz w:val="17"/>
                  <w:szCs w:val="17"/>
                  <w:color w:val="0000EE"/>
                  <w:w w:val="92"/>
                </w:rPr>
                <w:t>N.A. (both in its capacity as “Lender” and in its capacity as “Agent”),</w:t>
              </w:r>
            </w:hyperlink>
          </w:p>
        </w:tc>
        <w:tc>
          <w:tcPr>
            <w:tcW w:w="80" w:type="dxa"/>
            <w:vAlign w:val="bottom"/>
            <w:gridSpan w:val="3"/>
          </w:tcPr>
          <w:p>
            <w:pPr>
              <w:spacing w:after="0"/>
              <w:rPr>
                <w:sz w:val="15"/>
                <w:szCs w:val="15"/>
                <w:color w:val="auto"/>
              </w:rPr>
            </w:pPr>
          </w:p>
        </w:tc>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20" w:type="dxa"/>
            <w:vAlign w:val="bottom"/>
            <w:tcBorders>
              <w:bottom w:val="single" w:sz="8" w:color="0000EE"/>
            </w:tcBorders>
            <w:gridSpan w:val="3"/>
          </w:tcPr>
          <w:p>
            <w:pPr>
              <w:spacing w:after="0" w:line="183" w:lineRule="exact"/>
              <w:rPr>
                <w:rFonts w:ascii="Arial" w:cs="Arial" w:eastAsia="Arial" w:hAnsi="Arial"/>
                <w:sz w:val="17"/>
                <w:szCs w:val="17"/>
                <w:color w:val="0000EE"/>
                <w:w w:val="91"/>
              </w:rPr>
            </w:pPr>
            <w:hyperlink r:id="rId161">
              <w:r>
                <w:rPr>
                  <w:rFonts w:ascii="Arial" w:cs="Arial" w:eastAsia="Arial" w:hAnsi="Arial"/>
                  <w:sz w:val="17"/>
                  <w:szCs w:val="17"/>
                  <w:color w:val="0000EE"/>
                  <w:w w:val="91"/>
                </w:rPr>
                <w:t>and Brown Brothers Harriman &amp; Co.</w:t>
              </w:r>
            </w:hyperlink>
          </w:p>
        </w:tc>
        <w:tc>
          <w:tcPr>
            <w:tcW w:w="2280" w:type="dxa"/>
            <w:vAlign w:val="bottom"/>
            <w:gridSpan w:val="10"/>
          </w:tcPr>
          <w:p>
            <w:pPr>
              <w:spacing w:after="0"/>
              <w:rPr>
                <w:sz w:val="15"/>
                <w:szCs w:val="15"/>
                <w:color w:val="auto"/>
              </w:rPr>
            </w:pPr>
          </w:p>
        </w:tc>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85"/>
        </w:trPr>
        <w:tc>
          <w:tcPr>
            <w:tcW w:w="480" w:type="dxa"/>
            <w:vAlign w:val="bottom"/>
          </w:tcPr>
          <w:p>
            <w:pPr>
              <w:spacing w:after="0"/>
              <w:rPr>
                <w:sz w:val="24"/>
                <w:szCs w:val="24"/>
                <w:color w:val="auto"/>
              </w:rPr>
            </w:pPr>
          </w:p>
        </w:tc>
        <w:tc>
          <w:tcPr>
            <w:tcW w:w="720" w:type="dxa"/>
            <w:vAlign w:val="bottom"/>
            <w:gridSpan w:val="2"/>
          </w:tcPr>
          <w:p>
            <w:pPr>
              <w:jc w:val="center"/>
              <w:ind w:right="380"/>
              <w:spacing w:after="0"/>
              <w:rPr>
                <w:rFonts w:ascii="Arial" w:cs="Arial" w:eastAsia="Arial" w:hAnsi="Arial"/>
                <w:sz w:val="17"/>
                <w:szCs w:val="17"/>
                <w:color w:val="0000EE"/>
                <w:w w:val="79"/>
              </w:rPr>
            </w:pPr>
            <w:hyperlink r:id="rId162">
              <w:r>
                <w:rPr>
                  <w:rFonts w:ascii="Arial" w:cs="Arial" w:eastAsia="Arial" w:hAnsi="Arial"/>
                  <w:sz w:val="17"/>
                  <w:szCs w:val="17"/>
                  <w:color w:val="0000EE"/>
                  <w:w w:val="79"/>
                </w:rPr>
                <w:t>10.</w:t>
              </w:r>
              <w:r>
                <w:rPr>
                  <w:rFonts w:ascii="Arial" w:cs="Arial" w:eastAsia="Arial" w:hAnsi="Arial"/>
                  <w:sz w:val="17"/>
                  <w:szCs w:val="17"/>
                  <w:u w:val="single" w:color="auto"/>
                  <w:color w:val="0000EE"/>
                  <w:w w:val="79"/>
                </w:rPr>
                <w:t>13</w:t>
              </w:r>
            </w:hyperlink>
          </w:p>
        </w:tc>
        <w:tc>
          <w:tcPr>
            <w:tcW w:w="60" w:type="dxa"/>
            <w:vAlign w:val="bottom"/>
          </w:tcPr>
          <w:p>
            <w:pPr>
              <w:spacing w:after="0"/>
              <w:rPr>
                <w:sz w:val="24"/>
                <w:szCs w:val="24"/>
                <w:color w:val="auto"/>
              </w:rPr>
            </w:pPr>
          </w:p>
        </w:tc>
        <w:tc>
          <w:tcPr>
            <w:tcW w:w="10040" w:type="dxa"/>
            <w:vAlign w:val="bottom"/>
            <w:gridSpan w:val="19"/>
          </w:tcPr>
          <w:p>
            <w:pPr>
              <w:spacing w:after="0"/>
              <w:rPr>
                <w:rFonts w:ascii="Arial" w:cs="Arial" w:eastAsia="Arial" w:hAnsi="Arial"/>
                <w:sz w:val="17"/>
                <w:szCs w:val="17"/>
                <w:color w:val="0000EE"/>
                <w:w w:val="91"/>
              </w:rPr>
            </w:pPr>
            <w:hyperlink r:id="rId162">
              <w:r>
                <w:rPr>
                  <w:rFonts w:ascii="Arial" w:cs="Arial" w:eastAsia="Arial" w:hAnsi="Arial"/>
                  <w:sz w:val="17"/>
                  <w:szCs w:val="17"/>
                  <w:color w:val="0000EE"/>
                  <w:w w:val="91"/>
                </w:rPr>
                <w:t>Amendment No. 2, dated as of May 22, 2010, to Lease Agreement, as Previously filed as an exhibit to the Company’s Current Report on Form 8-K</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64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40" w:type="dxa"/>
            <w:vAlign w:val="bottom"/>
            <w:gridSpan w:val="19"/>
          </w:tcPr>
          <w:p>
            <w:pPr>
              <w:spacing w:after="0" w:line="183" w:lineRule="exact"/>
              <w:rPr>
                <w:rFonts w:ascii="Arial" w:cs="Arial" w:eastAsia="Arial" w:hAnsi="Arial"/>
                <w:sz w:val="17"/>
                <w:szCs w:val="17"/>
                <w:color w:val="0000EE"/>
              </w:rPr>
            </w:pPr>
            <w:hyperlink r:id="rId162">
              <w:r>
                <w:rPr>
                  <w:rFonts w:ascii="Arial" w:cs="Arial" w:eastAsia="Arial" w:hAnsi="Arial"/>
                  <w:sz w:val="17"/>
                  <w:szCs w:val="17"/>
                  <w:color w:val="0000EE"/>
                </w:rPr>
                <w:t>subsequently amended, between Seven October Hill LLC and Harvard (filed June 3, 2010) and incorporated by reference thereto</w:t>
              </w:r>
            </w:hyperlink>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760" w:type="dxa"/>
            <w:vAlign w:val="bottom"/>
            <w:tcBorders>
              <w:top w:val="single" w:sz="8" w:color="0000EE"/>
            </w:tcBorders>
            <w:gridSpan w:val="11"/>
          </w:tcPr>
          <w:p>
            <w:pPr>
              <w:spacing w:after="0" w:line="183" w:lineRule="exact"/>
              <w:rPr>
                <w:rFonts w:ascii="Arial" w:cs="Arial" w:eastAsia="Arial" w:hAnsi="Arial"/>
                <w:sz w:val="17"/>
                <w:szCs w:val="17"/>
                <w:color w:val="0000EE"/>
              </w:rPr>
            </w:pPr>
            <w:hyperlink r:id="rId162">
              <w:r>
                <w:rPr>
                  <w:rFonts w:ascii="Arial" w:cs="Arial" w:eastAsia="Arial" w:hAnsi="Arial"/>
                  <w:sz w:val="17"/>
                  <w:szCs w:val="17"/>
                  <w:color w:val="0000EE"/>
                </w:rPr>
                <w:t>Bioscience, Inc.</w:t>
              </w:r>
            </w:hyperlink>
          </w:p>
        </w:tc>
        <w:tc>
          <w:tcPr>
            <w:tcW w:w="40" w:type="dxa"/>
            <w:vAlign w:val="bottom"/>
            <w:gridSpan w:val="2"/>
          </w:tcPr>
          <w:p>
            <w:pPr>
              <w:spacing w:after="0"/>
              <w:rPr>
                <w:sz w:val="15"/>
                <w:szCs w:val="15"/>
                <w:color w:val="auto"/>
              </w:rPr>
            </w:pPr>
          </w:p>
        </w:tc>
        <w:tc>
          <w:tcPr>
            <w:tcW w:w="390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210" w:right="359" w:bottom="1440" w:gutter="0" w:footer="0" w:header="0"/>
        </w:sectPr>
      </w:pPr>
    </w:p>
    <w:p>
      <w:pPr>
        <w:spacing w:after="0" w:line="15" w:lineRule="exact"/>
        <w:rPr>
          <w:sz w:val="20"/>
          <w:szCs w:val="20"/>
          <w:color w:val="auto"/>
        </w:rPr>
      </w:pPr>
    </w:p>
    <w:p>
      <w:pPr>
        <w:ind w:left="1260" w:hanging="822"/>
        <w:spacing w:after="0" w:line="260" w:lineRule="auto"/>
        <w:tabs>
          <w:tab w:leader="none" w:pos="1240" w:val="left"/>
        </w:tabs>
        <w:rPr>
          <w:rFonts w:ascii="Arial" w:cs="Arial" w:eastAsia="Arial" w:hAnsi="Arial"/>
          <w:sz w:val="17"/>
          <w:szCs w:val="17"/>
          <w:u w:val="single" w:color="auto"/>
          <w:color w:val="0000EE"/>
        </w:rPr>
      </w:pPr>
      <w:hyperlink r:id="rId163">
        <w:r>
          <w:rPr>
            <w:rFonts w:ascii="Arial" w:cs="Arial" w:eastAsia="Arial" w:hAnsi="Arial"/>
            <w:sz w:val="17"/>
            <w:szCs w:val="17"/>
            <w:u w:val="single" w:color="auto"/>
            <w:color w:val="0000EE"/>
          </w:rPr>
          <w:t>10.14</w:t>
        </w:r>
      </w:hyperlink>
      <w:r>
        <w:rPr>
          <w:rFonts w:ascii="Arial" w:cs="Arial" w:eastAsia="Arial" w:hAnsi="Arial"/>
          <w:sz w:val="17"/>
          <w:szCs w:val="17"/>
          <w:u w:val="single" w:color="auto"/>
          <w:color w:val="0000EE"/>
        </w:rPr>
        <w:tab/>
      </w:r>
      <w:hyperlink r:id="rId163">
        <w:r>
          <w:rPr>
            <w:rFonts w:ascii="Arial" w:cs="Arial" w:eastAsia="Arial" w:hAnsi="Arial"/>
            <w:sz w:val="17"/>
            <w:szCs w:val="17"/>
            <w:u w:val="single" w:color="auto"/>
            <w:color w:val="0000EE"/>
          </w:rPr>
          <w:t>Form of Deferred Stock Award Agreement under the Harvard</w:t>
        </w:r>
      </w:hyperlink>
      <w:r>
        <w:rPr>
          <w:rFonts w:ascii="Arial" w:cs="Arial" w:eastAsia="Arial" w:hAnsi="Arial"/>
          <w:sz w:val="17"/>
          <w:szCs w:val="17"/>
          <w:u w:val="single" w:color="auto"/>
          <w:color w:val="0000EE"/>
        </w:rPr>
        <w:t xml:space="preserve"> </w:t>
      </w:r>
      <w:hyperlink r:id="rId163">
        <w:r>
          <w:rPr>
            <w:rFonts w:ascii="Arial" w:cs="Arial" w:eastAsia="Arial" w:hAnsi="Arial"/>
            <w:sz w:val="17"/>
            <w:szCs w:val="17"/>
            <w:u w:val="single" w:color="auto"/>
            <w:color w:val="0000EE"/>
          </w:rPr>
          <w:t>Bioscience, Inc. Second Amended and Restated 2000 Stock Option</w:t>
        </w:r>
      </w:hyperlink>
      <w:r>
        <w:rPr>
          <w:rFonts w:ascii="Arial" w:cs="Arial" w:eastAsia="Arial" w:hAnsi="Arial"/>
          <w:sz w:val="17"/>
          <w:szCs w:val="17"/>
          <w:u w:val="single" w:color="auto"/>
          <w:color w:val="0000EE"/>
        </w:rPr>
        <w:t xml:space="preserve"> </w:t>
      </w:r>
      <w:hyperlink r:id="rId163">
        <w:r>
          <w:rPr>
            <w:rFonts w:ascii="Arial" w:cs="Arial" w:eastAsia="Arial" w:hAnsi="Arial"/>
            <w:sz w:val="17"/>
            <w:szCs w:val="17"/>
            <w:u w:val="single" w:color="auto"/>
            <w:color w:val="0000EE"/>
          </w:rPr>
          <w:t>And Incentive Plan, as amended</w:t>
        </w:r>
      </w:hyperlink>
    </w:p>
    <w:p>
      <w:pPr>
        <w:spacing w:after="0" w:line="174" w:lineRule="exact"/>
        <w:rPr>
          <w:rFonts w:ascii="Arial" w:cs="Arial" w:eastAsia="Arial" w:hAnsi="Arial"/>
          <w:sz w:val="17"/>
          <w:szCs w:val="17"/>
          <w:u w:val="single" w:color="auto"/>
          <w:color w:val="0000EE"/>
        </w:rPr>
      </w:pPr>
    </w:p>
    <w:p>
      <w:pPr>
        <w:ind w:left="440"/>
        <w:spacing w:after="0"/>
        <w:tabs>
          <w:tab w:leader="none" w:pos="1240" w:val="left"/>
        </w:tabs>
        <w:rPr>
          <w:rFonts w:ascii="Arial" w:cs="Arial" w:eastAsia="Arial" w:hAnsi="Arial"/>
          <w:sz w:val="15"/>
          <w:szCs w:val="15"/>
          <w:u w:val="single" w:color="auto"/>
          <w:color w:val="0000EE"/>
        </w:rPr>
      </w:pPr>
      <w:hyperlink w:anchor="page91">
        <w:r>
          <w:rPr>
            <w:rFonts w:ascii="Arial" w:cs="Arial" w:eastAsia="Arial" w:hAnsi="Arial"/>
            <w:sz w:val="17"/>
            <w:szCs w:val="17"/>
            <w:u w:val="single" w:color="auto"/>
            <w:color w:val="0000EE"/>
          </w:rPr>
          <w:t>10.15</w:t>
        </w:r>
      </w:hyperlink>
      <w:r>
        <w:rPr>
          <w:rFonts w:ascii="Arial" w:cs="Arial" w:eastAsia="Arial" w:hAnsi="Arial"/>
          <w:sz w:val="17"/>
          <w:szCs w:val="17"/>
          <w:u w:val="single" w:color="auto"/>
          <w:color w:val="0000EE"/>
        </w:rPr>
        <w:tab/>
      </w:r>
      <w:hyperlink w:anchor="page91">
        <w:r>
          <w:rPr>
            <w:rFonts w:ascii="Arial" w:cs="Arial" w:eastAsia="Arial" w:hAnsi="Arial"/>
            <w:sz w:val="15"/>
            <w:szCs w:val="15"/>
            <w:u w:val="single" w:color="auto"/>
            <w:color w:val="0000EE"/>
          </w:rPr>
          <w:t>Director Compensation Arrangements</w:t>
        </w:r>
      </w:hyperlink>
    </w:p>
    <w:p>
      <w:pPr>
        <w:spacing w:after="0" w:line="209" w:lineRule="exact"/>
        <w:rPr>
          <w:sz w:val="20"/>
          <w:szCs w:val="20"/>
          <w:color w:val="auto"/>
        </w:rPr>
      </w:pPr>
    </w:p>
    <w:p>
      <w:pPr>
        <w:ind w:left="1260" w:hanging="822"/>
        <w:spacing w:after="0" w:line="271" w:lineRule="auto"/>
        <w:tabs>
          <w:tab w:leader="none" w:pos="1240" w:val="left"/>
        </w:tabs>
        <w:rPr>
          <w:rFonts w:ascii="Arial" w:cs="Arial" w:eastAsia="Arial" w:hAnsi="Arial"/>
          <w:sz w:val="17"/>
          <w:szCs w:val="17"/>
          <w:u w:val="single" w:color="auto"/>
          <w:color w:val="0000EE"/>
        </w:rPr>
      </w:pPr>
      <w:hyperlink r:id="rId164">
        <w:r>
          <w:rPr>
            <w:rFonts w:ascii="Arial" w:cs="Arial" w:eastAsia="Arial" w:hAnsi="Arial"/>
            <w:sz w:val="17"/>
            <w:szCs w:val="17"/>
            <w:u w:val="single" w:color="auto"/>
            <w:color w:val="0000EE"/>
          </w:rPr>
          <w:t>10.16</w:t>
        </w:r>
      </w:hyperlink>
      <w:r>
        <w:rPr>
          <w:rFonts w:ascii="Arial" w:cs="Arial" w:eastAsia="Arial" w:hAnsi="Arial"/>
          <w:sz w:val="17"/>
          <w:szCs w:val="17"/>
          <w:u w:val="single" w:color="auto"/>
          <w:color w:val="0000EE"/>
        </w:rPr>
        <w:tab/>
      </w:r>
      <w:hyperlink r:id="rId164">
        <w:r>
          <w:rPr>
            <w:rFonts w:ascii="Arial" w:cs="Arial" w:eastAsia="Arial" w:hAnsi="Arial"/>
            <w:sz w:val="17"/>
            <w:szCs w:val="17"/>
            <w:u w:val="single" w:color="auto"/>
            <w:color w:val="0000EE"/>
          </w:rPr>
          <w:t>Amendment No. 1 to the Harvard Bioscience, Inc. Employee Stock</w:t>
        </w:r>
      </w:hyperlink>
      <w:r>
        <w:rPr>
          <w:rFonts w:ascii="Arial" w:cs="Arial" w:eastAsia="Arial" w:hAnsi="Arial"/>
          <w:sz w:val="17"/>
          <w:szCs w:val="17"/>
          <w:u w:val="single" w:color="auto"/>
          <w:color w:val="0000EE"/>
        </w:rPr>
        <w:t xml:space="preserve"> </w:t>
      </w:r>
      <w:hyperlink r:id="rId164">
        <w:r>
          <w:rPr>
            <w:rFonts w:ascii="Arial" w:cs="Arial" w:eastAsia="Arial" w:hAnsi="Arial"/>
            <w:sz w:val="17"/>
            <w:szCs w:val="17"/>
            <w:u w:val="single" w:color="auto"/>
            <w:color w:val="0000EE"/>
          </w:rPr>
          <w:t>Purchase Plan, effective as of January 1, 2012</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303" w:lineRule="auto"/>
        <w:rPr>
          <w:rFonts w:ascii="Arial" w:cs="Arial" w:eastAsia="Arial" w:hAnsi="Arial"/>
          <w:sz w:val="16"/>
          <w:szCs w:val="16"/>
          <w:u w:val="single" w:color="auto"/>
          <w:color w:val="0000EE"/>
        </w:rPr>
      </w:pPr>
      <w:hyperlink r:id="rId163">
        <w:r>
          <w:rPr>
            <w:rFonts w:ascii="Arial" w:cs="Arial" w:eastAsia="Arial" w:hAnsi="Arial"/>
            <w:sz w:val="16"/>
            <w:szCs w:val="16"/>
            <w:u w:val="single" w:color="auto"/>
            <w:color w:val="0000EE"/>
          </w:rPr>
          <w:t>Previously filed as an exhibit to the Company’s Annual Report on Form 10-K</w:t>
        </w:r>
      </w:hyperlink>
      <w:r>
        <w:rPr>
          <w:rFonts w:ascii="Arial" w:cs="Arial" w:eastAsia="Arial" w:hAnsi="Arial"/>
          <w:sz w:val="16"/>
          <w:szCs w:val="16"/>
          <w:u w:val="single" w:color="auto"/>
          <w:color w:val="0000EE"/>
        </w:rPr>
        <w:t xml:space="preserve"> </w:t>
      </w:r>
      <w:hyperlink r:id="rId163">
        <w:r>
          <w:rPr>
            <w:rFonts w:ascii="Arial" w:cs="Arial" w:eastAsia="Arial" w:hAnsi="Arial"/>
            <w:sz w:val="16"/>
            <w:szCs w:val="16"/>
            <w:u w:val="single" w:color="auto"/>
            <w:color w:val="0000EE"/>
          </w:rPr>
          <w:t>(filed March 16, 2011) and incorporated by reference thereto</w:t>
        </w:r>
      </w:hyperlink>
    </w:p>
    <w:p>
      <w:pPr>
        <w:spacing w:after="0" w:line="345" w:lineRule="exact"/>
        <w:rPr>
          <w:sz w:val="20"/>
          <w:szCs w:val="20"/>
          <w:color w:val="auto"/>
        </w:rPr>
      </w:pPr>
    </w:p>
    <w:p>
      <w:pPr>
        <w:spacing w:after="0"/>
        <w:rPr>
          <w:rFonts w:ascii="Arial" w:cs="Arial" w:eastAsia="Arial" w:hAnsi="Arial"/>
          <w:sz w:val="17"/>
          <w:szCs w:val="17"/>
          <w:u w:val="single" w:color="auto"/>
          <w:color w:val="0000EE"/>
        </w:rPr>
      </w:pPr>
      <w:hyperlink w:anchor="page91">
        <w:r>
          <w:rPr>
            <w:rFonts w:ascii="Arial" w:cs="Arial" w:eastAsia="Arial" w:hAnsi="Arial"/>
            <w:sz w:val="17"/>
            <w:szCs w:val="17"/>
            <w:u w:val="single" w:color="auto"/>
            <w:color w:val="0000EE"/>
          </w:rPr>
          <w:t>Filed with this report</w:t>
        </w:r>
      </w:hyperlink>
    </w:p>
    <w:p>
      <w:pPr>
        <w:spacing w:after="0" w:line="209" w:lineRule="exact"/>
        <w:rPr>
          <w:sz w:val="20"/>
          <w:szCs w:val="20"/>
          <w:color w:val="auto"/>
        </w:rPr>
      </w:pPr>
    </w:p>
    <w:p>
      <w:pPr>
        <w:spacing w:after="0" w:line="303" w:lineRule="auto"/>
        <w:rPr>
          <w:rFonts w:ascii="Arial" w:cs="Arial" w:eastAsia="Arial" w:hAnsi="Arial"/>
          <w:sz w:val="16"/>
          <w:szCs w:val="16"/>
          <w:u w:val="single" w:color="auto"/>
          <w:color w:val="0000EE"/>
        </w:rPr>
      </w:pPr>
      <w:hyperlink r:id="rId164">
        <w:r>
          <w:rPr>
            <w:rFonts w:ascii="Arial" w:cs="Arial" w:eastAsia="Arial" w:hAnsi="Arial"/>
            <w:sz w:val="16"/>
            <w:szCs w:val="16"/>
            <w:u w:val="single" w:color="auto"/>
            <w:color w:val="0000EE"/>
          </w:rPr>
          <w:t>Previously filed as an exhibit to the Company’s Annual Report on Form 10-K</w:t>
        </w:r>
      </w:hyperlink>
      <w:r>
        <w:rPr>
          <w:rFonts w:ascii="Arial" w:cs="Arial" w:eastAsia="Arial" w:hAnsi="Arial"/>
          <w:sz w:val="16"/>
          <w:szCs w:val="16"/>
          <w:u w:val="single" w:color="auto"/>
          <w:color w:val="0000EE"/>
        </w:rPr>
        <w:t xml:space="preserve"> </w:t>
      </w:r>
      <w:hyperlink r:id="rId164">
        <w:r>
          <w:rPr>
            <w:rFonts w:ascii="Arial" w:cs="Arial" w:eastAsia="Arial" w:hAnsi="Arial"/>
            <w:sz w:val="16"/>
            <w:szCs w:val="16"/>
            <w:u w:val="single" w:color="auto"/>
            <w:color w:val="0000EE"/>
          </w:rPr>
          <w:t>(filed March 14, 2014) and incorporated by reference thereto</w:t>
        </w:r>
      </w:hyperlink>
    </w:p>
    <w:p>
      <w:pPr>
        <w:spacing w:after="0" w:line="143" w:lineRule="exact"/>
        <w:rPr>
          <w:sz w:val="20"/>
          <w:szCs w:val="20"/>
          <w:color w:val="auto"/>
        </w:rPr>
      </w:pPr>
    </w:p>
    <w:p>
      <w:pPr>
        <w:sectPr>
          <w:pgSz w:w="11900" w:h="16838" w:orient="portrait"/>
          <w:cols w:equalWidth="0" w:num="2">
            <w:col w:w="5800" w:space="260"/>
            <w:col w:w="5240"/>
          </w:cols>
          <w:pgMar w:left="240" w:top="210" w:right="359" w:bottom="1440" w:gutter="0" w:footer="0" w:header="0"/>
          <w:type w:val="continuous"/>
        </w:sectPr>
      </w:pPr>
    </w:p>
    <w:p>
      <w:pPr>
        <w:ind w:left="1260" w:right="20" w:hanging="822"/>
        <w:spacing w:after="0" w:line="260" w:lineRule="auto"/>
        <w:tabs>
          <w:tab w:leader="none" w:pos="1240" w:val="left"/>
        </w:tabs>
        <w:rPr>
          <w:rFonts w:ascii="Arial" w:cs="Arial" w:eastAsia="Arial" w:hAnsi="Arial"/>
          <w:sz w:val="17"/>
          <w:szCs w:val="17"/>
          <w:u w:val="single" w:color="auto"/>
          <w:color w:val="0000EE"/>
        </w:rPr>
      </w:pPr>
      <w:hyperlink r:id="rId165">
        <w:r>
          <w:rPr>
            <w:rFonts w:ascii="Arial" w:cs="Arial" w:eastAsia="Arial" w:hAnsi="Arial"/>
            <w:sz w:val="17"/>
            <w:szCs w:val="17"/>
            <w:u w:val="single" w:color="auto"/>
            <w:color w:val="0000EE"/>
          </w:rPr>
          <w:t>10.17</w:t>
        </w:r>
      </w:hyperlink>
      <w:r>
        <w:rPr>
          <w:rFonts w:ascii="Arial" w:cs="Arial" w:eastAsia="Arial" w:hAnsi="Arial"/>
          <w:sz w:val="17"/>
          <w:szCs w:val="17"/>
          <w:u w:val="single" w:color="auto"/>
          <w:color w:val="0000EE"/>
        </w:rPr>
        <w:tab/>
      </w:r>
      <w:hyperlink r:id="rId165">
        <w:r>
          <w:rPr>
            <w:rFonts w:ascii="Arial" w:cs="Arial" w:eastAsia="Arial" w:hAnsi="Arial"/>
            <w:sz w:val="17"/>
            <w:szCs w:val="17"/>
            <w:u w:val="single" w:color="auto"/>
            <w:color w:val="0000EE"/>
          </w:rPr>
          <w:t>First Amendment to Harvard Bioscience, Inc. Third Amended and</w:t>
        </w:r>
      </w:hyperlink>
      <w:r>
        <w:rPr>
          <w:rFonts w:ascii="Arial" w:cs="Arial" w:eastAsia="Arial" w:hAnsi="Arial"/>
          <w:sz w:val="17"/>
          <w:szCs w:val="17"/>
          <w:u w:val="single" w:color="auto"/>
          <w:color w:val="0000EE"/>
        </w:rPr>
        <w:t xml:space="preserve"> </w:t>
      </w:r>
      <w:hyperlink r:id="rId165">
        <w:r>
          <w:rPr>
            <w:rFonts w:ascii="Arial" w:cs="Arial" w:eastAsia="Arial" w:hAnsi="Arial"/>
            <w:sz w:val="17"/>
            <w:szCs w:val="17"/>
            <w:u w:val="single" w:color="auto"/>
            <w:color w:val="0000EE"/>
          </w:rPr>
          <w:t>Restated 2000 Stock Option and Incentive Plan, effective as of March</w:t>
        </w:r>
      </w:hyperlink>
      <w:r>
        <w:rPr>
          <w:rFonts w:ascii="Arial" w:cs="Arial" w:eastAsia="Arial" w:hAnsi="Arial"/>
          <w:sz w:val="17"/>
          <w:szCs w:val="17"/>
          <w:u w:val="single" w:color="auto"/>
          <w:color w:val="0000EE"/>
        </w:rPr>
        <w:t xml:space="preserve"> </w:t>
      </w:r>
      <w:hyperlink r:id="rId165">
        <w:r>
          <w:rPr>
            <w:rFonts w:ascii="Arial" w:cs="Arial" w:eastAsia="Arial" w:hAnsi="Arial"/>
            <w:sz w:val="17"/>
            <w:szCs w:val="17"/>
            <w:u w:val="single" w:color="auto"/>
            <w:color w:val="0000EE"/>
          </w:rPr>
          <w:t>9, 2013</w:t>
        </w:r>
      </w:hyperlink>
    </w:p>
    <w:p>
      <w:pPr>
        <w:spacing w:after="0" w:line="174" w:lineRule="exact"/>
        <w:rPr>
          <w:rFonts w:ascii="Arial" w:cs="Arial" w:eastAsia="Arial" w:hAnsi="Arial"/>
          <w:sz w:val="17"/>
          <w:szCs w:val="17"/>
          <w:u w:val="single" w:color="auto"/>
          <w:color w:val="0000EE"/>
        </w:rPr>
      </w:pPr>
    </w:p>
    <w:p>
      <w:pPr>
        <w:ind w:left="1260" w:hanging="822"/>
        <w:spacing w:after="0" w:line="277" w:lineRule="auto"/>
        <w:tabs>
          <w:tab w:leader="none" w:pos="1240" w:val="left"/>
        </w:tabs>
        <w:rPr>
          <w:rFonts w:ascii="Arial" w:cs="Arial" w:eastAsia="Arial" w:hAnsi="Arial"/>
          <w:sz w:val="16"/>
          <w:szCs w:val="16"/>
          <w:u w:val="single" w:color="auto"/>
          <w:color w:val="0000EE"/>
        </w:rPr>
      </w:pPr>
      <w:hyperlink r:id="rId166">
        <w:r>
          <w:rPr>
            <w:rFonts w:ascii="Arial" w:cs="Arial" w:eastAsia="Arial" w:hAnsi="Arial"/>
            <w:sz w:val="17"/>
            <w:szCs w:val="17"/>
            <w:u w:val="single" w:color="auto"/>
            <w:color w:val="0000EE"/>
          </w:rPr>
          <w:t>10.18</w:t>
        </w:r>
      </w:hyperlink>
      <w:r>
        <w:rPr>
          <w:rFonts w:ascii="Arial" w:cs="Arial" w:eastAsia="Arial" w:hAnsi="Arial"/>
          <w:sz w:val="17"/>
          <w:szCs w:val="17"/>
          <w:u w:val="single" w:color="auto"/>
          <w:color w:val="0000EE"/>
        </w:rPr>
        <w:tab/>
      </w:r>
      <w:hyperlink r:id="rId166">
        <w:r>
          <w:rPr>
            <w:rFonts w:ascii="Arial" w:cs="Arial" w:eastAsia="Arial" w:hAnsi="Arial"/>
            <w:sz w:val="16"/>
            <w:szCs w:val="16"/>
            <w:u w:val="single" w:color="auto"/>
            <w:color w:val="0000EE"/>
          </w:rPr>
          <w:t>Second Amended and Restated Revolving Credit Agreement, dated as</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of March 29, 2013, by and among Harvard Bioscience, Inc. and the</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Lenders from time to time party thereto, including Bank of America,</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N.A. and Brown Brothers Harriman &amp; Co.</w:t>
        </w:r>
      </w:hyperlink>
    </w:p>
    <w:p>
      <w:pPr>
        <w:spacing w:after="0" w:line="163" w:lineRule="exact"/>
        <w:rPr>
          <w:rFonts w:ascii="Arial" w:cs="Arial" w:eastAsia="Arial" w:hAnsi="Arial"/>
          <w:sz w:val="16"/>
          <w:szCs w:val="16"/>
          <w:u w:val="single" w:color="auto"/>
          <w:color w:val="0000EE"/>
        </w:rPr>
      </w:pPr>
    </w:p>
    <w:p>
      <w:pPr>
        <w:ind w:left="1260" w:right="200" w:hanging="822"/>
        <w:spacing w:after="0" w:line="271" w:lineRule="auto"/>
        <w:tabs>
          <w:tab w:leader="none" w:pos="1240" w:val="left"/>
        </w:tabs>
        <w:rPr>
          <w:rFonts w:ascii="Arial" w:cs="Arial" w:eastAsia="Arial" w:hAnsi="Arial"/>
          <w:sz w:val="17"/>
          <w:szCs w:val="17"/>
          <w:u w:val="single" w:color="auto"/>
          <w:color w:val="0000EE"/>
        </w:rPr>
      </w:pPr>
      <w:hyperlink r:id="rId167">
        <w:r>
          <w:rPr>
            <w:rFonts w:ascii="Arial" w:cs="Arial" w:eastAsia="Arial" w:hAnsi="Arial"/>
            <w:sz w:val="17"/>
            <w:szCs w:val="17"/>
            <w:u w:val="single" w:color="auto"/>
            <w:color w:val="0000EE"/>
          </w:rPr>
          <w:t>10.19</w:t>
        </w:r>
      </w:hyperlink>
      <w:r>
        <w:rPr>
          <w:rFonts w:ascii="Arial" w:cs="Arial" w:eastAsia="Arial" w:hAnsi="Arial"/>
          <w:sz w:val="17"/>
          <w:szCs w:val="17"/>
          <w:u w:val="single" w:color="auto"/>
          <w:color w:val="0000EE"/>
        </w:rPr>
        <w:tab/>
      </w:r>
      <w:hyperlink r:id="rId167">
        <w:r>
          <w:rPr>
            <w:rFonts w:ascii="Arial" w:cs="Arial" w:eastAsia="Arial" w:hAnsi="Arial"/>
            <w:sz w:val="17"/>
            <w:szCs w:val="17"/>
            <w:u w:val="single" w:color="auto"/>
            <w:color w:val="0000EE"/>
          </w:rPr>
          <w:t>Amendment No. 2 to the Harvard Bioscience, Inc. Employee Stock</w:t>
        </w:r>
      </w:hyperlink>
      <w:r>
        <w:rPr>
          <w:rFonts w:ascii="Arial" w:cs="Arial" w:eastAsia="Arial" w:hAnsi="Arial"/>
          <w:sz w:val="17"/>
          <w:szCs w:val="17"/>
          <w:u w:val="single" w:color="auto"/>
          <w:color w:val="0000EE"/>
        </w:rPr>
        <w:t xml:space="preserve"> </w:t>
      </w:r>
      <w:hyperlink r:id="rId167">
        <w:r>
          <w:rPr>
            <w:rFonts w:ascii="Arial" w:cs="Arial" w:eastAsia="Arial" w:hAnsi="Arial"/>
            <w:sz w:val="17"/>
            <w:szCs w:val="17"/>
            <w:u w:val="single" w:color="auto"/>
            <w:color w:val="0000EE"/>
          </w:rPr>
          <w:t>Purchase Plan, effective as of May 23, 2013</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303" w:lineRule="auto"/>
        <w:rPr>
          <w:rFonts w:ascii="Arial" w:cs="Arial" w:eastAsia="Arial" w:hAnsi="Arial"/>
          <w:sz w:val="16"/>
          <w:szCs w:val="16"/>
          <w:u w:val="single" w:color="auto"/>
          <w:color w:val="0000EE"/>
        </w:rPr>
      </w:pPr>
      <w:hyperlink r:id="rId165">
        <w:r>
          <w:rPr>
            <w:rFonts w:ascii="Arial" w:cs="Arial" w:eastAsia="Arial" w:hAnsi="Arial"/>
            <w:sz w:val="16"/>
            <w:szCs w:val="16"/>
            <w:u w:val="single" w:color="auto"/>
            <w:color w:val="0000EE"/>
          </w:rPr>
          <w:t>Previously filed as an exhibit to the Company’s Annual Report on Form 10-K</w:t>
        </w:r>
      </w:hyperlink>
      <w:r>
        <w:rPr>
          <w:rFonts w:ascii="Arial" w:cs="Arial" w:eastAsia="Arial" w:hAnsi="Arial"/>
          <w:sz w:val="16"/>
          <w:szCs w:val="16"/>
          <w:u w:val="single" w:color="auto"/>
          <w:color w:val="0000EE"/>
        </w:rPr>
        <w:t xml:space="preserve"> </w:t>
      </w:r>
      <w:hyperlink r:id="rId165">
        <w:r>
          <w:rPr>
            <w:rFonts w:ascii="Arial" w:cs="Arial" w:eastAsia="Arial" w:hAnsi="Arial"/>
            <w:sz w:val="16"/>
            <w:szCs w:val="16"/>
            <w:u w:val="single" w:color="auto"/>
            <w:color w:val="0000EE"/>
          </w:rPr>
          <w:t>(filed March 14, 2014) and incorporated by reference thereto</w:t>
        </w:r>
      </w:hyperlink>
    </w:p>
    <w:p>
      <w:pPr>
        <w:spacing w:after="0" w:line="345" w:lineRule="exact"/>
        <w:rPr>
          <w:sz w:val="20"/>
          <w:szCs w:val="20"/>
          <w:color w:val="auto"/>
        </w:rPr>
      </w:pPr>
    </w:p>
    <w:p>
      <w:pPr>
        <w:ind w:right="60"/>
        <w:spacing w:after="0" w:line="271" w:lineRule="auto"/>
        <w:rPr>
          <w:rFonts w:ascii="Arial" w:cs="Arial" w:eastAsia="Arial" w:hAnsi="Arial"/>
          <w:sz w:val="17"/>
          <w:szCs w:val="17"/>
          <w:u w:val="single" w:color="auto"/>
          <w:color w:val="0000EE"/>
        </w:rPr>
      </w:pPr>
      <w:hyperlink r:id="rId166">
        <w:r>
          <w:rPr>
            <w:rFonts w:ascii="Arial" w:cs="Arial" w:eastAsia="Arial" w:hAnsi="Arial"/>
            <w:sz w:val="17"/>
            <w:szCs w:val="17"/>
            <w:u w:val="single" w:color="auto"/>
            <w:color w:val="0000EE"/>
          </w:rPr>
          <w:t>Previously filed as an exhibit to the Company’s Current Report on Form 8-K</w:t>
        </w:r>
      </w:hyperlink>
      <w:r>
        <w:rPr>
          <w:rFonts w:ascii="Arial" w:cs="Arial" w:eastAsia="Arial" w:hAnsi="Arial"/>
          <w:sz w:val="17"/>
          <w:szCs w:val="17"/>
          <w:u w:val="single" w:color="auto"/>
          <w:color w:val="0000EE"/>
        </w:rPr>
        <w:t xml:space="preserve"> </w:t>
      </w:r>
      <w:hyperlink r:id="rId166">
        <w:r>
          <w:rPr>
            <w:rFonts w:ascii="Arial" w:cs="Arial" w:eastAsia="Arial" w:hAnsi="Arial"/>
            <w:sz w:val="17"/>
            <w:szCs w:val="17"/>
            <w:u w:val="single" w:color="auto"/>
            <w:color w:val="0000EE"/>
          </w:rPr>
          <w:t>(filed April 3, 2013) and incorporated by reference thereto</w:t>
        </w:r>
      </w:hyperlink>
    </w:p>
    <w:p>
      <w:pPr>
        <w:spacing w:after="0" w:line="200" w:lineRule="exact"/>
        <w:rPr>
          <w:sz w:val="20"/>
          <w:szCs w:val="20"/>
          <w:color w:val="auto"/>
        </w:rPr>
      </w:pPr>
    </w:p>
    <w:p>
      <w:pPr>
        <w:spacing w:after="0" w:line="371" w:lineRule="exact"/>
        <w:rPr>
          <w:sz w:val="20"/>
          <w:szCs w:val="20"/>
          <w:color w:val="auto"/>
        </w:rPr>
      </w:pPr>
    </w:p>
    <w:p>
      <w:pPr>
        <w:spacing w:after="0" w:line="303" w:lineRule="auto"/>
        <w:rPr>
          <w:rFonts w:ascii="Arial" w:cs="Arial" w:eastAsia="Arial" w:hAnsi="Arial"/>
          <w:sz w:val="16"/>
          <w:szCs w:val="16"/>
          <w:u w:val="single" w:color="auto"/>
          <w:color w:val="0000EE"/>
        </w:rPr>
      </w:pPr>
      <w:hyperlink r:id="rId167">
        <w:r>
          <w:rPr>
            <w:rFonts w:ascii="Arial" w:cs="Arial" w:eastAsia="Arial" w:hAnsi="Arial"/>
            <w:sz w:val="16"/>
            <w:szCs w:val="16"/>
            <w:u w:val="single" w:color="auto"/>
            <w:color w:val="0000EE"/>
          </w:rPr>
          <w:t>Previously filed as an exhibit to the Company’s Annual Report on Form 10-K</w:t>
        </w:r>
      </w:hyperlink>
      <w:r>
        <w:rPr>
          <w:rFonts w:ascii="Arial" w:cs="Arial" w:eastAsia="Arial" w:hAnsi="Arial"/>
          <w:sz w:val="16"/>
          <w:szCs w:val="16"/>
          <w:u w:val="single" w:color="auto"/>
          <w:color w:val="0000EE"/>
        </w:rPr>
        <w:t xml:space="preserve"> </w:t>
      </w:r>
      <w:hyperlink r:id="rId167">
        <w:r>
          <w:rPr>
            <w:rFonts w:ascii="Arial" w:cs="Arial" w:eastAsia="Arial" w:hAnsi="Arial"/>
            <w:sz w:val="16"/>
            <w:szCs w:val="16"/>
            <w:u w:val="single" w:color="auto"/>
            <w:color w:val="0000EE"/>
          </w:rPr>
          <w:t>(filed March 14, 2014) and incorporated by reference thereto</w:t>
        </w:r>
      </w:hyperlink>
    </w:p>
    <w:p>
      <w:pPr>
        <w:spacing w:after="0" w:line="143" w:lineRule="exact"/>
        <w:rPr>
          <w:sz w:val="20"/>
          <w:szCs w:val="20"/>
          <w:color w:val="auto"/>
        </w:rPr>
      </w:pPr>
    </w:p>
    <w:p>
      <w:pPr>
        <w:sectPr>
          <w:pgSz w:w="11900" w:h="16838" w:orient="portrait"/>
          <w:cols w:equalWidth="0" w:num="2">
            <w:col w:w="6000" w:space="60"/>
            <w:col w:w="5240"/>
          </w:cols>
          <w:pgMar w:left="240" w:top="210" w:right="359" w:bottom="1440" w:gutter="0" w:footer="0" w:header="0"/>
          <w:type w:val="continuous"/>
        </w:sectPr>
      </w:pPr>
    </w:p>
    <w:p>
      <w:pPr>
        <w:ind w:left="1260" w:hanging="822"/>
        <w:spacing w:after="0" w:line="271" w:lineRule="auto"/>
        <w:tabs>
          <w:tab w:leader="none" w:pos="1240" w:val="left"/>
        </w:tabs>
        <w:rPr>
          <w:rFonts w:ascii="Arial" w:cs="Arial" w:eastAsia="Arial" w:hAnsi="Arial"/>
          <w:sz w:val="16"/>
          <w:szCs w:val="16"/>
          <w:u w:val="single" w:color="auto"/>
          <w:color w:val="0000EE"/>
        </w:rPr>
      </w:pPr>
      <w:hyperlink r:id="rId168">
        <w:r>
          <w:rPr>
            <w:rFonts w:ascii="Arial" w:cs="Arial" w:eastAsia="Arial" w:hAnsi="Arial"/>
            <w:sz w:val="17"/>
            <w:szCs w:val="17"/>
            <w:u w:val="single" w:color="auto"/>
            <w:color w:val="0000EE"/>
          </w:rPr>
          <w:t>10.20</w:t>
        </w:r>
      </w:hyperlink>
      <w:r>
        <w:rPr>
          <w:rFonts w:ascii="Arial" w:cs="Arial" w:eastAsia="Arial" w:hAnsi="Arial"/>
          <w:sz w:val="17"/>
          <w:szCs w:val="17"/>
          <w:u w:val="single" w:color="auto"/>
          <w:color w:val="0000EE"/>
        </w:rPr>
        <w:tab/>
      </w:r>
      <w:hyperlink r:id="rId168">
        <w:r>
          <w:rPr>
            <w:rFonts w:ascii="Arial" w:cs="Arial" w:eastAsia="Arial" w:hAnsi="Arial"/>
            <w:sz w:val="16"/>
            <w:szCs w:val="16"/>
            <w:u w:val="single" w:color="auto"/>
            <w:color w:val="0000EE"/>
          </w:rPr>
          <w:t>First Amendment to Second Amended and Restated Credit Agreement Previously filed as an exhibit to the Company’s Annual Report on Form 10-K</w:t>
        </w:r>
      </w:hyperlink>
      <w:r>
        <w:rPr>
          <w:rFonts w:ascii="Arial" w:cs="Arial" w:eastAsia="Arial" w:hAnsi="Arial"/>
          <w:sz w:val="16"/>
          <w:szCs w:val="16"/>
          <w:u w:val="single" w:color="auto"/>
          <w:color w:val="0000EE"/>
        </w:rPr>
        <w:t xml:space="preserve"> </w:t>
      </w:r>
      <w:hyperlink r:id="rId168">
        <w:r>
          <w:rPr>
            <w:rFonts w:ascii="Arial" w:cs="Arial" w:eastAsia="Arial" w:hAnsi="Arial"/>
            <w:sz w:val="16"/>
            <w:szCs w:val="16"/>
            <w:u w:val="single" w:color="auto"/>
            <w:color w:val="0000EE"/>
          </w:rPr>
          <w:t>dated as of May 30, 2013, with an effective date as of April 30, 2013, (filed March 14, 2014) and incorporated by reference thereto</w:t>
        </w:r>
      </w:hyperlink>
    </w:p>
    <w:p>
      <w:pPr>
        <w:spacing w:after="0" w:line="1" w:lineRule="exact"/>
        <w:rPr>
          <w:rFonts w:ascii="Arial" w:cs="Arial" w:eastAsia="Arial" w:hAnsi="Arial"/>
          <w:sz w:val="17"/>
          <w:szCs w:val="17"/>
          <w:u w:val="single" w:color="auto"/>
          <w:color w:val="0000EE"/>
        </w:rPr>
      </w:pPr>
    </w:p>
    <w:p>
      <w:pPr>
        <w:ind w:left="1260"/>
        <w:spacing w:after="0"/>
        <w:rPr>
          <w:rFonts w:ascii="Arial" w:cs="Arial" w:eastAsia="Arial" w:hAnsi="Arial"/>
          <w:sz w:val="17"/>
          <w:szCs w:val="17"/>
          <w:u w:val="single" w:color="auto"/>
          <w:color w:val="0000EE"/>
        </w:rPr>
      </w:pPr>
      <w:hyperlink r:id="rId168">
        <w:r>
          <w:rPr>
            <w:rFonts w:ascii="Arial" w:cs="Arial" w:eastAsia="Arial" w:hAnsi="Arial"/>
            <w:sz w:val="17"/>
            <w:szCs w:val="17"/>
            <w:u w:val="single" w:color="auto"/>
            <w:color w:val="0000EE"/>
          </w:rPr>
          <w:t>by and among Harvard Bioscience, Inc. Bank of America, N.A. and</w:t>
        </w:r>
      </w:hyperlink>
    </w:p>
    <w:p>
      <w:pPr>
        <w:spacing w:after="0" w:line="7" w:lineRule="exact"/>
        <w:rPr>
          <w:rFonts w:ascii="Arial" w:cs="Arial" w:eastAsia="Arial" w:hAnsi="Arial"/>
          <w:sz w:val="17"/>
          <w:szCs w:val="17"/>
          <w:u w:val="single" w:color="auto"/>
          <w:color w:val="0000EE"/>
        </w:rPr>
      </w:pPr>
    </w:p>
    <w:p>
      <w:pPr>
        <w:ind w:left="1260"/>
        <w:spacing w:after="0"/>
        <w:rPr>
          <w:rFonts w:ascii="Arial" w:cs="Arial" w:eastAsia="Arial" w:hAnsi="Arial"/>
          <w:sz w:val="17"/>
          <w:szCs w:val="17"/>
          <w:u w:val="single" w:color="auto"/>
          <w:color w:val="0000EE"/>
        </w:rPr>
      </w:pPr>
      <w:hyperlink r:id="rId168">
        <w:r>
          <w:rPr>
            <w:rFonts w:ascii="Arial" w:cs="Arial" w:eastAsia="Arial" w:hAnsi="Arial"/>
            <w:sz w:val="17"/>
            <w:szCs w:val="17"/>
            <w:u w:val="single" w:color="auto"/>
            <w:color w:val="0000EE"/>
          </w:rPr>
          <w:t>Brown Brothers Harriman &amp; Co.</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635</wp:posOffset>
            </wp:positionH>
            <wp:positionV relativeFrom="paragraph">
              <wp:posOffset>278130</wp:posOffset>
            </wp:positionV>
            <wp:extent cx="7255510"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00"/>
          </w:cols>
          <w:pgMar w:left="240" w:top="210" w:right="359" w:bottom="1440" w:gutter="0" w:footer="0" w:header="0"/>
          <w:type w:val="continuous"/>
        </w:sectPr>
      </w:pPr>
    </w:p>
    <w:bookmarkStart w:id="86" w:name="page87"/>
    <w:bookmarkEnd w:id="8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5" w:lineRule="exact"/>
        <w:rPr>
          <w:sz w:val="20"/>
          <w:szCs w:val="20"/>
          <w:color w:val="auto"/>
        </w:rPr>
      </w:pPr>
    </w:p>
    <w:p>
      <w:pPr>
        <w:ind w:left="1260" w:right="180" w:hanging="885"/>
        <w:spacing w:after="0" w:line="271" w:lineRule="auto"/>
        <w:tabs>
          <w:tab w:leader="none" w:pos="1240" w:val="left"/>
        </w:tabs>
        <w:rPr>
          <w:rFonts w:ascii="Arial" w:cs="Arial" w:eastAsia="Arial" w:hAnsi="Arial"/>
          <w:sz w:val="17"/>
          <w:szCs w:val="17"/>
          <w:u w:val="single" w:color="auto"/>
          <w:color w:val="0000EE"/>
        </w:rPr>
      </w:pPr>
      <w:hyperlink r:id="rId170">
        <w:r>
          <w:rPr>
            <w:rFonts w:ascii="Arial" w:cs="Arial" w:eastAsia="Arial" w:hAnsi="Arial"/>
            <w:sz w:val="17"/>
            <w:szCs w:val="17"/>
            <w:u w:val="single" w:color="auto"/>
            <w:color w:val="0000EE"/>
          </w:rPr>
          <w:t>10.21 #</w:t>
        </w:r>
      </w:hyperlink>
      <w:r>
        <w:rPr>
          <w:rFonts w:ascii="Arial" w:cs="Arial" w:eastAsia="Arial" w:hAnsi="Arial"/>
          <w:sz w:val="17"/>
          <w:szCs w:val="17"/>
          <w:u w:val="single" w:color="auto"/>
          <w:color w:val="0000EE"/>
        </w:rPr>
        <w:tab/>
      </w:r>
      <w:hyperlink r:id="rId170">
        <w:r>
          <w:rPr>
            <w:rFonts w:ascii="Arial" w:cs="Arial" w:eastAsia="Arial" w:hAnsi="Arial"/>
            <w:sz w:val="17"/>
            <w:szCs w:val="17"/>
            <w:u w:val="single" w:color="auto"/>
            <w:color w:val="0000EE"/>
          </w:rPr>
          <w:t>Employment Agreement, dated August 26, 2013, between Harvard</w:t>
        </w:r>
      </w:hyperlink>
      <w:r>
        <w:rPr>
          <w:rFonts w:ascii="Arial" w:cs="Arial" w:eastAsia="Arial" w:hAnsi="Arial"/>
          <w:sz w:val="17"/>
          <w:szCs w:val="17"/>
          <w:u w:val="single" w:color="auto"/>
          <w:color w:val="0000EE"/>
        </w:rPr>
        <w:t xml:space="preserve"> </w:t>
      </w:r>
      <w:hyperlink r:id="rId170">
        <w:r>
          <w:rPr>
            <w:rFonts w:ascii="Arial" w:cs="Arial" w:eastAsia="Arial" w:hAnsi="Arial"/>
            <w:sz w:val="17"/>
            <w:szCs w:val="17"/>
            <w:u w:val="single" w:color="auto"/>
            <w:color w:val="0000EE"/>
          </w:rPr>
          <w:t>Bioscience, Inc. and Jeffrey A. Duchemin</w:t>
        </w:r>
      </w:hyperlink>
    </w:p>
    <w:p>
      <w:pPr>
        <w:spacing w:after="0" w:line="166" w:lineRule="exact"/>
        <w:rPr>
          <w:rFonts w:ascii="Arial" w:cs="Arial" w:eastAsia="Arial" w:hAnsi="Arial"/>
          <w:sz w:val="17"/>
          <w:szCs w:val="17"/>
          <w:u w:val="single" w:color="auto"/>
          <w:color w:val="0000EE"/>
        </w:rPr>
      </w:pPr>
    </w:p>
    <w:p>
      <w:pPr>
        <w:ind w:left="1260" w:right="120" w:hanging="885"/>
        <w:spacing w:after="0" w:line="271" w:lineRule="auto"/>
        <w:tabs>
          <w:tab w:leader="none" w:pos="1240" w:val="left"/>
        </w:tabs>
        <w:rPr>
          <w:rFonts w:ascii="Arial" w:cs="Arial" w:eastAsia="Arial" w:hAnsi="Arial"/>
          <w:sz w:val="17"/>
          <w:szCs w:val="17"/>
          <w:u w:val="single" w:color="auto"/>
          <w:color w:val="0000EE"/>
        </w:rPr>
      </w:pPr>
      <w:hyperlink r:id="rId171">
        <w:r>
          <w:rPr>
            <w:rFonts w:ascii="Arial" w:cs="Arial" w:eastAsia="Arial" w:hAnsi="Arial"/>
            <w:sz w:val="17"/>
            <w:szCs w:val="17"/>
            <w:u w:val="single" w:color="auto"/>
            <w:color w:val="0000EE"/>
          </w:rPr>
          <w:t>10.22 #</w:t>
        </w:r>
      </w:hyperlink>
      <w:r>
        <w:rPr>
          <w:rFonts w:ascii="Arial" w:cs="Arial" w:eastAsia="Arial" w:hAnsi="Arial"/>
          <w:sz w:val="17"/>
          <w:szCs w:val="17"/>
          <w:u w:val="single" w:color="auto"/>
          <w:color w:val="0000EE"/>
        </w:rPr>
        <w:tab/>
      </w:r>
      <w:hyperlink r:id="rId171">
        <w:r>
          <w:rPr>
            <w:rFonts w:ascii="Arial" w:cs="Arial" w:eastAsia="Arial" w:hAnsi="Arial"/>
            <w:sz w:val="17"/>
            <w:szCs w:val="17"/>
            <w:u w:val="single" w:color="auto"/>
            <w:color w:val="0000EE"/>
          </w:rPr>
          <w:t>Offer letter dated September 30, 2013 between Harvard Bioscience,</w:t>
        </w:r>
      </w:hyperlink>
      <w:r>
        <w:rPr>
          <w:rFonts w:ascii="Arial" w:cs="Arial" w:eastAsia="Arial" w:hAnsi="Arial"/>
          <w:sz w:val="17"/>
          <w:szCs w:val="17"/>
          <w:u w:val="single" w:color="auto"/>
          <w:color w:val="0000EE"/>
        </w:rPr>
        <w:t xml:space="preserve"> </w:t>
      </w:r>
      <w:hyperlink r:id="rId171">
        <w:r>
          <w:rPr>
            <w:rFonts w:ascii="Arial" w:cs="Arial" w:eastAsia="Arial" w:hAnsi="Arial"/>
            <w:sz w:val="17"/>
            <w:szCs w:val="17"/>
            <w:u w:val="single" w:color="auto"/>
            <w:color w:val="0000EE"/>
          </w:rPr>
          <w:t>Inc. and Yong Sun</w:t>
        </w:r>
      </w:hyperlink>
    </w:p>
    <w:p>
      <w:pPr>
        <w:spacing w:after="0" w:line="166" w:lineRule="exact"/>
        <w:rPr>
          <w:rFonts w:ascii="Arial" w:cs="Arial" w:eastAsia="Arial" w:hAnsi="Arial"/>
          <w:sz w:val="17"/>
          <w:szCs w:val="17"/>
          <w:u w:val="single" w:color="auto"/>
          <w:color w:val="0000EE"/>
        </w:rPr>
      </w:pPr>
    </w:p>
    <w:p>
      <w:pPr>
        <w:ind w:left="1260" w:right="200" w:hanging="885"/>
        <w:spacing w:after="0" w:line="271" w:lineRule="auto"/>
        <w:tabs>
          <w:tab w:leader="none" w:pos="1240" w:val="left"/>
        </w:tabs>
        <w:rPr>
          <w:rFonts w:ascii="Arial" w:cs="Arial" w:eastAsia="Arial" w:hAnsi="Arial"/>
          <w:sz w:val="17"/>
          <w:szCs w:val="17"/>
          <w:u w:val="single" w:color="auto"/>
          <w:color w:val="0000EE"/>
        </w:rPr>
      </w:pPr>
      <w:hyperlink r:id="rId172">
        <w:r>
          <w:rPr>
            <w:rFonts w:ascii="Arial" w:cs="Arial" w:eastAsia="Arial" w:hAnsi="Arial"/>
            <w:sz w:val="17"/>
            <w:szCs w:val="17"/>
            <w:u w:val="single" w:color="auto"/>
            <w:color w:val="0000EE"/>
          </w:rPr>
          <w:t>10.23 #</w:t>
        </w:r>
      </w:hyperlink>
      <w:r>
        <w:rPr>
          <w:rFonts w:ascii="Arial" w:cs="Arial" w:eastAsia="Arial" w:hAnsi="Arial"/>
          <w:sz w:val="17"/>
          <w:szCs w:val="17"/>
          <w:u w:val="single" w:color="auto"/>
          <w:color w:val="0000EE"/>
        </w:rPr>
        <w:tab/>
      </w:r>
      <w:hyperlink r:id="rId172">
        <w:r>
          <w:rPr>
            <w:rFonts w:ascii="Arial" w:cs="Arial" w:eastAsia="Arial" w:hAnsi="Arial"/>
            <w:sz w:val="17"/>
            <w:szCs w:val="17"/>
            <w:u w:val="single" w:color="auto"/>
            <w:color w:val="0000EE"/>
          </w:rPr>
          <w:t>Employment Agreement, dated October 2, 2013, between Harvard</w:t>
        </w:r>
      </w:hyperlink>
      <w:r>
        <w:rPr>
          <w:rFonts w:ascii="Arial" w:cs="Arial" w:eastAsia="Arial" w:hAnsi="Arial"/>
          <w:sz w:val="17"/>
          <w:szCs w:val="17"/>
          <w:u w:val="single" w:color="auto"/>
          <w:color w:val="0000EE"/>
        </w:rPr>
        <w:t xml:space="preserve"> </w:t>
      </w:r>
      <w:hyperlink r:id="rId172">
        <w:r>
          <w:rPr>
            <w:rFonts w:ascii="Arial" w:cs="Arial" w:eastAsia="Arial" w:hAnsi="Arial"/>
            <w:sz w:val="17"/>
            <w:szCs w:val="17"/>
            <w:u w:val="single" w:color="auto"/>
            <w:color w:val="0000EE"/>
          </w:rPr>
          <w:t>Bioscience, Inc. and Robert E. Gagnon</w:t>
        </w:r>
      </w:hyperlink>
    </w:p>
    <w:p>
      <w:pPr>
        <w:spacing w:after="0" w:line="166" w:lineRule="exact"/>
        <w:rPr>
          <w:rFonts w:ascii="Arial" w:cs="Arial" w:eastAsia="Arial" w:hAnsi="Arial"/>
          <w:sz w:val="17"/>
          <w:szCs w:val="17"/>
          <w:u w:val="single" w:color="auto"/>
          <w:color w:val="0000EE"/>
        </w:rPr>
      </w:pPr>
    </w:p>
    <w:p>
      <w:pPr>
        <w:ind w:left="1260" w:hanging="822"/>
        <w:spacing w:after="0" w:line="256" w:lineRule="auto"/>
        <w:tabs>
          <w:tab w:leader="none" w:pos="1240" w:val="left"/>
        </w:tabs>
        <w:rPr>
          <w:rFonts w:ascii="Arial" w:cs="Arial" w:eastAsia="Arial" w:hAnsi="Arial"/>
          <w:sz w:val="17"/>
          <w:szCs w:val="17"/>
          <w:u w:val="single" w:color="auto"/>
          <w:color w:val="0000EE"/>
        </w:rPr>
      </w:pPr>
      <w:hyperlink r:id="rId173">
        <w:r>
          <w:rPr>
            <w:rFonts w:ascii="Arial" w:cs="Arial" w:eastAsia="Arial" w:hAnsi="Arial"/>
            <w:sz w:val="17"/>
            <w:szCs w:val="17"/>
            <w:u w:val="single" w:color="auto"/>
            <w:color w:val="0000EE"/>
          </w:rPr>
          <w:t>10.24</w:t>
        </w:r>
      </w:hyperlink>
      <w:r>
        <w:rPr>
          <w:rFonts w:ascii="Arial" w:cs="Arial" w:eastAsia="Arial" w:hAnsi="Arial"/>
          <w:sz w:val="17"/>
          <w:szCs w:val="17"/>
          <w:u w:val="single" w:color="auto"/>
          <w:color w:val="0000EE"/>
        </w:rPr>
        <w:tab/>
      </w:r>
      <w:hyperlink r:id="rId173">
        <w:r>
          <w:rPr>
            <w:rFonts w:ascii="Arial" w:cs="Arial" w:eastAsia="Arial" w:hAnsi="Arial"/>
            <w:sz w:val="17"/>
            <w:szCs w:val="17"/>
            <w:u w:val="single" w:color="auto"/>
            <w:color w:val="0000EE"/>
          </w:rPr>
          <w:t>Second Amendment to Second Amended and Restated Credit</w:t>
        </w:r>
      </w:hyperlink>
      <w:r>
        <w:rPr>
          <w:rFonts w:ascii="Arial" w:cs="Arial" w:eastAsia="Arial" w:hAnsi="Arial"/>
          <w:sz w:val="17"/>
          <w:szCs w:val="17"/>
          <w:u w:val="single" w:color="auto"/>
          <w:color w:val="0000EE"/>
        </w:rPr>
        <w:t xml:space="preserve"> </w:t>
      </w:r>
      <w:hyperlink r:id="rId173">
        <w:r>
          <w:rPr>
            <w:rFonts w:ascii="Arial" w:cs="Arial" w:eastAsia="Arial" w:hAnsi="Arial"/>
            <w:sz w:val="17"/>
            <w:szCs w:val="17"/>
            <w:u w:val="single" w:color="auto"/>
            <w:color w:val="0000EE"/>
          </w:rPr>
          <w:t>Agreement and Waiver dated as of October 31, 2013, by and among</w:t>
        </w:r>
      </w:hyperlink>
      <w:r>
        <w:rPr>
          <w:rFonts w:ascii="Arial" w:cs="Arial" w:eastAsia="Arial" w:hAnsi="Arial"/>
          <w:sz w:val="17"/>
          <w:szCs w:val="17"/>
          <w:u w:val="single" w:color="auto"/>
          <w:color w:val="0000EE"/>
        </w:rPr>
        <w:t xml:space="preserve"> </w:t>
      </w:r>
      <w:hyperlink r:id="rId173">
        <w:r>
          <w:rPr>
            <w:rFonts w:ascii="Arial" w:cs="Arial" w:eastAsia="Arial" w:hAnsi="Arial"/>
            <w:sz w:val="17"/>
            <w:szCs w:val="17"/>
            <w:u w:val="single" w:color="auto"/>
            <w:color w:val="0000EE"/>
          </w:rPr>
          <w:t>Harvard Bioscience, Inc. Bank of America, N.A. and Brown Brothers</w:t>
        </w:r>
      </w:hyperlink>
      <w:r>
        <w:rPr>
          <w:rFonts w:ascii="Arial" w:cs="Arial" w:eastAsia="Arial" w:hAnsi="Arial"/>
          <w:sz w:val="17"/>
          <w:szCs w:val="17"/>
          <w:u w:val="single" w:color="auto"/>
          <w:color w:val="0000EE"/>
        </w:rPr>
        <w:t xml:space="preserve"> </w:t>
      </w:r>
      <w:hyperlink r:id="rId173">
        <w:r>
          <w:rPr>
            <w:rFonts w:ascii="Arial" w:cs="Arial" w:eastAsia="Arial" w:hAnsi="Arial"/>
            <w:sz w:val="17"/>
            <w:szCs w:val="17"/>
            <w:u w:val="single" w:color="auto"/>
            <w:color w:val="0000EE"/>
          </w:rPr>
          <w:t>Harriman &amp; Co.</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200" w:lineRule="exact"/>
        <w:rPr>
          <w:rFonts w:ascii="Arial" w:cs="Arial" w:eastAsia="Arial" w:hAnsi="Arial"/>
          <w:sz w:val="17"/>
          <w:szCs w:val="17"/>
          <w:u w:val="single" w:color="auto"/>
          <w:color w:val="0000EE"/>
        </w:rPr>
      </w:pPr>
    </w:p>
    <w:p>
      <w:pPr>
        <w:spacing w:after="0" w:line="210" w:lineRule="exact"/>
        <w:rPr>
          <w:rFonts w:ascii="Arial" w:cs="Arial" w:eastAsia="Arial" w:hAnsi="Arial"/>
          <w:sz w:val="17"/>
          <w:szCs w:val="17"/>
          <w:u w:val="single" w:color="auto"/>
          <w:color w:val="0000EE"/>
        </w:rPr>
      </w:pPr>
    </w:p>
    <w:p>
      <w:pPr>
        <w:ind w:right="100"/>
        <w:spacing w:after="0" w:line="303" w:lineRule="auto"/>
        <w:rPr>
          <w:rFonts w:ascii="Arial" w:cs="Arial" w:eastAsia="Arial" w:hAnsi="Arial"/>
          <w:sz w:val="16"/>
          <w:szCs w:val="16"/>
          <w:u w:val="single" w:color="auto"/>
          <w:color w:val="0000EE"/>
        </w:rPr>
      </w:pPr>
      <w:hyperlink r:id="rId170">
        <w:r>
          <w:rPr>
            <w:rFonts w:ascii="Arial" w:cs="Arial" w:eastAsia="Arial" w:hAnsi="Arial"/>
            <w:sz w:val="16"/>
            <w:szCs w:val="16"/>
            <w:u w:val="single" w:color="auto"/>
            <w:color w:val="0000EE"/>
          </w:rPr>
          <w:t>Previously filed as an exhibit to the Company’s Current Report on Form 8-K</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(filed August 29, 2013) and incorporated by reference thereto</w:t>
        </w:r>
      </w:hyperlink>
    </w:p>
    <w:p>
      <w:pPr>
        <w:spacing w:after="0" w:line="143" w:lineRule="exact"/>
        <w:rPr>
          <w:sz w:val="20"/>
          <w:szCs w:val="20"/>
          <w:color w:val="auto"/>
        </w:rPr>
      </w:pPr>
    </w:p>
    <w:p>
      <w:pPr>
        <w:ind w:right="100"/>
        <w:spacing w:after="0" w:line="303" w:lineRule="auto"/>
        <w:rPr>
          <w:rFonts w:ascii="Arial" w:cs="Arial" w:eastAsia="Arial" w:hAnsi="Arial"/>
          <w:sz w:val="16"/>
          <w:szCs w:val="16"/>
          <w:u w:val="single" w:color="auto"/>
          <w:color w:val="0000EE"/>
        </w:rPr>
      </w:pPr>
      <w:hyperlink r:id="rId171">
        <w:r>
          <w:rPr>
            <w:rFonts w:ascii="Arial" w:cs="Arial" w:eastAsia="Arial" w:hAnsi="Arial"/>
            <w:sz w:val="16"/>
            <w:szCs w:val="16"/>
            <w:u w:val="single" w:color="auto"/>
            <w:color w:val="0000EE"/>
          </w:rPr>
          <w:t>Previously filed as an exhibit to the Company’s Current Report on Form 8-K</w:t>
        </w:r>
      </w:hyperlink>
      <w:r>
        <w:rPr>
          <w:rFonts w:ascii="Arial" w:cs="Arial" w:eastAsia="Arial" w:hAnsi="Arial"/>
          <w:sz w:val="16"/>
          <w:szCs w:val="16"/>
          <w:u w:val="single" w:color="auto"/>
          <w:color w:val="0000EE"/>
        </w:rPr>
        <w:t xml:space="preserve"> </w:t>
      </w:r>
      <w:hyperlink r:id="rId171">
        <w:r>
          <w:rPr>
            <w:rFonts w:ascii="Arial" w:cs="Arial" w:eastAsia="Arial" w:hAnsi="Arial"/>
            <w:sz w:val="16"/>
            <w:szCs w:val="16"/>
            <w:u w:val="single" w:color="auto"/>
            <w:color w:val="0000EE"/>
          </w:rPr>
          <w:t>(filed February 19, 2014) and incorporated by reference thereto</w:t>
        </w:r>
      </w:hyperlink>
    </w:p>
    <w:p>
      <w:pPr>
        <w:spacing w:after="0" w:line="143" w:lineRule="exact"/>
        <w:rPr>
          <w:sz w:val="20"/>
          <w:szCs w:val="20"/>
          <w:color w:val="auto"/>
        </w:rPr>
      </w:pPr>
    </w:p>
    <w:p>
      <w:pPr>
        <w:ind w:right="100"/>
        <w:spacing w:after="0" w:line="303" w:lineRule="auto"/>
        <w:rPr>
          <w:rFonts w:ascii="Arial" w:cs="Arial" w:eastAsia="Arial" w:hAnsi="Arial"/>
          <w:sz w:val="16"/>
          <w:szCs w:val="16"/>
          <w:u w:val="single" w:color="auto"/>
          <w:color w:val="0000EE"/>
        </w:rPr>
      </w:pPr>
      <w:hyperlink r:id="rId172">
        <w:r>
          <w:rPr>
            <w:rFonts w:ascii="Arial" w:cs="Arial" w:eastAsia="Arial" w:hAnsi="Arial"/>
            <w:sz w:val="16"/>
            <w:szCs w:val="16"/>
            <w:u w:val="single" w:color="auto"/>
            <w:color w:val="0000EE"/>
          </w:rPr>
          <w:t>Previously filed as an exhibit to the Company’s Current Report on Form 8-K</w:t>
        </w:r>
      </w:hyperlink>
      <w:r>
        <w:rPr>
          <w:rFonts w:ascii="Arial" w:cs="Arial" w:eastAsia="Arial" w:hAnsi="Arial"/>
          <w:sz w:val="16"/>
          <w:szCs w:val="16"/>
          <w:u w:val="single" w:color="auto"/>
          <w:color w:val="0000EE"/>
        </w:rPr>
        <w:t xml:space="preserve"> </w:t>
      </w:r>
      <w:hyperlink r:id="rId172">
        <w:r>
          <w:rPr>
            <w:rFonts w:ascii="Arial" w:cs="Arial" w:eastAsia="Arial" w:hAnsi="Arial"/>
            <w:sz w:val="16"/>
            <w:szCs w:val="16"/>
            <w:u w:val="single" w:color="auto"/>
            <w:color w:val="0000EE"/>
          </w:rPr>
          <w:t>(filed October 16, 2013) and incorporated by reference thereto</w:t>
        </w:r>
      </w:hyperlink>
    </w:p>
    <w:p>
      <w:pPr>
        <w:spacing w:after="0" w:line="143" w:lineRule="exact"/>
        <w:rPr>
          <w:sz w:val="20"/>
          <w:szCs w:val="20"/>
          <w:color w:val="auto"/>
        </w:rPr>
      </w:pPr>
    </w:p>
    <w:p>
      <w:pPr>
        <w:ind w:right="40"/>
        <w:spacing w:after="0" w:line="303" w:lineRule="auto"/>
        <w:rPr>
          <w:rFonts w:ascii="Arial" w:cs="Arial" w:eastAsia="Arial" w:hAnsi="Arial"/>
          <w:sz w:val="16"/>
          <w:szCs w:val="16"/>
          <w:u w:val="single" w:color="auto"/>
          <w:color w:val="0000EE"/>
        </w:rPr>
      </w:pPr>
      <w:hyperlink r:id="rId173">
        <w:r>
          <w:rPr>
            <w:rFonts w:ascii="Arial" w:cs="Arial" w:eastAsia="Arial" w:hAnsi="Arial"/>
            <w:sz w:val="16"/>
            <w:szCs w:val="16"/>
            <w:u w:val="single" w:color="auto"/>
            <w:color w:val="0000EE"/>
          </w:rPr>
          <w:t>Previously filed as an exhibit to the Company’s Annual Report on Form 10-K</w:t>
        </w:r>
      </w:hyperlink>
      <w:r>
        <w:rPr>
          <w:rFonts w:ascii="Arial" w:cs="Arial" w:eastAsia="Arial" w:hAnsi="Arial"/>
          <w:sz w:val="16"/>
          <w:szCs w:val="16"/>
          <w:u w:val="single" w:color="auto"/>
          <w:color w:val="0000EE"/>
        </w:rPr>
        <w:t xml:space="preserve"> </w:t>
      </w:r>
      <w:hyperlink r:id="rId173">
        <w:r>
          <w:rPr>
            <w:rFonts w:ascii="Arial" w:cs="Arial" w:eastAsia="Arial" w:hAnsi="Arial"/>
            <w:sz w:val="16"/>
            <w:szCs w:val="16"/>
            <w:u w:val="single" w:color="auto"/>
            <w:color w:val="0000EE"/>
          </w:rPr>
          <w:t>(filed March 14, 2014) and incorporated by reference thereto</w:t>
        </w:r>
      </w:hyperlink>
    </w:p>
    <w:p>
      <w:pPr>
        <w:spacing w:after="0" w:line="547" w:lineRule="exact"/>
        <w:rPr>
          <w:sz w:val="20"/>
          <w:szCs w:val="20"/>
          <w:color w:val="auto"/>
        </w:rPr>
      </w:pPr>
    </w:p>
    <w:p>
      <w:pPr>
        <w:sectPr>
          <w:pgSz w:w="11900" w:h="16838" w:orient="portrait"/>
          <w:cols w:equalWidth="0" w:num="2">
            <w:col w:w="5960" w:space="100"/>
            <w:col w:w="5280"/>
          </w:cols>
          <w:pgMar w:left="240" w:top="228" w:right="319" w:bottom="1440" w:gutter="0" w:footer="0" w:header="0"/>
        </w:sectPr>
      </w:pPr>
    </w:p>
    <w:p>
      <w:pPr>
        <w:ind w:left="440"/>
        <w:spacing w:after="0"/>
        <w:tabs>
          <w:tab w:leader="none" w:pos="1240" w:val="left"/>
        </w:tabs>
        <w:rPr>
          <w:rFonts w:ascii="Arial" w:cs="Arial" w:eastAsia="Arial" w:hAnsi="Arial"/>
          <w:sz w:val="15"/>
          <w:szCs w:val="15"/>
          <w:u w:val="single" w:color="auto"/>
          <w:color w:val="0000EE"/>
        </w:rPr>
      </w:pPr>
      <w:hyperlink r:id="rId174">
        <w:r>
          <w:rPr>
            <w:rFonts w:ascii="Arial" w:cs="Arial" w:eastAsia="Arial" w:hAnsi="Arial"/>
            <w:sz w:val="17"/>
            <w:szCs w:val="17"/>
            <w:u w:val="single" w:color="auto"/>
            <w:color w:val="0000EE"/>
          </w:rPr>
          <w:t>10.25</w:t>
        </w:r>
      </w:hyperlink>
      <w:r>
        <w:rPr>
          <w:rFonts w:ascii="Arial" w:cs="Arial" w:eastAsia="Arial" w:hAnsi="Arial"/>
          <w:sz w:val="17"/>
          <w:szCs w:val="17"/>
          <w:u w:val="single" w:color="auto"/>
          <w:color w:val="0000EE"/>
        </w:rPr>
        <w:tab/>
      </w:r>
      <w:hyperlink r:id="rId174">
        <w:r>
          <w:rPr>
            <w:rFonts w:ascii="Arial" w:cs="Arial" w:eastAsia="Arial" w:hAnsi="Arial"/>
            <w:sz w:val="15"/>
            <w:szCs w:val="15"/>
            <w:u w:val="single" w:color="auto"/>
            <w:color w:val="0000EE"/>
          </w:rPr>
          <w:t>Intellectual Property Matters Agreement between Harvard Bioscience, Previously filed as an exhibit to the Company’s Current Report on Form 8-K</w:t>
        </w:r>
      </w:hyperlink>
    </w:p>
    <w:p>
      <w:pPr>
        <w:spacing w:after="0" w:line="19" w:lineRule="exact"/>
        <w:rPr>
          <w:sz w:val="20"/>
          <w:szCs w:val="20"/>
          <w:color w:val="auto"/>
        </w:rPr>
      </w:pPr>
    </w:p>
    <w:p>
      <w:pPr>
        <w:ind w:left="1260" w:right="980"/>
        <w:spacing w:after="0" w:line="257" w:lineRule="auto"/>
        <w:rPr>
          <w:rFonts w:ascii="Arial" w:cs="Arial" w:eastAsia="Arial" w:hAnsi="Arial"/>
          <w:sz w:val="17"/>
          <w:szCs w:val="17"/>
          <w:u w:val="single" w:color="auto"/>
          <w:color w:val="0000EE"/>
        </w:rPr>
      </w:pPr>
      <w:hyperlink r:id="rId174">
        <w:r>
          <w:rPr>
            <w:rFonts w:ascii="Arial" w:cs="Arial" w:eastAsia="Arial" w:hAnsi="Arial"/>
            <w:sz w:val="17"/>
            <w:szCs w:val="17"/>
            <w:u w:val="single" w:color="auto"/>
            <w:color w:val="0000EE"/>
          </w:rPr>
          <w:t>Inc. and Biostage, Inc. (f/k/a Harvard Apparatus Regenerative (filed November 6, 2013) and incorporated by reference thereto</w:t>
        </w:r>
      </w:hyperlink>
      <w:r>
        <w:rPr>
          <w:rFonts w:ascii="Arial" w:cs="Arial" w:eastAsia="Arial" w:hAnsi="Arial"/>
          <w:sz w:val="17"/>
          <w:szCs w:val="17"/>
          <w:u w:val="single" w:color="auto"/>
          <w:color w:val="0000EE"/>
        </w:rPr>
        <w:t xml:space="preserve"> </w:t>
      </w:r>
      <w:hyperlink r:id="rId174">
        <w:r>
          <w:rPr>
            <w:rFonts w:ascii="Arial" w:cs="Arial" w:eastAsia="Arial" w:hAnsi="Arial"/>
            <w:sz w:val="17"/>
            <w:szCs w:val="17"/>
            <w:u w:val="single" w:color="auto"/>
            <w:color w:val="0000EE"/>
          </w:rPr>
          <w:t>Technology, Inc.) dated as of October 31, 2013.</w:t>
        </w:r>
      </w:hyperlink>
    </w:p>
    <w:p>
      <w:pPr>
        <w:spacing w:after="0" w:line="177" w:lineRule="exact"/>
        <w:rPr>
          <w:sz w:val="20"/>
          <w:szCs w:val="20"/>
          <w:color w:val="auto"/>
        </w:rPr>
      </w:pPr>
    </w:p>
    <w:p>
      <w:pPr>
        <w:ind w:left="1260" w:right="100" w:hanging="822"/>
        <w:spacing w:after="0" w:line="260" w:lineRule="auto"/>
        <w:tabs>
          <w:tab w:leader="none" w:pos="1240" w:val="left"/>
        </w:tabs>
        <w:rPr>
          <w:rFonts w:ascii="Arial" w:cs="Arial" w:eastAsia="Arial" w:hAnsi="Arial"/>
          <w:sz w:val="17"/>
          <w:szCs w:val="17"/>
          <w:u w:val="single" w:color="auto"/>
          <w:color w:val="0000EE"/>
        </w:rPr>
      </w:pPr>
      <w:hyperlink r:id="rId175">
        <w:r>
          <w:rPr>
            <w:rFonts w:ascii="Arial" w:cs="Arial" w:eastAsia="Arial" w:hAnsi="Arial"/>
            <w:sz w:val="17"/>
            <w:szCs w:val="17"/>
            <w:u w:val="single" w:color="auto"/>
            <w:color w:val="0000EE"/>
          </w:rPr>
          <w:t>10.26</w:t>
        </w:r>
      </w:hyperlink>
      <w:r>
        <w:rPr>
          <w:rFonts w:ascii="Arial" w:cs="Arial" w:eastAsia="Arial" w:hAnsi="Arial"/>
          <w:sz w:val="17"/>
          <w:szCs w:val="17"/>
          <w:u w:val="single" w:color="auto"/>
          <w:color w:val="0000EE"/>
        </w:rPr>
        <w:tab/>
      </w:r>
      <w:hyperlink r:id="rId175">
        <w:r>
          <w:rPr>
            <w:rFonts w:ascii="Arial" w:cs="Arial" w:eastAsia="Arial" w:hAnsi="Arial"/>
            <w:sz w:val="17"/>
            <w:szCs w:val="17"/>
            <w:u w:val="single" w:color="auto"/>
            <w:color w:val="0000EE"/>
          </w:rPr>
          <w:t>Product Distribution Agreement between Harvard Bioscience, Inc. andPreviously filed as an exhibit to the Company’s Current Report on Form 8-K</w:t>
        </w:r>
      </w:hyperlink>
      <w:r>
        <w:rPr>
          <w:rFonts w:ascii="Arial" w:cs="Arial" w:eastAsia="Arial" w:hAnsi="Arial"/>
          <w:sz w:val="17"/>
          <w:szCs w:val="17"/>
          <w:u w:val="single" w:color="auto"/>
          <w:color w:val="0000EE"/>
        </w:rPr>
        <w:t xml:space="preserve"> </w:t>
      </w:r>
      <w:hyperlink r:id="rId175">
        <w:r>
          <w:rPr>
            <w:rFonts w:ascii="Arial" w:cs="Arial" w:eastAsia="Arial" w:hAnsi="Arial"/>
            <w:sz w:val="17"/>
            <w:szCs w:val="17"/>
            <w:u w:val="single" w:color="auto"/>
            <w:color w:val="0000EE"/>
          </w:rPr>
          <w:t>Biostage, Inc. (f/k/a Harvard Apparatus Regenerative Technology, (filed November 6, 2013) and incorporated by reference thereto</w:t>
        </w:r>
      </w:hyperlink>
      <w:r>
        <w:rPr>
          <w:rFonts w:ascii="Arial" w:cs="Arial" w:eastAsia="Arial" w:hAnsi="Arial"/>
          <w:sz w:val="17"/>
          <w:szCs w:val="17"/>
          <w:u w:val="single" w:color="auto"/>
          <w:color w:val="0000EE"/>
        </w:rPr>
        <w:t xml:space="preserve"> </w:t>
      </w:r>
      <w:hyperlink r:id="rId175">
        <w:r>
          <w:rPr>
            <w:rFonts w:ascii="Arial" w:cs="Arial" w:eastAsia="Arial" w:hAnsi="Arial"/>
            <w:sz w:val="17"/>
            <w:szCs w:val="17"/>
            <w:u w:val="single" w:color="auto"/>
            <w:color w:val="0000EE"/>
          </w:rPr>
          <w:t>Inc.) dated as of October 31, 2013.</w:t>
        </w:r>
      </w:hyperlink>
    </w:p>
    <w:p>
      <w:pPr>
        <w:sectPr>
          <w:pgSz w:w="11900" w:h="16838" w:orient="portrait"/>
          <w:cols w:equalWidth="0" w:num="1">
            <w:col w:w="11340"/>
          </w:cols>
          <w:pgMar w:left="240" w:top="228" w:right="319" w:bottom="1440" w:gutter="0" w:footer="0" w:header="0"/>
          <w:type w:val="continuous"/>
        </w:sectPr>
      </w:pPr>
    </w:p>
    <w:p>
      <w:pPr>
        <w:spacing w:after="0" w:line="174" w:lineRule="exact"/>
        <w:rPr>
          <w:rFonts w:ascii="Arial" w:cs="Arial" w:eastAsia="Arial" w:hAnsi="Arial"/>
          <w:sz w:val="17"/>
          <w:szCs w:val="17"/>
          <w:u w:val="single" w:color="auto"/>
          <w:color w:val="0000EE"/>
        </w:rPr>
      </w:pPr>
    </w:p>
    <w:p>
      <w:pPr>
        <w:ind w:left="1260" w:right="220" w:hanging="822"/>
        <w:spacing w:after="0" w:line="260" w:lineRule="auto"/>
        <w:tabs>
          <w:tab w:leader="none" w:pos="1240" w:val="left"/>
        </w:tabs>
        <w:rPr>
          <w:rFonts w:ascii="Arial" w:cs="Arial" w:eastAsia="Arial" w:hAnsi="Arial"/>
          <w:sz w:val="17"/>
          <w:szCs w:val="17"/>
          <w:u w:val="single" w:color="auto"/>
          <w:color w:val="0000EE"/>
        </w:rPr>
      </w:pPr>
      <w:hyperlink r:id="rId176">
        <w:r>
          <w:rPr>
            <w:rFonts w:ascii="Arial" w:cs="Arial" w:eastAsia="Arial" w:hAnsi="Arial"/>
            <w:sz w:val="17"/>
            <w:szCs w:val="17"/>
            <w:u w:val="single" w:color="auto"/>
            <w:color w:val="0000EE"/>
          </w:rPr>
          <w:t>10.27</w:t>
        </w:r>
      </w:hyperlink>
      <w:r>
        <w:rPr>
          <w:rFonts w:ascii="Arial" w:cs="Arial" w:eastAsia="Arial" w:hAnsi="Arial"/>
          <w:sz w:val="17"/>
          <w:szCs w:val="17"/>
          <w:u w:val="single" w:color="auto"/>
          <w:color w:val="0000EE"/>
        </w:rPr>
        <w:tab/>
      </w:r>
      <w:hyperlink r:id="rId176">
        <w:r>
          <w:rPr>
            <w:rFonts w:ascii="Arial" w:cs="Arial" w:eastAsia="Arial" w:hAnsi="Arial"/>
            <w:sz w:val="17"/>
            <w:szCs w:val="17"/>
            <w:u w:val="single" w:color="auto"/>
            <w:color w:val="0000EE"/>
          </w:rPr>
          <w:t>Tax Sharing Agreement between Harvard Bioscience, Inc. and</w:t>
        </w:r>
      </w:hyperlink>
      <w:r>
        <w:rPr>
          <w:rFonts w:ascii="Arial" w:cs="Arial" w:eastAsia="Arial" w:hAnsi="Arial"/>
          <w:sz w:val="17"/>
          <w:szCs w:val="17"/>
          <w:u w:val="single" w:color="auto"/>
          <w:color w:val="0000EE"/>
        </w:rPr>
        <w:t xml:space="preserve"> </w:t>
      </w:r>
      <w:hyperlink r:id="rId176">
        <w:r>
          <w:rPr>
            <w:rFonts w:ascii="Arial" w:cs="Arial" w:eastAsia="Arial" w:hAnsi="Arial"/>
            <w:sz w:val="17"/>
            <w:szCs w:val="17"/>
            <w:u w:val="single" w:color="auto"/>
            <w:color w:val="0000EE"/>
          </w:rPr>
          <w:t>Biostage, Inc. (f/k/a Harvard Apparatus Regenerative Technology,</w:t>
        </w:r>
      </w:hyperlink>
      <w:r>
        <w:rPr>
          <w:rFonts w:ascii="Arial" w:cs="Arial" w:eastAsia="Arial" w:hAnsi="Arial"/>
          <w:sz w:val="17"/>
          <w:szCs w:val="17"/>
          <w:u w:val="single" w:color="auto"/>
          <w:color w:val="0000EE"/>
        </w:rPr>
        <w:t xml:space="preserve"> </w:t>
      </w:r>
      <w:hyperlink r:id="rId176">
        <w:r>
          <w:rPr>
            <w:rFonts w:ascii="Arial" w:cs="Arial" w:eastAsia="Arial" w:hAnsi="Arial"/>
            <w:sz w:val="17"/>
            <w:szCs w:val="17"/>
            <w:u w:val="single" w:color="auto"/>
            <w:color w:val="0000EE"/>
          </w:rPr>
          <w:t>Inc.) dated as of October 31, 2013.</w:t>
        </w:r>
      </w:hyperlink>
    </w:p>
    <w:p>
      <w:pPr>
        <w:spacing w:after="0" w:line="174" w:lineRule="exact"/>
        <w:rPr>
          <w:rFonts w:ascii="Arial" w:cs="Arial" w:eastAsia="Arial" w:hAnsi="Arial"/>
          <w:sz w:val="17"/>
          <w:szCs w:val="17"/>
          <w:u w:val="single" w:color="auto"/>
          <w:color w:val="0000EE"/>
        </w:rPr>
      </w:pPr>
    </w:p>
    <w:p>
      <w:pPr>
        <w:ind w:left="1260" w:hanging="822"/>
        <w:spacing w:after="0" w:line="260" w:lineRule="auto"/>
        <w:tabs>
          <w:tab w:leader="none" w:pos="1240" w:val="left"/>
        </w:tabs>
        <w:rPr>
          <w:rFonts w:ascii="Arial" w:cs="Arial" w:eastAsia="Arial" w:hAnsi="Arial"/>
          <w:sz w:val="17"/>
          <w:szCs w:val="17"/>
          <w:u w:val="single" w:color="auto"/>
          <w:color w:val="0000EE"/>
        </w:rPr>
      </w:pPr>
      <w:hyperlink r:id="rId177">
        <w:r>
          <w:rPr>
            <w:rFonts w:ascii="Arial" w:cs="Arial" w:eastAsia="Arial" w:hAnsi="Arial"/>
            <w:sz w:val="17"/>
            <w:szCs w:val="17"/>
            <w:u w:val="single" w:color="auto"/>
            <w:color w:val="0000EE"/>
          </w:rPr>
          <w:t>10.28</w:t>
        </w:r>
      </w:hyperlink>
      <w:r>
        <w:rPr>
          <w:rFonts w:ascii="Arial" w:cs="Arial" w:eastAsia="Arial" w:hAnsi="Arial"/>
          <w:sz w:val="17"/>
          <w:szCs w:val="17"/>
          <w:u w:val="single" w:color="auto"/>
          <w:color w:val="0000EE"/>
        </w:rPr>
        <w:tab/>
      </w:r>
      <w:hyperlink r:id="rId177">
        <w:r>
          <w:rPr>
            <w:rFonts w:ascii="Arial" w:cs="Arial" w:eastAsia="Arial" w:hAnsi="Arial"/>
            <w:sz w:val="17"/>
            <w:szCs w:val="17"/>
            <w:u w:val="single" w:color="auto"/>
            <w:color w:val="0000EE"/>
          </w:rPr>
          <w:t>Transition Services Agreement between Harvard Bioscience, Inc. and</w:t>
        </w:r>
      </w:hyperlink>
      <w:r>
        <w:rPr>
          <w:rFonts w:ascii="Arial" w:cs="Arial" w:eastAsia="Arial" w:hAnsi="Arial"/>
          <w:sz w:val="17"/>
          <w:szCs w:val="17"/>
          <w:u w:val="single" w:color="auto"/>
          <w:color w:val="0000EE"/>
        </w:rPr>
        <w:t xml:space="preserve"> </w:t>
      </w:r>
      <w:hyperlink r:id="rId177">
        <w:r>
          <w:rPr>
            <w:rFonts w:ascii="Arial" w:cs="Arial" w:eastAsia="Arial" w:hAnsi="Arial"/>
            <w:sz w:val="17"/>
            <w:szCs w:val="17"/>
            <w:u w:val="single" w:color="auto"/>
            <w:color w:val="0000EE"/>
          </w:rPr>
          <w:t>Biostage, Inc. (f/k/a Harvard Apparatus Regenerative Technology,</w:t>
        </w:r>
      </w:hyperlink>
      <w:r>
        <w:rPr>
          <w:rFonts w:ascii="Arial" w:cs="Arial" w:eastAsia="Arial" w:hAnsi="Arial"/>
          <w:sz w:val="17"/>
          <w:szCs w:val="17"/>
          <w:u w:val="single" w:color="auto"/>
          <w:color w:val="0000EE"/>
        </w:rPr>
        <w:t xml:space="preserve"> </w:t>
      </w:r>
      <w:hyperlink r:id="rId177">
        <w:r>
          <w:rPr>
            <w:rFonts w:ascii="Arial" w:cs="Arial" w:eastAsia="Arial" w:hAnsi="Arial"/>
            <w:sz w:val="17"/>
            <w:szCs w:val="17"/>
            <w:u w:val="single" w:color="auto"/>
            <w:color w:val="0000EE"/>
          </w:rPr>
          <w:t>Inc.) dated as of October 31, 2013.</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154" w:lineRule="exact"/>
        <w:rPr>
          <w:rFonts w:ascii="Arial" w:cs="Arial" w:eastAsia="Arial" w:hAnsi="Arial"/>
          <w:sz w:val="17"/>
          <w:szCs w:val="17"/>
          <w:u w:val="single" w:color="auto"/>
          <w:color w:val="0000EE"/>
        </w:rPr>
      </w:pPr>
    </w:p>
    <w:p>
      <w:pPr>
        <w:ind w:right="100"/>
        <w:spacing w:after="0" w:line="303" w:lineRule="auto"/>
        <w:rPr>
          <w:rFonts w:ascii="Arial" w:cs="Arial" w:eastAsia="Arial" w:hAnsi="Arial"/>
          <w:sz w:val="16"/>
          <w:szCs w:val="16"/>
          <w:u w:val="single" w:color="auto"/>
          <w:color w:val="0000EE"/>
        </w:rPr>
      </w:pPr>
      <w:hyperlink r:id="rId176">
        <w:r>
          <w:rPr>
            <w:rFonts w:ascii="Arial" w:cs="Arial" w:eastAsia="Arial" w:hAnsi="Arial"/>
            <w:sz w:val="16"/>
            <w:szCs w:val="16"/>
            <w:u w:val="single" w:color="auto"/>
            <w:color w:val="0000EE"/>
          </w:rPr>
          <w:t>Previously filed as an exhibit to the Company’s Current Report on Form 8-K</w:t>
        </w:r>
      </w:hyperlink>
      <w:r>
        <w:rPr>
          <w:rFonts w:ascii="Arial" w:cs="Arial" w:eastAsia="Arial" w:hAnsi="Arial"/>
          <w:sz w:val="16"/>
          <w:szCs w:val="16"/>
          <w:u w:val="single" w:color="auto"/>
          <w:color w:val="0000EE"/>
        </w:rPr>
        <w:t xml:space="preserve"> </w:t>
      </w:r>
      <w:hyperlink r:id="rId176">
        <w:r>
          <w:rPr>
            <w:rFonts w:ascii="Arial" w:cs="Arial" w:eastAsia="Arial" w:hAnsi="Arial"/>
            <w:sz w:val="16"/>
            <w:szCs w:val="16"/>
            <w:u w:val="single" w:color="auto"/>
            <w:color w:val="0000EE"/>
          </w:rPr>
          <w:t>(filed November 6, 2013) and incorporated by reference thereto</w:t>
        </w:r>
      </w:hyperlink>
    </w:p>
    <w:p>
      <w:pPr>
        <w:spacing w:after="0" w:line="345" w:lineRule="exact"/>
        <w:rPr>
          <w:sz w:val="20"/>
          <w:szCs w:val="20"/>
          <w:color w:val="auto"/>
        </w:rPr>
      </w:pPr>
    </w:p>
    <w:p>
      <w:pPr>
        <w:ind w:right="100"/>
        <w:spacing w:after="0" w:line="303" w:lineRule="auto"/>
        <w:rPr>
          <w:rFonts w:ascii="Arial" w:cs="Arial" w:eastAsia="Arial" w:hAnsi="Arial"/>
          <w:sz w:val="16"/>
          <w:szCs w:val="16"/>
          <w:u w:val="single" w:color="auto"/>
          <w:color w:val="0000EE"/>
        </w:rPr>
      </w:pPr>
      <w:hyperlink r:id="rId177">
        <w:r>
          <w:rPr>
            <w:rFonts w:ascii="Arial" w:cs="Arial" w:eastAsia="Arial" w:hAnsi="Arial"/>
            <w:sz w:val="16"/>
            <w:szCs w:val="16"/>
            <w:u w:val="single" w:color="auto"/>
            <w:color w:val="0000EE"/>
          </w:rPr>
          <w:t>Previously filed as an exhibit to the Company’s Current Report on Form 8-K</w:t>
        </w:r>
      </w:hyperlink>
      <w:r>
        <w:rPr>
          <w:rFonts w:ascii="Arial" w:cs="Arial" w:eastAsia="Arial" w:hAnsi="Arial"/>
          <w:sz w:val="16"/>
          <w:szCs w:val="16"/>
          <w:u w:val="single" w:color="auto"/>
          <w:color w:val="0000EE"/>
        </w:rPr>
        <w:t xml:space="preserve"> </w:t>
      </w:r>
      <w:hyperlink r:id="rId177">
        <w:r>
          <w:rPr>
            <w:rFonts w:ascii="Arial" w:cs="Arial" w:eastAsia="Arial" w:hAnsi="Arial"/>
            <w:sz w:val="16"/>
            <w:szCs w:val="16"/>
            <w:u w:val="single" w:color="auto"/>
            <w:color w:val="0000EE"/>
          </w:rPr>
          <w:t>(filed November 6, 2013) and incorporated by reference thereto</w:t>
        </w:r>
      </w:hyperlink>
    </w:p>
    <w:p>
      <w:pPr>
        <w:spacing w:after="0" w:line="326" w:lineRule="exact"/>
        <w:rPr>
          <w:sz w:val="20"/>
          <w:szCs w:val="20"/>
          <w:color w:val="auto"/>
        </w:rPr>
      </w:pPr>
    </w:p>
    <w:p>
      <w:pPr>
        <w:sectPr>
          <w:pgSz w:w="11900" w:h="16838" w:orient="portrait"/>
          <w:cols w:equalWidth="0" w:num="2">
            <w:col w:w="5960" w:space="100"/>
            <w:col w:w="5280"/>
          </w:cols>
          <w:pgMar w:left="240" w:top="228" w:right="319" w:bottom="1440" w:gutter="0" w:footer="0" w:header="0"/>
          <w:type w:val="continuous"/>
        </w:sectPr>
      </w:pPr>
    </w:p>
    <w:tbl>
      <w:tblPr>
        <w:tblLayout w:type="fixed"/>
        <w:tblInd w:w="380" w:type="dxa"/>
        <w:tblCellMar>
          <w:top w:w="0" w:type="dxa"/>
          <w:left w:w="0" w:type="dxa"/>
          <w:bottom w:w="0" w:type="dxa"/>
          <w:right w:w="0" w:type="dxa"/>
        </w:tblCellMar>
      </w:tblPr>
      <w:tr>
        <w:trPr>
          <w:trHeight w:val="195"/>
        </w:trPr>
        <w:tc>
          <w:tcPr>
            <w:tcW w:w="880" w:type="dxa"/>
            <w:vAlign w:val="bottom"/>
            <w:gridSpan w:val="4"/>
          </w:tcPr>
          <w:p>
            <w:pPr>
              <w:jc w:val="center"/>
              <w:ind w:right="380"/>
              <w:spacing w:after="0"/>
              <w:rPr>
                <w:rFonts w:ascii="Arial" w:cs="Arial" w:eastAsia="Arial" w:hAnsi="Arial"/>
                <w:sz w:val="17"/>
                <w:szCs w:val="17"/>
                <w:color w:val="0000EE"/>
                <w:w w:val="88"/>
              </w:rPr>
            </w:pPr>
            <w:hyperlink r:id="rId178">
              <w:r>
                <w:rPr>
                  <w:rFonts w:ascii="Arial" w:cs="Arial" w:eastAsia="Arial" w:hAnsi="Arial"/>
                  <w:sz w:val="17"/>
                  <w:szCs w:val="17"/>
                  <w:color w:val="0000EE"/>
                  <w:w w:val="88"/>
                </w:rPr>
                <w:t>10.</w:t>
              </w:r>
              <w:r>
                <w:rPr>
                  <w:rFonts w:ascii="Arial" w:cs="Arial" w:eastAsia="Arial" w:hAnsi="Arial"/>
                  <w:sz w:val="17"/>
                  <w:szCs w:val="17"/>
                  <w:u w:val="single" w:color="auto"/>
                  <w:color w:val="0000EE"/>
                  <w:w w:val="88"/>
                </w:rPr>
                <w:t>29</w:t>
              </w:r>
              <w:r>
                <w:rPr>
                  <w:rFonts w:ascii="Arial" w:cs="Arial" w:eastAsia="Arial" w:hAnsi="Arial"/>
                  <w:sz w:val="17"/>
                  <w:szCs w:val="17"/>
                  <w:color w:val="0000EE"/>
                  <w:w w:val="88"/>
                </w:rPr>
                <w:t xml:space="preserve"> #</w:t>
              </w:r>
            </w:hyperlink>
          </w:p>
        </w:tc>
        <w:tc>
          <w:tcPr>
            <w:tcW w:w="10080" w:type="dxa"/>
            <w:vAlign w:val="bottom"/>
            <w:gridSpan w:val="11"/>
          </w:tcPr>
          <w:p>
            <w:pPr>
              <w:spacing w:after="0"/>
              <w:rPr>
                <w:rFonts w:ascii="Arial" w:cs="Arial" w:eastAsia="Arial" w:hAnsi="Arial"/>
                <w:sz w:val="17"/>
                <w:szCs w:val="17"/>
                <w:color w:val="0000EE"/>
                <w:w w:val="91"/>
              </w:rPr>
            </w:pPr>
            <w:hyperlink r:id="rId178">
              <w:r>
                <w:rPr>
                  <w:rFonts w:ascii="Arial" w:cs="Arial" w:eastAsia="Arial" w:hAnsi="Arial"/>
                  <w:sz w:val="17"/>
                  <w:szCs w:val="17"/>
                  <w:color w:val="0000EE"/>
                  <w:w w:val="91"/>
                </w:rPr>
                <w:t>Amendment to Employment Agreement between Harvard Bioscience, Previously filed as an exhibit to the Company’s Current Report on Form 8-K</w:t>
              </w:r>
            </w:hyperlink>
          </w:p>
        </w:tc>
      </w:tr>
      <w:tr>
        <w:trPr>
          <w:trHeight w:val="182"/>
        </w:trPr>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Pr>
          <w:p>
            <w:pPr>
              <w:spacing w:after="0"/>
              <w:rPr>
                <w:sz w:val="15"/>
                <w:szCs w:val="15"/>
                <w:color w:val="auto"/>
              </w:rPr>
            </w:pPr>
          </w:p>
        </w:tc>
        <w:tc>
          <w:tcPr>
            <w:tcW w:w="3680" w:type="dxa"/>
            <w:vAlign w:val="bottom"/>
            <w:tcBorders>
              <w:top w:val="single" w:sz="8" w:color="0000EE"/>
            </w:tcBorders>
            <w:gridSpan w:val="3"/>
          </w:tcPr>
          <w:p>
            <w:pPr>
              <w:spacing w:after="0" w:line="183" w:lineRule="exact"/>
              <w:rPr>
                <w:rFonts w:ascii="Arial" w:cs="Arial" w:eastAsia="Arial" w:hAnsi="Arial"/>
                <w:sz w:val="17"/>
                <w:szCs w:val="17"/>
                <w:color w:val="0000EE"/>
                <w:w w:val="91"/>
              </w:rPr>
            </w:pPr>
            <w:hyperlink r:id="rId178">
              <w:r>
                <w:rPr>
                  <w:rFonts w:ascii="Arial" w:cs="Arial" w:eastAsia="Arial" w:hAnsi="Arial"/>
                  <w:sz w:val="17"/>
                  <w:szCs w:val="17"/>
                  <w:color w:val="0000EE"/>
                  <w:w w:val="91"/>
                </w:rPr>
                <w:t>Inc. and Jeffrey A. Duchemin, effective July 30, 2014.</w:t>
              </w:r>
            </w:hyperlink>
          </w:p>
        </w:tc>
        <w:tc>
          <w:tcPr>
            <w:tcW w:w="1060" w:type="dxa"/>
            <w:vAlign w:val="bottom"/>
            <w:tcBorders>
              <w:top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80" w:type="dxa"/>
            <w:vAlign w:val="bottom"/>
            <w:tcBorders>
              <w:top w:val="single" w:sz="8" w:color="0000EE"/>
            </w:tcBorders>
            <w:gridSpan w:val="3"/>
          </w:tcPr>
          <w:p>
            <w:pPr>
              <w:spacing w:after="0" w:line="183" w:lineRule="exact"/>
              <w:rPr>
                <w:rFonts w:ascii="Arial" w:cs="Arial" w:eastAsia="Arial" w:hAnsi="Arial"/>
                <w:sz w:val="17"/>
                <w:szCs w:val="17"/>
                <w:color w:val="0000EE"/>
              </w:rPr>
            </w:pPr>
            <w:hyperlink r:id="rId178">
              <w:r>
                <w:rPr>
                  <w:rFonts w:ascii="Arial" w:cs="Arial" w:eastAsia="Arial" w:hAnsi="Arial"/>
                  <w:sz w:val="17"/>
                  <w:szCs w:val="17"/>
                  <w:color w:val="0000EE"/>
                </w:rPr>
                <w:t>(filed July 31, 2014) and incorporated by reference thereto</w:t>
              </w:r>
            </w:hyperlink>
          </w:p>
        </w:tc>
        <w:tc>
          <w:tcPr>
            <w:tcW w:w="10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80" w:type="dxa"/>
            <w:vAlign w:val="bottom"/>
            <w:gridSpan w:val="4"/>
          </w:tcPr>
          <w:p>
            <w:pPr>
              <w:jc w:val="center"/>
              <w:ind w:right="380"/>
              <w:spacing w:after="0"/>
              <w:rPr>
                <w:rFonts w:ascii="Arial" w:cs="Arial" w:eastAsia="Arial" w:hAnsi="Arial"/>
                <w:sz w:val="17"/>
                <w:szCs w:val="17"/>
                <w:color w:val="0000EE"/>
                <w:w w:val="88"/>
              </w:rPr>
            </w:pPr>
            <w:hyperlink r:id="rId179">
              <w:r>
                <w:rPr>
                  <w:rFonts w:ascii="Arial" w:cs="Arial" w:eastAsia="Arial" w:hAnsi="Arial"/>
                  <w:sz w:val="17"/>
                  <w:szCs w:val="17"/>
                  <w:color w:val="0000EE"/>
                  <w:w w:val="88"/>
                </w:rPr>
                <w:t>10.</w:t>
              </w:r>
              <w:r>
                <w:rPr>
                  <w:rFonts w:ascii="Arial" w:cs="Arial" w:eastAsia="Arial" w:hAnsi="Arial"/>
                  <w:sz w:val="17"/>
                  <w:szCs w:val="17"/>
                  <w:u w:val="single" w:color="auto"/>
                  <w:color w:val="0000EE"/>
                  <w:w w:val="88"/>
                </w:rPr>
                <w:t>30</w:t>
              </w:r>
              <w:r>
                <w:rPr>
                  <w:rFonts w:ascii="Arial" w:cs="Arial" w:eastAsia="Arial" w:hAnsi="Arial"/>
                  <w:sz w:val="17"/>
                  <w:szCs w:val="17"/>
                  <w:color w:val="0000EE"/>
                  <w:w w:val="88"/>
                </w:rPr>
                <w:t xml:space="preserve"> #</w:t>
              </w:r>
            </w:hyperlink>
          </w:p>
        </w:tc>
        <w:tc>
          <w:tcPr>
            <w:tcW w:w="10080" w:type="dxa"/>
            <w:vAlign w:val="bottom"/>
            <w:gridSpan w:val="11"/>
          </w:tcPr>
          <w:p>
            <w:pPr>
              <w:spacing w:after="0"/>
              <w:rPr>
                <w:rFonts w:ascii="Arial" w:cs="Arial" w:eastAsia="Arial" w:hAnsi="Arial"/>
                <w:sz w:val="17"/>
                <w:szCs w:val="17"/>
                <w:color w:val="0000EE"/>
                <w:w w:val="91"/>
              </w:rPr>
            </w:pPr>
            <w:hyperlink r:id="rId179">
              <w:r>
                <w:rPr>
                  <w:rFonts w:ascii="Arial" w:cs="Arial" w:eastAsia="Arial" w:hAnsi="Arial"/>
                  <w:sz w:val="17"/>
                  <w:szCs w:val="17"/>
                  <w:color w:val="0000EE"/>
                  <w:w w:val="91"/>
                </w:rPr>
                <w:t>Amendment to Employment Agreement between Harvard Bioscience, Previously filed as an exhibit to the Company’s Current Report on Form 8-K</w:t>
              </w:r>
            </w:hyperlink>
          </w:p>
        </w:tc>
      </w:tr>
      <w:tr>
        <w:trPr>
          <w:trHeight w:val="182"/>
        </w:trPr>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Pr>
          <w:p>
            <w:pPr>
              <w:spacing w:after="0"/>
              <w:rPr>
                <w:sz w:val="15"/>
                <w:szCs w:val="15"/>
                <w:color w:val="auto"/>
              </w:rPr>
            </w:pPr>
          </w:p>
        </w:tc>
        <w:tc>
          <w:tcPr>
            <w:tcW w:w="4740" w:type="dxa"/>
            <w:vAlign w:val="bottom"/>
            <w:tcBorders>
              <w:top w:val="single" w:sz="8" w:color="0000EE"/>
            </w:tcBorders>
            <w:gridSpan w:val="5"/>
          </w:tcPr>
          <w:p>
            <w:pPr>
              <w:spacing w:after="0" w:line="183" w:lineRule="exact"/>
              <w:rPr>
                <w:rFonts w:ascii="Arial" w:cs="Arial" w:eastAsia="Arial" w:hAnsi="Arial"/>
                <w:sz w:val="17"/>
                <w:szCs w:val="17"/>
                <w:color w:val="0000EE"/>
              </w:rPr>
            </w:pPr>
            <w:hyperlink r:id="rId179">
              <w:r>
                <w:rPr>
                  <w:rFonts w:ascii="Arial" w:cs="Arial" w:eastAsia="Arial" w:hAnsi="Arial"/>
                  <w:sz w:val="17"/>
                  <w:szCs w:val="17"/>
                  <w:color w:val="0000EE"/>
                </w:rPr>
                <w:t>Inc. and Robert E. Gagnon, effective July 30, 2014.</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80" w:type="dxa"/>
            <w:vAlign w:val="bottom"/>
            <w:tcBorders>
              <w:top w:val="single" w:sz="8" w:color="0000EE"/>
            </w:tcBorders>
            <w:gridSpan w:val="3"/>
          </w:tcPr>
          <w:p>
            <w:pPr>
              <w:spacing w:after="0" w:line="183" w:lineRule="exact"/>
              <w:rPr>
                <w:rFonts w:ascii="Arial" w:cs="Arial" w:eastAsia="Arial" w:hAnsi="Arial"/>
                <w:sz w:val="17"/>
                <w:szCs w:val="17"/>
                <w:color w:val="0000EE"/>
              </w:rPr>
            </w:pPr>
            <w:hyperlink r:id="rId179">
              <w:r>
                <w:rPr>
                  <w:rFonts w:ascii="Arial" w:cs="Arial" w:eastAsia="Arial" w:hAnsi="Arial"/>
                  <w:sz w:val="17"/>
                  <w:szCs w:val="17"/>
                  <w:color w:val="0000EE"/>
                </w:rPr>
                <w:t>(filed July 31, 2014) and incorporated by reference thereto</w:t>
              </w:r>
            </w:hyperlink>
          </w:p>
        </w:tc>
        <w:tc>
          <w:tcPr>
            <w:tcW w:w="10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385"/>
        </w:trPr>
        <w:tc>
          <w:tcPr>
            <w:tcW w:w="60" w:type="dxa"/>
            <w:vAlign w:val="bottom"/>
          </w:tcPr>
          <w:p>
            <w:pPr>
              <w:spacing w:after="0"/>
              <w:rPr>
                <w:sz w:val="24"/>
                <w:szCs w:val="24"/>
                <w:color w:val="auto"/>
              </w:rPr>
            </w:pPr>
          </w:p>
        </w:tc>
        <w:tc>
          <w:tcPr>
            <w:tcW w:w="440" w:type="dxa"/>
            <w:vAlign w:val="bottom"/>
            <w:gridSpan w:val="2"/>
          </w:tcPr>
          <w:p>
            <w:pPr>
              <w:jc w:val="center"/>
              <w:ind w:right="60"/>
              <w:spacing w:after="0"/>
              <w:rPr>
                <w:rFonts w:ascii="Arial" w:cs="Arial" w:eastAsia="Arial" w:hAnsi="Arial"/>
                <w:sz w:val="17"/>
                <w:szCs w:val="17"/>
                <w:color w:val="0000EE"/>
                <w:w w:val="89"/>
              </w:rPr>
            </w:pPr>
            <w:hyperlink r:id="rId180">
              <w:r>
                <w:rPr>
                  <w:rFonts w:ascii="Arial" w:cs="Arial" w:eastAsia="Arial" w:hAnsi="Arial"/>
                  <w:sz w:val="17"/>
                  <w:szCs w:val="17"/>
                  <w:color w:val="0000EE"/>
                  <w:w w:val="89"/>
                </w:rPr>
                <w:t>10.</w:t>
              </w:r>
              <w:r>
                <w:rPr>
                  <w:rFonts w:ascii="Arial" w:cs="Arial" w:eastAsia="Arial" w:hAnsi="Arial"/>
                  <w:sz w:val="17"/>
                  <w:szCs w:val="17"/>
                  <w:u w:val="single" w:color="auto"/>
                  <w:color w:val="0000EE"/>
                  <w:w w:val="89"/>
                </w:rPr>
                <w:t>31</w:t>
              </w:r>
            </w:hyperlink>
          </w:p>
        </w:tc>
        <w:tc>
          <w:tcPr>
            <w:tcW w:w="38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7"/>
                <w:szCs w:val="17"/>
                <w:color w:val="0000EE"/>
                <w:w w:val="90"/>
              </w:rPr>
            </w:pPr>
            <w:hyperlink r:id="rId180">
              <w:r>
                <w:rPr>
                  <w:rFonts w:ascii="Arial" w:cs="Arial" w:eastAsia="Arial" w:hAnsi="Arial"/>
                  <w:sz w:val="17"/>
                  <w:szCs w:val="17"/>
                  <w:color w:val="0000EE"/>
                  <w:w w:val="90"/>
                </w:rPr>
                <w:t>Amendment No. 3, dated as of May 30, 2014, to Lease Agreement, as Previously filed as an exhibit to the Company’s Quarterly Report on Form 10-</w:t>
              </w:r>
            </w:hyperlink>
          </w:p>
        </w:tc>
      </w:tr>
      <w:tr>
        <w:trPr>
          <w:trHeight w:val="20"/>
        </w:trPr>
        <w:tc>
          <w:tcPr>
            <w:tcW w:w="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4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80" w:type="dxa"/>
            <w:vAlign w:val="bottom"/>
            <w:gridSpan w:val="11"/>
          </w:tcPr>
          <w:p>
            <w:pPr>
              <w:spacing w:after="0" w:line="183" w:lineRule="exact"/>
              <w:rPr>
                <w:rFonts w:ascii="Arial" w:cs="Arial" w:eastAsia="Arial" w:hAnsi="Arial"/>
                <w:sz w:val="17"/>
                <w:szCs w:val="17"/>
                <w:color w:val="0000EE"/>
              </w:rPr>
            </w:pPr>
            <w:hyperlink r:id="rId180">
              <w:r>
                <w:rPr>
                  <w:rFonts w:ascii="Arial" w:cs="Arial" w:eastAsia="Arial" w:hAnsi="Arial"/>
                  <w:sz w:val="17"/>
                  <w:szCs w:val="17"/>
                  <w:color w:val="0000EE"/>
                </w:rPr>
                <w:t>subsequently amended, between Seven October Hill LLC and Harvard Q (filed August 7, 2014) and incorporated by reference thereto</w:t>
              </w:r>
            </w:hyperlink>
          </w:p>
        </w:tc>
      </w:tr>
      <w:tr>
        <w:trPr>
          <w:trHeight w:val="182"/>
        </w:trPr>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740" w:type="dxa"/>
            <w:vAlign w:val="bottom"/>
            <w:tcBorders>
              <w:top w:val="single" w:sz="8" w:color="0000EE"/>
            </w:tcBorders>
            <w:gridSpan w:val="5"/>
          </w:tcPr>
          <w:p>
            <w:pPr>
              <w:spacing w:after="0" w:line="183" w:lineRule="exact"/>
              <w:rPr>
                <w:rFonts w:ascii="Arial" w:cs="Arial" w:eastAsia="Arial" w:hAnsi="Arial"/>
                <w:sz w:val="17"/>
                <w:szCs w:val="17"/>
                <w:color w:val="0000EE"/>
              </w:rPr>
            </w:pPr>
            <w:hyperlink r:id="rId180">
              <w:r>
                <w:rPr>
                  <w:rFonts w:ascii="Arial" w:cs="Arial" w:eastAsia="Arial" w:hAnsi="Arial"/>
                  <w:sz w:val="17"/>
                  <w:szCs w:val="17"/>
                  <w:color w:val="0000EE"/>
                </w:rPr>
                <w:t>Bioscience, Inc.</w:t>
              </w:r>
            </w:hyperlink>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39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228" w:right="319" w:bottom="1440" w:gutter="0" w:footer="0" w:header="0"/>
          <w:type w:val="continuous"/>
        </w:sectPr>
      </w:pPr>
    </w:p>
    <w:p>
      <w:pPr>
        <w:spacing w:after="0" w:line="15" w:lineRule="exact"/>
        <w:rPr>
          <w:sz w:val="20"/>
          <w:szCs w:val="20"/>
          <w:color w:val="auto"/>
        </w:rPr>
      </w:pPr>
    </w:p>
    <w:p>
      <w:pPr>
        <w:ind w:left="380"/>
        <w:spacing w:after="0"/>
        <w:tabs>
          <w:tab w:leader="none" w:pos="1240" w:val="left"/>
        </w:tabs>
        <w:rPr>
          <w:rFonts w:ascii="Arial" w:cs="Arial" w:eastAsia="Arial" w:hAnsi="Arial"/>
          <w:sz w:val="15"/>
          <w:szCs w:val="15"/>
          <w:u w:val="single" w:color="auto"/>
          <w:color w:val="0000EE"/>
        </w:rPr>
      </w:pPr>
      <w:hyperlink r:id="rId181">
        <w:r>
          <w:rPr>
            <w:rFonts w:ascii="Arial" w:cs="Arial" w:eastAsia="Arial" w:hAnsi="Arial"/>
            <w:sz w:val="17"/>
            <w:szCs w:val="17"/>
            <w:u w:val="single" w:color="auto"/>
            <w:color w:val="0000EE"/>
          </w:rPr>
          <w:t>10.32 #</w:t>
        </w:r>
      </w:hyperlink>
      <w:r>
        <w:rPr>
          <w:rFonts w:ascii="Arial" w:cs="Arial" w:eastAsia="Arial" w:hAnsi="Arial"/>
          <w:sz w:val="17"/>
          <w:szCs w:val="17"/>
          <w:u w:val="single" w:color="auto"/>
          <w:color w:val="0000EE"/>
        </w:rPr>
        <w:tab/>
      </w:r>
      <w:hyperlink r:id="rId181">
        <w:r>
          <w:rPr>
            <w:rFonts w:ascii="Arial" w:cs="Arial" w:eastAsia="Arial" w:hAnsi="Arial"/>
            <w:sz w:val="15"/>
            <w:szCs w:val="15"/>
            <w:u w:val="single" w:color="auto"/>
            <w:color w:val="0000EE"/>
          </w:rPr>
          <w:t>Second Amendment to Employment Agreement, dated as of March 1,</w:t>
        </w:r>
      </w:hyperlink>
    </w:p>
    <w:p>
      <w:pPr>
        <w:spacing w:after="0" w:line="19" w:lineRule="exact"/>
        <w:rPr>
          <w:sz w:val="20"/>
          <w:szCs w:val="20"/>
          <w:color w:val="auto"/>
        </w:rPr>
      </w:pPr>
    </w:p>
    <w:p>
      <w:pPr>
        <w:ind w:left="1260"/>
        <w:spacing w:after="0"/>
        <w:rPr>
          <w:rFonts w:ascii="Arial" w:cs="Arial" w:eastAsia="Arial" w:hAnsi="Arial"/>
          <w:sz w:val="16"/>
          <w:szCs w:val="16"/>
          <w:u w:val="single" w:color="auto"/>
          <w:color w:val="0000EE"/>
        </w:rPr>
      </w:pPr>
      <w:hyperlink r:id="rId181">
        <w:r>
          <w:rPr>
            <w:rFonts w:ascii="Arial" w:cs="Arial" w:eastAsia="Arial" w:hAnsi="Arial"/>
            <w:sz w:val="16"/>
            <w:szCs w:val="16"/>
            <w:u w:val="single" w:color="auto"/>
            <w:color w:val="0000EE"/>
          </w:rPr>
          <w:t>2015, between Harvard Bioscience, Inc. and Jeffrey A. Duchemin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285115</wp:posOffset>
            </wp:positionV>
            <wp:extent cx="7255510"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auto"/>
        <w:rPr>
          <w:rFonts w:ascii="Arial" w:cs="Arial" w:eastAsia="Arial" w:hAnsi="Arial"/>
          <w:sz w:val="17"/>
          <w:szCs w:val="17"/>
          <w:u w:val="single" w:color="auto"/>
          <w:color w:val="0000EE"/>
        </w:rPr>
      </w:pPr>
      <w:hyperlink r:id="rId181">
        <w:r>
          <w:rPr>
            <w:rFonts w:ascii="Arial" w:cs="Arial" w:eastAsia="Arial" w:hAnsi="Arial"/>
            <w:sz w:val="17"/>
            <w:szCs w:val="17"/>
            <w:u w:val="single" w:color="auto"/>
            <w:color w:val="0000EE"/>
          </w:rPr>
          <w:t>Previously filed as an exhibit to the Company’s Quarterly Report on Form 10-</w:t>
        </w:r>
      </w:hyperlink>
      <w:hyperlink r:id="rId181">
        <w:r>
          <w:rPr>
            <w:rFonts w:ascii="Arial" w:cs="Arial" w:eastAsia="Arial" w:hAnsi="Arial"/>
            <w:sz w:val="17"/>
            <w:szCs w:val="17"/>
            <w:u w:val="single" w:color="auto"/>
            <w:color w:val="0000EE"/>
          </w:rPr>
          <w:t>Q (filed May 7, 2015) and incorporated by reference thereto</w:t>
        </w:r>
      </w:hyperlink>
    </w:p>
    <w:p>
      <w:pPr>
        <w:sectPr>
          <w:pgSz w:w="11900" w:h="16838" w:orient="portrait"/>
          <w:cols w:equalWidth="0" w:num="2">
            <w:col w:w="5980" w:space="80"/>
            <w:col w:w="5280"/>
          </w:cols>
          <w:pgMar w:left="240" w:top="228" w:right="319" w:bottom="1440" w:gutter="0" w:footer="0" w:header="0"/>
          <w:type w:val="continuous"/>
        </w:sectPr>
      </w:pPr>
    </w:p>
    <w:bookmarkStart w:id="87" w:name="page88"/>
    <w:bookmarkEnd w:id="8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5" w:lineRule="exact"/>
        <w:rPr>
          <w:sz w:val="20"/>
          <w:szCs w:val="20"/>
          <w:color w:val="auto"/>
        </w:rPr>
      </w:pPr>
    </w:p>
    <w:p>
      <w:pPr>
        <w:ind w:left="1260" w:hanging="822"/>
        <w:spacing w:after="0" w:line="256" w:lineRule="auto"/>
        <w:tabs>
          <w:tab w:leader="none" w:pos="1240" w:val="left"/>
        </w:tabs>
        <w:rPr>
          <w:rFonts w:ascii="Arial" w:cs="Arial" w:eastAsia="Arial" w:hAnsi="Arial"/>
          <w:sz w:val="17"/>
          <w:szCs w:val="17"/>
          <w:u w:val="single" w:color="auto"/>
          <w:color w:val="0000EE"/>
        </w:rPr>
      </w:pPr>
      <w:hyperlink r:id="rId183">
        <w:r>
          <w:rPr>
            <w:rFonts w:ascii="Arial" w:cs="Arial" w:eastAsia="Arial" w:hAnsi="Arial"/>
            <w:sz w:val="17"/>
            <w:szCs w:val="17"/>
            <w:u w:val="single" w:color="auto"/>
            <w:color w:val="0000EE"/>
          </w:rPr>
          <w:t>10.33</w:t>
        </w:r>
      </w:hyperlink>
      <w:r>
        <w:rPr>
          <w:rFonts w:ascii="Arial" w:cs="Arial" w:eastAsia="Arial" w:hAnsi="Arial"/>
          <w:sz w:val="17"/>
          <w:szCs w:val="17"/>
          <w:u w:val="single" w:color="auto"/>
          <w:color w:val="0000EE"/>
        </w:rPr>
        <w:tab/>
      </w:r>
      <w:hyperlink r:id="rId183">
        <w:r>
          <w:rPr>
            <w:rFonts w:ascii="Arial" w:cs="Arial" w:eastAsia="Arial" w:hAnsi="Arial"/>
            <w:sz w:val="17"/>
            <w:szCs w:val="17"/>
            <w:u w:val="single" w:color="auto"/>
            <w:color w:val="0000EE"/>
          </w:rPr>
          <w:t>Third Amendment to Second Amended and Restated Credit</w:t>
        </w:r>
      </w:hyperlink>
      <w:r>
        <w:rPr>
          <w:rFonts w:ascii="Arial" w:cs="Arial" w:eastAsia="Arial" w:hAnsi="Arial"/>
          <w:sz w:val="17"/>
          <w:szCs w:val="17"/>
          <w:u w:val="single" w:color="auto"/>
          <w:color w:val="0000EE"/>
        </w:rPr>
        <w:t xml:space="preserve"> </w:t>
      </w:r>
      <w:hyperlink r:id="rId183">
        <w:r>
          <w:rPr>
            <w:rFonts w:ascii="Arial" w:cs="Arial" w:eastAsia="Arial" w:hAnsi="Arial"/>
            <w:sz w:val="17"/>
            <w:szCs w:val="17"/>
            <w:u w:val="single" w:color="auto"/>
            <w:color w:val="0000EE"/>
          </w:rPr>
          <w:t>Agreement and Waiver dated as of April 24, 2015, by and among</w:t>
        </w:r>
      </w:hyperlink>
      <w:r>
        <w:rPr>
          <w:rFonts w:ascii="Arial" w:cs="Arial" w:eastAsia="Arial" w:hAnsi="Arial"/>
          <w:sz w:val="17"/>
          <w:szCs w:val="17"/>
          <w:u w:val="single" w:color="auto"/>
          <w:color w:val="0000EE"/>
        </w:rPr>
        <w:t xml:space="preserve"> </w:t>
      </w:r>
      <w:hyperlink r:id="rId183">
        <w:r>
          <w:rPr>
            <w:rFonts w:ascii="Arial" w:cs="Arial" w:eastAsia="Arial" w:hAnsi="Arial"/>
            <w:sz w:val="17"/>
            <w:szCs w:val="17"/>
            <w:u w:val="single" w:color="auto"/>
            <w:color w:val="0000EE"/>
          </w:rPr>
          <w:t>Harvard Bioscience, Inc. Bank of America, N.A. and Brown Brothers</w:t>
        </w:r>
      </w:hyperlink>
      <w:r>
        <w:rPr>
          <w:rFonts w:ascii="Arial" w:cs="Arial" w:eastAsia="Arial" w:hAnsi="Arial"/>
          <w:sz w:val="17"/>
          <w:szCs w:val="17"/>
          <w:u w:val="single" w:color="auto"/>
          <w:color w:val="0000EE"/>
        </w:rPr>
        <w:t xml:space="preserve"> </w:t>
      </w:r>
      <w:hyperlink r:id="rId183">
        <w:r>
          <w:rPr>
            <w:rFonts w:ascii="Arial" w:cs="Arial" w:eastAsia="Arial" w:hAnsi="Arial"/>
            <w:sz w:val="17"/>
            <w:szCs w:val="17"/>
            <w:u w:val="single" w:color="auto"/>
            <w:color w:val="0000EE"/>
          </w:rPr>
          <w:t>Harriman &amp; Co.</w:t>
        </w:r>
      </w:hyperlink>
    </w:p>
    <w:p>
      <w:pPr>
        <w:spacing w:after="0" w:line="178" w:lineRule="exact"/>
        <w:rPr>
          <w:rFonts w:ascii="Arial" w:cs="Arial" w:eastAsia="Arial" w:hAnsi="Arial"/>
          <w:sz w:val="17"/>
          <w:szCs w:val="17"/>
          <w:u w:val="single" w:color="auto"/>
          <w:color w:val="0000EE"/>
        </w:rPr>
      </w:pPr>
    </w:p>
    <w:p>
      <w:pPr>
        <w:ind w:left="1260" w:hanging="822"/>
        <w:spacing w:after="0" w:line="256" w:lineRule="auto"/>
        <w:tabs>
          <w:tab w:leader="none" w:pos="1240" w:val="left"/>
        </w:tabs>
        <w:rPr>
          <w:rFonts w:ascii="Arial" w:cs="Arial" w:eastAsia="Arial" w:hAnsi="Arial"/>
          <w:sz w:val="17"/>
          <w:szCs w:val="17"/>
          <w:u w:val="single" w:color="auto"/>
          <w:color w:val="0000EE"/>
        </w:rPr>
      </w:pPr>
      <w:hyperlink r:id="rId184">
        <w:r>
          <w:rPr>
            <w:rFonts w:ascii="Arial" w:cs="Arial" w:eastAsia="Arial" w:hAnsi="Arial"/>
            <w:sz w:val="17"/>
            <w:szCs w:val="17"/>
            <w:u w:val="single" w:color="auto"/>
            <w:color w:val="0000EE"/>
          </w:rPr>
          <w:t>10.34</w:t>
        </w:r>
      </w:hyperlink>
      <w:r>
        <w:rPr>
          <w:rFonts w:ascii="Arial" w:cs="Arial" w:eastAsia="Arial" w:hAnsi="Arial"/>
          <w:sz w:val="17"/>
          <w:szCs w:val="17"/>
          <w:u w:val="single" w:color="auto"/>
          <w:color w:val="0000EE"/>
        </w:rPr>
        <w:tab/>
      </w:r>
      <w:hyperlink r:id="rId184">
        <w:r>
          <w:rPr>
            <w:rFonts w:ascii="Arial" w:cs="Arial" w:eastAsia="Arial" w:hAnsi="Arial"/>
            <w:sz w:val="17"/>
            <w:szCs w:val="17"/>
            <w:u w:val="single" w:color="auto"/>
            <w:color w:val="0000EE"/>
          </w:rPr>
          <w:t>Fourth Amendment to Second Amended and Restated Credit</w:t>
        </w:r>
      </w:hyperlink>
      <w:r>
        <w:rPr>
          <w:rFonts w:ascii="Arial" w:cs="Arial" w:eastAsia="Arial" w:hAnsi="Arial"/>
          <w:sz w:val="17"/>
          <w:szCs w:val="17"/>
          <w:u w:val="single" w:color="auto"/>
          <w:color w:val="0000EE"/>
        </w:rPr>
        <w:t xml:space="preserve"> </w:t>
      </w:r>
      <w:hyperlink r:id="rId184">
        <w:r>
          <w:rPr>
            <w:rFonts w:ascii="Arial" w:cs="Arial" w:eastAsia="Arial" w:hAnsi="Arial"/>
            <w:sz w:val="17"/>
            <w:szCs w:val="17"/>
            <w:u w:val="single" w:color="auto"/>
            <w:color w:val="0000EE"/>
          </w:rPr>
          <w:t>Agreement and Waiver dated as of June, 30, 2015, by and among</w:t>
        </w:r>
      </w:hyperlink>
      <w:r>
        <w:rPr>
          <w:rFonts w:ascii="Arial" w:cs="Arial" w:eastAsia="Arial" w:hAnsi="Arial"/>
          <w:sz w:val="17"/>
          <w:szCs w:val="17"/>
          <w:u w:val="single" w:color="auto"/>
          <w:color w:val="0000EE"/>
        </w:rPr>
        <w:t xml:space="preserve"> </w:t>
      </w:r>
      <w:hyperlink r:id="rId184">
        <w:r>
          <w:rPr>
            <w:rFonts w:ascii="Arial" w:cs="Arial" w:eastAsia="Arial" w:hAnsi="Arial"/>
            <w:sz w:val="17"/>
            <w:szCs w:val="17"/>
            <w:u w:val="single" w:color="auto"/>
            <w:color w:val="0000EE"/>
          </w:rPr>
          <w:t>Harvard Bioscience, Inc. Bank of America, N.A. and Brown Brothers</w:t>
        </w:r>
      </w:hyperlink>
      <w:r>
        <w:rPr>
          <w:rFonts w:ascii="Arial" w:cs="Arial" w:eastAsia="Arial" w:hAnsi="Arial"/>
          <w:sz w:val="17"/>
          <w:szCs w:val="17"/>
          <w:u w:val="single" w:color="auto"/>
          <w:color w:val="0000EE"/>
        </w:rPr>
        <w:t xml:space="preserve"> </w:t>
      </w:r>
      <w:hyperlink r:id="rId184">
        <w:r>
          <w:rPr>
            <w:rFonts w:ascii="Arial" w:cs="Arial" w:eastAsia="Arial" w:hAnsi="Arial"/>
            <w:sz w:val="17"/>
            <w:szCs w:val="17"/>
            <w:u w:val="single" w:color="auto"/>
            <w:color w:val="0000EE"/>
          </w:rPr>
          <w:t>Harriman &amp; Co.</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200" w:lineRule="exact"/>
        <w:rPr>
          <w:rFonts w:ascii="Arial" w:cs="Arial" w:eastAsia="Arial" w:hAnsi="Arial"/>
          <w:sz w:val="17"/>
          <w:szCs w:val="17"/>
          <w:u w:val="single" w:color="auto"/>
          <w:color w:val="0000EE"/>
        </w:rPr>
      </w:pPr>
    </w:p>
    <w:p>
      <w:pPr>
        <w:spacing w:after="0" w:line="210" w:lineRule="exact"/>
        <w:rPr>
          <w:rFonts w:ascii="Arial" w:cs="Arial" w:eastAsia="Arial" w:hAnsi="Arial"/>
          <w:sz w:val="17"/>
          <w:szCs w:val="17"/>
          <w:u w:val="single" w:color="auto"/>
          <w:color w:val="0000EE"/>
        </w:rPr>
      </w:pPr>
    </w:p>
    <w:p>
      <w:pPr>
        <w:spacing w:after="0" w:line="303" w:lineRule="auto"/>
        <w:rPr>
          <w:rFonts w:ascii="Arial" w:cs="Arial" w:eastAsia="Arial" w:hAnsi="Arial"/>
          <w:sz w:val="16"/>
          <w:szCs w:val="16"/>
          <w:u w:val="single" w:color="auto"/>
          <w:color w:val="0000EE"/>
        </w:rPr>
      </w:pPr>
      <w:hyperlink r:id="rId183">
        <w:r>
          <w:rPr>
            <w:rFonts w:ascii="Arial" w:cs="Arial" w:eastAsia="Arial" w:hAnsi="Arial"/>
            <w:sz w:val="16"/>
            <w:szCs w:val="16"/>
            <w:u w:val="single" w:color="auto"/>
            <w:color w:val="0000EE"/>
          </w:rPr>
          <w:t>Previously filed as an exhibit to the Company’s Quarterly Report on Form 10-</w:t>
        </w:r>
      </w:hyperlink>
      <w:hyperlink r:id="rId183">
        <w:r>
          <w:rPr>
            <w:rFonts w:ascii="Arial" w:cs="Arial" w:eastAsia="Arial" w:hAnsi="Arial"/>
            <w:sz w:val="16"/>
            <w:szCs w:val="16"/>
            <w:u w:val="single" w:color="auto"/>
            <w:color w:val="0000EE"/>
          </w:rPr>
          <w:t>Q (filed August 6, 2015) and incorporated by reference thereto</w:t>
        </w:r>
      </w:hyperlink>
    </w:p>
    <w:p>
      <w:pPr>
        <w:spacing w:after="0" w:line="200" w:lineRule="exact"/>
        <w:rPr>
          <w:sz w:val="20"/>
          <w:szCs w:val="20"/>
          <w:color w:val="auto"/>
        </w:rPr>
      </w:pPr>
    </w:p>
    <w:p>
      <w:pPr>
        <w:spacing w:after="0" w:line="348" w:lineRule="exact"/>
        <w:rPr>
          <w:sz w:val="20"/>
          <w:szCs w:val="20"/>
          <w:color w:val="auto"/>
        </w:rPr>
      </w:pPr>
    </w:p>
    <w:p>
      <w:pPr>
        <w:spacing w:after="0" w:line="303" w:lineRule="auto"/>
        <w:rPr>
          <w:rFonts w:ascii="Arial" w:cs="Arial" w:eastAsia="Arial" w:hAnsi="Arial"/>
          <w:sz w:val="16"/>
          <w:szCs w:val="16"/>
          <w:u w:val="single" w:color="auto"/>
          <w:color w:val="0000EE"/>
        </w:rPr>
      </w:pPr>
      <w:hyperlink r:id="rId184">
        <w:r>
          <w:rPr>
            <w:rFonts w:ascii="Arial" w:cs="Arial" w:eastAsia="Arial" w:hAnsi="Arial"/>
            <w:sz w:val="16"/>
            <w:szCs w:val="16"/>
            <w:u w:val="single" w:color="auto"/>
            <w:color w:val="0000EE"/>
          </w:rPr>
          <w:t>Previously filed as an exhibit to the Company’s Quarterly Report on Form 10-</w:t>
        </w:r>
      </w:hyperlink>
      <w:hyperlink r:id="rId184">
        <w:r>
          <w:rPr>
            <w:rFonts w:ascii="Arial" w:cs="Arial" w:eastAsia="Arial" w:hAnsi="Arial"/>
            <w:sz w:val="16"/>
            <w:szCs w:val="16"/>
            <w:u w:val="single" w:color="auto"/>
            <w:color w:val="0000EE"/>
          </w:rPr>
          <w:t>Q (filed August 6, 2015) and incorporated by reference thereto</w:t>
        </w:r>
      </w:hyperlink>
    </w:p>
    <w:p>
      <w:pPr>
        <w:spacing w:after="0" w:line="529" w:lineRule="exact"/>
        <w:rPr>
          <w:sz w:val="20"/>
          <w:szCs w:val="20"/>
          <w:color w:val="auto"/>
        </w:rPr>
      </w:pPr>
    </w:p>
    <w:p>
      <w:pPr>
        <w:sectPr>
          <w:pgSz w:w="11900" w:h="16838" w:orient="portrait"/>
          <w:cols w:equalWidth="0" w:num="2">
            <w:col w:w="5960" w:space="100"/>
            <w:col w:w="5280"/>
          </w:cols>
          <w:pgMar w:left="240" w:top="228" w:right="319" w:bottom="1440" w:gutter="0" w:footer="0" w:header="0"/>
        </w:sectPr>
      </w:pPr>
    </w:p>
    <w:tbl>
      <w:tblPr>
        <w:tblLayout w:type="fixed"/>
        <w:tblInd w:w="440" w:type="dxa"/>
        <w:tblCellMar>
          <w:top w:w="0" w:type="dxa"/>
          <w:left w:w="0" w:type="dxa"/>
          <w:bottom w:w="0" w:type="dxa"/>
          <w:right w:w="0" w:type="dxa"/>
        </w:tblCellMar>
      </w:tblPr>
      <w:tr>
        <w:trPr>
          <w:trHeight w:val="195"/>
        </w:trPr>
        <w:tc>
          <w:tcPr>
            <w:tcW w:w="820" w:type="dxa"/>
            <w:vAlign w:val="bottom"/>
            <w:gridSpan w:val="2"/>
          </w:tcPr>
          <w:p>
            <w:pPr>
              <w:jc w:val="right"/>
              <w:ind w:right="440"/>
              <w:spacing w:after="0"/>
              <w:rPr>
                <w:rFonts w:ascii="Arial" w:cs="Arial" w:eastAsia="Arial" w:hAnsi="Arial"/>
                <w:sz w:val="17"/>
                <w:szCs w:val="17"/>
                <w:color w:val="0000EE"/>
                <w:w w:val="84"/>
              </w:rPr>
            </w:pPr>
            <w:hyperlink r:id="rId185">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35</w:t>
              </w:r>
            </w:hyperlink>
          </w:p>
        </w:tc>
        <w:tc>
          <w:tcPr>
            <w:tcW w:w="4800" w:type="dxa"/>
            <w:vAlign w:val="bottom"/>
            <w:gridSpan w:val="12"/>
          </w:tcPr>
          <w:p>
            <w:pPr>
              <w:spacing w:after="0"/>
              <w:rPr>
                <w:rFonts w:ascii="Arial" w:cs="Arial" w:eastAsia="Arial" w:hAnsi="Arial"/>
                <w:sz w:val="17"/>
                <w:szCs w:val="17"/>
                <w:color w:val="0000EE"/>
              </w:rPr>
            </w:pPr>
            <w:hyperlink r:id="rId185">
              <w:r>
                <w:rPr>
                  <w:rFonts w:ascii="Arial" w:cs="Arial" w:eastAsia="Arial" w:hAnsi="Arial"/>
                  <w:sz w:val="17"/>
                  <w:szCs w:val="17"/>
                  <w:color w:val="0000EE"/>
                </w:rPr>
                <w:t>Form of Deferred Stock Award Agreement under the Harvard</w:t>
              </w:r>
            </w:hyperlink>
          </w:p>
        </w:tc>
        <w:tc>
          <w:tcPr>
            <w:tcW w:w="5280" w:type="dxa"/>
            <w:vAlign w:val="bottom"/>
            <w:gridSpan w:val="6"/>
          </w:tcPr>
          <w:p>
            <w:pPr>
              <w:spacing w:after="0"/>
              <w:rPr>
                <w:rFonts w:ascii="Arial" w:cs="Arial" w:eastAsia="Arial" w:hAnsi="Arial"/>
                <w:sz w:val="17"/>
                <w:szCs w:val="17"/>
                <w:color w:val="0000EE"/>
                <w:w w:val="90"/>
              </w:rPr>
            </w:pPr>
            <w:hyperlink r:id="rId185">
              <w:r>
                <w:rPr>
                  <w:rFonts w:ascii="Arial" w:cs="Arial" w:eastAsia="Arial" w:hAnsi="Arial"/>
                  <w:sz w:val="17"/>
                  <w:szCs w:val="17"/>
                  <w:color w:val="0000EE"/>
                  <w:w w:val="90"/>
                </w:rPr>
                <w:t>Previously filed as an exhibit to the Company’s Quarterly Report on Form 10-</w:t>
              </w:r>
            </w:hyperlink>
          </w:p>
        </w:tc>
      </w:tr>
      <w:tr>
        <w:trPr>
          <w:trHeight w:val="20"/>
        </w:trPr>
        <w:tc>
          <w:tcPr>
            <w:tcW w:w="3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182"/>
        </w:trPr>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80" w:type="dxa"/>
            <w:vAlign w:val="bottom"/>
            <w:gridSpan w:val="18"/>
          </w:tcPr>
          <w:p>
            <w:pPr>
              <w:spacing w:after="0" w:line="183" w:lineRule="exact"/>
              <w:rPr>
                <w:rFonts w:ascii="Arial" w:cs="Arial" w:eastAsia="Arial" w:hAnsi="Arial"/>
                <w:sz w:val="17"/>
                <w:szCs w:val="17"/>
                <w:color w:val="0000EE"/>
                <w:w w:val="98"/>
              </w:rPr>
            </w:pPr>
            <w:hyperlink r:id="rId185">
              <w:r>
                <w:rPr>
                  <w:rFonts w:ascii="Arial" w:cs="Arial" w:eastAsia="Arial" w:hAnsi="Arial"/>
                  <w:sz w:val="17"/>
                  <w:szCs w:val="17"/>
                  <w:color w:val="0000EE"/>
                  <w:w w:val="98"/>
                </w:rPr>
                <w:t>Bioscience, Inc. Third Amended and Restated 2000 Stock Option And Q (filed November 5, 2015) and incorporated by reference thereto</w:t>
              </w:r>
            </w:hyperlink>
          </w:p>
        </w:tc>
      </w:tr>
      <w:tr>
        <w:trPr>
          <w:trHeight w:val="182"/>
        </w:trPr>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60" w:type="dxa"/>
            <w:vAlign w:val="bottom"/>
            <w:tcBorders>
              <w:top w:val="single" w:sz="8" w:color="0000EE"/>
              <w:bottom w:val="single" w:sz="8" w:color="0000EE"/>
            </w:tcBorders>
            <w:gridSpan w:val="3"/>
          </w:tcPr>
          <w:p>
            <w:pPr>
              <w:spacing w:after="0" w:line="183" w:lineRule="exact"/>
              <w:rPr>
                <w:rFonts w:ascii="Arial" w:cs="Arial" w:eastAsia="Arial" w:hAnsi="Arial"/>
                <w:sz w:val="17"/>
                <w:szCs w:val="17"/>
                <w:color w:val="0000EE"/>
                <w:w w:val="87"/>
              </w:rPr>
            </w:pPr>
            <w:hyperlink r:id="rId185">
              <w:r>
                <w:rPr>
                  <w:rFonts w:ascii="Arial" w:cs="Arial" w:eastAsia="Arial" w:hAnsi="Arial"/>
                  <w:sz w:val="17"/>
                  <w:szCs w:val="17"/>
                  <w:color w:val="0000EE"/>
                  <w:w w:val="87"/>
                </w:rPr>
                <w:t>Incentive Plan, as amended</w:t>
              </w:r>
            </w:hyperlink>
          </w:p>
        </w:tc>
        <w:tc>
          <w:tcPr>
            <w:tcW w:w="2900" w:type="dxa"/>
            <w:vAlign w:val="bottom"/>
            <w:tcBorders>
              <w:top w:val="single" w:sz="8" w:color="0000EE"/>
            </w:tcBorders>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40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85"/>
        </w:trPr>
        <w:tc>
          <w:tcPr>
            <w:tcW w:w="820" w:type="dxa"/>
            <w:vAlign w:val="bottom"/>
            <w:gridSpan w:val="2"/>
          </w:tcPr>
          <w:p>
            <w:pPr>
              <w:jc w:val="right"/>
              <w:ind w:right="440"/>
              <w:spacing w:after="0"/>
              <w:rPr>
                <w:rFonts w:ascii="Arial" w:cs="Arial" w:eastAsia="Arial" w:hAnsi="Arial"/>
                <w:sz w:val="17"/>
                <w:szCs w:val="17"/>
                <w:color w:val="0000EE"/>
                <w:w w:val="84"/>
              </w:rPr>
            </w:pPr>
            <w:hyperlink r:id="rId186">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36</w:t>
              </w:r>
            </w:hyperlink>
          </w:p>
        </w:tc>
        <w:tc>
          <w:tcPr>
            <w:tcW w:w="10080" w:type="dxa"/>
            <w:vAlign w:val="bottom"/>
            <w:gridSpan w:val="18"/>
          </w:tcPr>
          <w:p>
            <w:pPr>
              <w:spacing w:after="0"/>
              <w:rPr>
                <w:rFonts w:ascii="Arial" w:cs="Arial" w:eastAsia="Arial" w:hAnsi="Arial"/>
                <w:sz w:val="17"/>
                <w:szCs w:val="17"/>
                <w:color w:val="0000EE"/>
                <w:w w:val="90"/>
              </w:rPr>
            </w:pPr>
            <w:hyperlink r:id="rId186">
              <w:r>
                <w:rPr>
                  <w:rFonts w:ascii="Arial" w:cs="Arial" w:eastAsia="Arial" w:hAnsi="Arial"/>
                  <w:sz w:val="17"/>
                  <w:szCs w:val="17"/>
                  <w:color w:val="0000EE"/>
                  <w:w w:val="90"/>
                </w:rPr>
                <w:t>Fifth Amendment to Second Amended and Restated Credit Agreement Previously filed as an exhibit to the Company’s Annual Report on Form 10-K</w:t>
              </w:r>
            </w:hyperlink>
          </w:p>
        </w:tc>
      </w:tr>
      <w:tr>
        <w:trPr>
          <w:trHeight w:val="182"/>
        </w:trPr>
        <w:tc>
          <w:tcPr>
            <w:tcW w:w="38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4780" w:type="dxa"/>
            <w:vAlign w:val="bottom"/>
            <w:tcBorders>
              <w:top w:val="single" w:sz="8" w:color="0000EE"/>
            </w:tcBorders>
            <w:gridSpan w:val="11"/>
          </w:tcPr>
          <w:p>
            <w:pPr>
              <w:spacing w:after="0" w:line="183" w:lineRule="exact"/>
              <w:rPr>
                <w:rFonts w:ascii="Arial" w:cs="Arial" w:eastAsia="Arial" w:hAnsi="Arial"/>
                <w:sz w:val="17"/>
                <w:szCs w:val="17"/>
                <w:color w:val="0000EE"/>
                <w:w w:val="94"/>
              </w:rPr>
            </w:pPr>
            <w:hyperlink r:id="rId186">
              <w:r>
                <w:rPr>
                  <w:rFonts w:ascii="Arial" w:cs="Arial" w:eastAsia="Arial" w:hAnsi="Arial"/>
                  <w:sz w:val="17"/>
                  <w:szCs w:val="17"/>
                  <w:color w:val="0000EE"/>
                  <w:w w:val="94"/>
                </w:rPr>
                <w:t>and Waiver dated as of November 5, 2015, by and among Harvard</w:t>
              </w:r>
            </w:hyperlink>
          </w:p>
        </w:tc>
        <w:tc>
          <w:tcPr>
            <w:tcW w:w="20" w:type="dxa"/>
            <w:vAlign w:val="bottom"/>
          </w:tcPr>
          <w:p>
            <w:pPr>
              <w:spacing w:after="0"/>
              <w:rPr>
                <w:sz w:val="15"/>
                <w:szCs w:val="15"/>
                <w:color w:val="auto"/>
              </w:rPr>
            </w:pPr>
          </w:p>
        </w:tc>
        <w:tc>
          <w:tcPr>
            <w:tcW w:w="5240" w:type="dxa"/>
            <w:vAlign w:val="bottom"/>
            <w:tcBorders>
              <w:top w:val="single" w:sz="8" w:color="0000EE"/>
            </w:tcBorders>
            <w:gridSpan w:val="5"/>
          </w:tcPr>
          <w:p>
            <w:pPr>
              <w:spacing w:after="0" w:line="183" w:lineRule="exact"/>
              <w:rPr>
                <w:rFonts w:ascii="Arial" w:cs="Arial" w:eastAsia="Arial" w:hAnsi="Arial"/>
                <w:sz w:val="17"/>
                <w:szCs w:val="17"/>
                <w:color w:val="0000EE"/>
              </w:rPr>
            </w:pPr>
            <w:hyperlink r:id="rId186">
              <w:r>
                <w:rPr>
                  <w:rFonts w:ascii="Arial" w:cs="Arial" w:eastAsia="Arial" w:hAnsi="Arial"/>
                  <w:sz w:val="17"/>
                  <w:szCs w:val="17"/>
                  <w:color w:val="0000EE"/>
                </w:rPr>
                <w:t>(filed April 29, 2016) and incorporated by reference thereto</w:t>
              </w:r>
            </w:hyperlink>
          </w:p>
        </w:tc>
        <w:tc>
          <w:tcPr>
            <w:tcW w:w="4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0" w:type="dxa"/>
            <w:vAlign w:val="bottom"/>
            <w:tcBorders>
              <w:bottom w:val="single" w:sz="8" w:color="0000EE"/>
            </w:tcBorders>
            <w:gridSpan w:val="12"/>
          </w:tcPr>
          <w:p>
            <w:pPr>
              <w:spacing w:after="0" w:line="183" w:lineRule="exact"/>
              <w:rPr>
                <w:rFonts w:ascii="Arial" w:cs="Arial" w:eastAsia="Arial" w:hAnsi="Arial"/>
                <w:sz w:val="17"/>
                <w:szCs w:val="17"/>
                <w:color w:val="0000EE"/>
                <w:w w:val="91"/>
              </w:rPr>
            </w:pPr>
            <w:hyperlink r:id="rId186">
              <w:r>
                <w:rPr>
                  <w:rFonts w:ascii="Arial" w:cs="Arial" w:eastAsia="Arial" w:hAnsi="Arial"/>
                  <w:sz w:val="17"/>
                  <w:szCs w:val="17"/>
                  <w:color w:val="0000EE"/>
                  <w:w w:val="91"/>
                </w:rPr>
                <w:t>Bioscience, Inc. Bank of America, N.A. and Brown Brothers Harriman</w:t>
              </w:r>
            </w:hyperlink>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Borders>
              <w:bottom w:val="single" w:sz="8" w:color="0000EE"/>
            </w:tcBorders>
          </w:tcPr>
          <w:p>
            <w:pPr>
              <w:spacing w:after="0" w:line="183" w:lineRule="exact"/>
              <w:rPr>
                <w:rFonts w:ascii="Arial" w:cs="Arial" w:eastAsia="Arial" w:hAnsi="Arial"/>
                <w:sz w:val="17"/>
                <w:szCs w:val="17"/>
                <w:color w:val="0000EE"/>
                <w:w w:val="93"/>
              </w:rPr>
            </w:pPr>
            <w:hyperlink r:id="rId186">
              <w:r>
                <w:rPr>
                  <w:rFonts w:ascii="Arial" w:cs="Arial" w:eastAsia="Arial" w:hAnsi="Arial"/>
                  <w:sz w:val="17"/>
                  <w:szCs w:val="17"/>
                  <w:color w:val="0000EE"/>
                  <w:w w:val="93"/>
                </w:rPr>
                <w:t>&amp; Co.</w:t>
              </w:r>
            </w:hyperlink>
          </w:p>
        </w:tc>
        <w:tc>
          <w:tcPr>
            <w:tcW w:w="4380" w:type="dxa"/>
            <w:vAlign w:val="bottom"/>
            <w:gridSpan w:val="11"/>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85"/>
        </w:trPr>
        <w:tc>
          <w:tcPr>
            <w:tcW w:w="820" w:type="dxa"/>
            <w:vAlign w:val="bottom"/>
            <w:gridSpan w:val="2"/>
          </w:tcPr>
          <w:p>
            <w:pPr>
              <w:jc w:val="right"/>
              <w:ind w:right="440"/>
              <w:spacing w:after="0"/>
              <w:rPr>
                <w:rFonts w:ascii="Arial" w:cs="Arial" w:eastAsia="Arial" w:hAnsi="Arial"/>
                <w:sz w:val="17"/>
                <w:szCs w:val="17"/>
                <w:color w:val="0000EE"/>
                <w:w w:val="84"/>
              </w:rPr>
            </w:pPr>
            <w:hyperlink r:id="rId187">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37</w:t>
              </w:r>
            </w:hyperlink>
          </w:p>
        </w:tc>
        <w:tc>
          <w:tcPr>
            <w:tcW w:w="4800" w:type="dxa"/>
            <w:vAlign w:val="bottom"/>
            <w:gridSpan w:val="12"/>
          </w:tcPr>
          <w:p>
            <w:pPr>
              <w:spacing w:after="0"/>
              <w:rPr>
                <w:rFonts w:ascii="Arial" w:cs="Arial" w:eastAsia="Arial" w:hAnsi="Arial"/>
                <w:sz w:val="17"/>
                <w:szCs w:val="17"/>
                <w:color w:val="0000EE"/>
              </w:rPr>
            </w:pPr>
            <w:hyperlink r:id="rId187">
              <w:r>
                <w:rPr>
                  <w:rFonts w:ascii="Arial" w:cs="Arial" w:eastAsia="Arial" w:hAnsi="Arial"/>
                  <w:sz w:val="17"/>
                  <w:szCs w:val="17"/>
                  <w:color w:val="0000EE"/>
                </w:rPr>
                <w:t>Sixth Amendment to Second Amended and Restated Credit</w:t>
              </w:r>
            </w:hyperlink>
          </w:p>
        </w:tc>
        <w:tc>
          <w:tcPr>
            <w:tcW w:w="5280" w:type="dxa"/>
            <w:vAlign w:val="bottom"/>
            <w:gridSpan w:val="6"/>
          </w:tcPr>
          <w:p>
            <w:pPr>
              <w:spacing w:after="0"/>
              <w:rPr>
                <w:rFonts w:ascii="Arial" w:cs="Arial" w:eastAsia="Arial" w:hAnsi="Arial"/>
                <w:sz w:val="17"/>
                <w:szCs w:val="17"/>
                <w:color w:val="0000EE"/>
                <w:w w:val="90"/>
              </w:rPr>
            </w:pPr>
            <w:hyperlink r:id="rId187">
              <w:r>
                <w:rPr>
                  <w:rFonts w:ascii="Arial" w:cs="Arial" w:eastAsia="Arial" w:hAnsi="Arial"/>
                  <w:sz w:val="17"/>
                  <w:szCs w:val="17"/>
                  <w:color w:val="0000EE"/>
                  <w:w w:val="90"/>
                </w:rPr>
                <w:t>Previously filed as an exhibit to the Company’s Quarterly Report on Form 10-</w:t>
              </w:r>
            </w:hyperlink>
          </w:p>
        </w:tc>
      </w:tr>
      <w:tr>
        <w:trPr>
          <w:trHeight w:val="20"/>
        </w:trPr>
        <w:tc>
          <w:tcPr>
            <w:tcW w:w="3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r>
      <w:tr>
        <w:trPr>
          <w:trHeight w:val="182"/>
        </w:trPr>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0" w:type="dxa"/>
            <w:vAlign w:val="bottom"/>
            <w:gridSpan w:val="6"/>
          </w:tcPr>
          <w:p>
            <w:pPr>
              <w:spacing w:after="0" w:line="183" w:lineRule="exact"/>
              <w:rPr>
                <w:rFonts w:ascii="Arial" w:cs="Arial" w:eastAsia="Arial" w:hAnsi="Arial"/>
                <w:sz w:val="17"/>
                <w:szCs w:val="17"/>
                <w:color w:val="0000EE"/>
                <w:w w:val="89"/>
              </w:rPr>
            </w:pPr>
            <w:hyperlink r:id="rId187">
              <w:r>
                <w:rPr>
                  <w:rFonts w:ascii="Arial" w:cs="Arial" w:eastAsia="Arial" w:hAnsi="Arial"/>
                  <w:sz w:val="17"/>
                  <w:szCs w:val="17"/>
                  <w:color w:val="0000EE"/>
                  <w:w w:val="89"/>
                </w:rPr>
                <w:t>Agreement dated as of March 9, 2016, by and among Harvard</w:t>
              </w:r>
            </w:hyperlink>
          </w:p>
        </w:tc>
        <w:tc>
          <w:tcPr>
            <w:tcW w:w="600" w:type="dxa"/>
            <w:vAlign w:val="bottom"/>
            <w:gridSpan w:val="6"/>
          </w:tcPr>
          <w:p>
            <w:pPr>
              <w:spacing w:after="0"/>
              <w:rPr>
                <w:sz w:val="15"/>
                <w:szCs w:val="15"/>
                <w:color w:val="auto"/>
              </w:rPr>
            </w:pPr>
          </w:p>
        </w:tc>
        <w:tc>
          <w:tcPr>
            <w:tcW w:w="5280" w:type="dxa"/>
            <w:vAlign w:val="bottom"/>
            <w:gridSpan w:val="6"/>
          </w:tcPr>
          <w:p>
            <w:pPr>
              <w:spacing w:after="0" w:line="183" w:lineRule="exact"/>
              <w:rPr>
                <w:rFonts w:ascii="Arial" w:cs="Arial" w:eastAsia="Arial" w:hAnsi="Arial"/>
                <w:sz w:val="17"/>
                <w:szCs w:val="17"/>
                <w:color w:val="0000EE"/>
              </w:rPr>
            </w:pPr>
            <w:hyperlink r:id="rId187">
              <w:r>
                <w:rPr>
                  <w:rFonts w:ascii="Arial" w:cs="Arial" w:eastAsia="Arial" w:hAnsi="Arial"/>
                  <w:sz w:val="17"/>
                  <w:szCs w:val="17"/>
                  <w:color w:val="0000EE"/>
                </w:rPr>
                <w:t>Q (filed May 16, 2016) and incorporated by reference thereto</w:t>
              </w:r>
            </w:hyperlink>
          </w:p>
        </w:tc>
      </w:tr>
      <w:tr>
        <w:trPr>
          <w:trHeight w:val="20"/>
        </w:trPr>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100" w:type="dxa"/>
            <w:vAlign w:val="bottom"/>
            <w:gridSpan w:val="4"/>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0" w:type="dxa"/>
            <w:vAlign w:val="bottom"/>
            <w:tcBorders>
              <w:bottom w:val="single" w:sz="8" w:color="0000EE"/>
            </w:tcBorders>
            <w:gridSpan w:val="12"/>
          </w:tcPr>
          <w:p>
            <w:pPr>
              <w:spacing w:after="0" w:line="183" w:lineRule="exact"/>
              <w:rPr>
                <w:rFonts w:ascii="Arial" w:cs="Arial" w:eastAsia="Arial" w:hAnsi="Arial"/>
                <w:sz w:val="17"/>
                <w:szCs w:val="17"/>
                <w:color w:val="0000EE"/>
                <w:w w:val="91"/>
              </w:rPr>
            </w:pPr>
            <w:hyperlink r:id="rId187">
              <w:r>
                <w:rPr>
                  <w:rFonts w:ascii="Arial" w:cs="Arial" w:eastAsia="Arial" w:hAnsi="Arial"/>
                  <w:sz w:val="17"/>
                  <w:szCs w:val="17"/>
                  <w:color w:val="0000EE"/>
                  <w:w w:val="91"/>
                </w:rPr>
                <w:t>Bioscience, Inc. Bank of America, N.A. and Brown Brothers Harriman</w:t>
              </w:r>
            </w:hyperlink>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Borders>
              <w:bottom w:val="single" w:sz="8" w:color="0000EE"/>
            </w:tcBorders>
          </w:tcPr>
          <w:p>
            <w:pPr>
              <w:spacing w:after="0" w:line="183" w:lineRule="exact"/>
              <w:rPr>
                <w:rFonts w:ascii="Arial" w:cs="Arial" w:eastAsia="Arial" w:hAnsi="Arial"/>
                <w:sz w:val="17"/>
                <w:szCs w:val="17"/>
                <w:color w:val="0000EE"/>
                <w:w w:val="93"/>
              </w:rPr>
            </w:pPr>
            <w:hyperlink r:id="rId187">
              <w:r>
                <w:rPr>
                  <w:rFonts w:ascii="Arial" w:cs="Arial" w:eastAsia="Arial" w:hAnsi="Arial"/>
                  <w:sz w:val="17"/>
                  <w:szCs w:val="17"/>
                  <w:color w:val="0000EE"/>
                  <w:w w:val="93"/>
                </w:rPr>
                <w:t>&amp; Co.</w:t>
              </w:r>
            </w:hyperlink>
          </w:p>
        </w:tc>
        <w:tc>
          <w:tcPr>
            <w:tcW w:w="4380" w:type="dxa"/>
            <w:vAlign w:val="bottom"/>
            <w:gridSpan w:val="11"/>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85"/>
        </w:trPr>
        <w:tc>
          <w:tcPr>
            <w:tcW w:w="820" w:type="dxa"/>
            <w:vAlign w:val="bottom"/>
            <w:gridSpan w:val="2"/>
          </w:tcPr>
          <w:p>
            <w:pPr>
              <w:jc w:val="right"/>
              <w:ind w:right="440"/>
              <w:spacing w:after="0"/>
              <w:rPr>
                <w:rFonts w:ascii="Arial" w:cs="Arial" w:eastAsia="Arial" w:hAnsi="Arial"/>
                <w:sz w:val="17"/>
                <w:szCs w:val="17"/>
                <w:color w:val="0000EE"/>
                <w:w w:val="84"/>
              </w:rPr>
            </w:pPr>
            <w:hyperlink r:id="rId188">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38</w:t>
              </w:r>
            </w:hyperlink>
          </w:p>
        </w:tc>
        <w:tc>
          <w:tcPr>
            <w:tcW w:w="4800" w:type="dxa"/>
            <w:vAlign w:val="bottom"/>
            <w:gridSpan w:val="12"/>
          </w:tcPr>
          <w:p>
            <w:pPr>
              <w:spacing w:after="0"/>
              <w:rPr>
                <w:rFonts w:ascii="Arial" w:cs="Arial" w:eastAsia="Arial" w:hAnsi="Arial"/>
                <w:sz w:val="17"/>
                <w:szCs w:val="17"/>
                <w:color w:val="0000EE"/>
                <w:w w:val="93"/>
              </w:rPr>
            </w:pPr>
            <w:hyperlink r:id="rId188">
              <w:r>
                <w:rPr>
                  <w:rFonts w:ascii="Arial" w:cs="Arial" w:eastAsia="Arial" w:hAnsi="Arial"/>
                  <w:sz w:val="17"/>
                  <w:szCs w:val="17"/>
                  <w:color w:val="0000EE"/>
                  <w:w w:val="93"/>
                </w:rPr>
                <w:t>Limited Consent and Waiver dated as of May 5, 2016 by and among</w:t>
              </w:r>
            </w:hyperlink>
          </w:p>
        </w:tc>
        <w:tc>
          <w:tcPr>
            <w:tcW w:w="5280" w:type="dxa"/>
            <w:vAlign w:val="bottom"/>
            <w:gridSpan w:val="6"/>
          </w:tcPr>
          <w:p>
            <w:pPr>
              <w:spacing w:after="0"/>
              <w:rPr>
                <w:rFonts w:ascii="Arial" w:cs="Arial" w:eastAsia="Arial" w:hAnsi="Arial"/>
                <w:sz w:val="17"/>
                <w:szCs w:val="17"/>
                <w:color w:val="0000EE"/>
                <w:w w:val="90"/>
              </w:rPr>
            </w:pPr>
            <w:hyperlink r:id="rId188">
              <w:r>
                <w:rPr>
                  <w:rFonts w:ascii="Arial" w:cs="Arial" w:eastAsia="Arial" w:hAnsi="Arial"/>
                  <w:sz w:val="17"/>
                  <w:szCs w:val="17"/>
                  <w:color w:val="0000EE"/>
                  <w:w w:val="90"/>
                </w:rPr>
                <w:t>Previously filed as an exhibit to the Company’s Quarterly Report on Form 10-</w:t>
              </w:r>
            </w:hyperlink>
          </w:p>
        </w:tc>
      </w:tr>
      <w:tr>
        <w:trPr>
          <w:trHeight w:val="20"/>
        </w:trPr>
        <w:tc>
          <w:tcPr>
            <w:tcW w:w="3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5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240" w:type="dxa"/>
            <w:vAlign w:val="bottom"/>
            <w:gridSpan w:val="3"/>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r>
      <w:tr>
        <w:trPr>
          <w:trHeight w:val="182"/>
        </w:trPr>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0" w:type="dxa"/>
            <w:vAlign w:val="bottom"/>
            <w:gridSpan w:val="12"/>
          </w:tcPr>
          <w:p>
            <w:pPr>
              <w:spacing w:after="0" w:line="183" w:lineRule="exact"/>
              <w:rPr>
                <w:rFonts w:ascii="Arial" w:cs="Arial" w:eastAsia="Arial" w:hAnsi="Arial"/>
                <w:sz w:val="17"/>
                <w:szCs w:val="17"/>
                <w:color w:val="0000EE"/>
                <w:w w:val="93"/>
              </w:rPr>
            </w:pPr>
            <w:hyperlink r:id="rId188">
              <w:r>
                <w:rPr>
                  <w:rFonts w:ascii="Arial" w:cs="Arial" w:eastAsia="Arial" w:hAnsi="Arial"/>
                  <w:sz w:val="17"/>
                  <w:szCs w:val="17"/>
                  <w:color w:val="0000EE"/>
                  <w:w w:val="93"/>
                </w:rPr>
                <w:t>Harvard Bioscience, Inc., Bank of America, N.A and Brown Brothers</w:t>
              </w:r>
            </w:hyperlink>
          </w:p>
        </w:tc>
        <w:tc>
          <w:tcPr>
            <w:tcW w:w="5280" w:type="dxa"/>
            <w:vAlign w:val="bottom"/>
            <w:gridSpan w:val="6"/>
          </w:tcPr>
          <w:p>
            <w:pPr>
              <w:spacing w:after="0" w:line="183" w:lineRule="exact"/>
              <w:rPr>
                <w:rFonts w:ascii="Arial" w:cs="Arial" w:eastAsia="Arial" w:hAnsi="Arial"/>
                <w:sz w:val="17"/>
                <w:szCs w:val="17"/>
                <w:color w:val="0000EE"/>
              </w:rPr>
            </w:pPr>
            <w:hyperlink r:id="rId188">
              <w:r>
                <w:rPr>
                  <w:rFonts w:ascii="Arial" w:cs="Arial" w:eastAsia="Arial" w:hAnsi="Arial"/>
                  <w:sz w:val="17"/>
                  <w:szCs w:val="17"/>
                  <w:color w:val="0000EE"/>
                </w:rPr>
                <w:t>Q (filed August 4, 2016) and incorporated by reference thereto</w:t>
              </w:r>
            </w:hyperlink>
          </w:p>
        </w:tc>
      </w:tr>
      <w:tr>
        <w:trPr>
          <w:trHeight w:val="182"/>
        </w:trPr>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700" w:type="dxa"/>
            <w:vAlign w:val="bottom"/>
            <w:tcBorders>
              <w:top w:val="single" w:sz="8" w:color="0000EE"/>
            </w:tcBorders>
            <w:gridSpan w:val="9"/>
          </w:tcPr>
          <w:p>
            <w:pPr>
              <w:spacing w:after="0" w:line="183" w:lineRule="exact"/>
              <w:rPr>
                <w:rFonts w:ascii="Arial" w:cs="Arial" w:eastAsia="Arial" w:hAnsi="Arial"/>
                <w:sz w:val="17"/>
                <w:szCs w:val="17"/>
                <w:color w:val="0000EE"/>
              </w:rPr>
            </w:pPr>
            <w:hyperlink r:id="rId188">
              <w:r>
                <w:rPr>
                  <w:rFonts w:ascii="Arial" w:cs="Arial" w:eastAsia="Arial" w:hAnsi="Arial"/>
                  <w:sz w:val="17"/>
                  <w:szCs w:val="17"/>
                  <w:color w:val="0000EE"/>
                </w:rPr>
                <w:t>Harriman &amp; Co.</w:t>
              </w:r>
            </w:hyperlink>
          </w:p>
        </w:tc>
        <w:tc>
          <w:tcPr>
            <w:tcW w:w="100" w:type="dxa"/>
            <w:vAlign w:val="bottom"/>
            <w:gridSpan w:val="3"/>
          </w:tcPr>
          <w:p>
            <w:pPr>
              <w:spacing w:after="0"/>
              <w:rPr>
                <w:sz w:val="15"/>
                <w:szCs w:val="15"/>
                <w:color w:val="auto"/>
              </w:rPr>
            </w:pPr>
          </w:p>
        </w:tc>
        <w:tc>
          <w:tcPr>
            <w:tcW w:w="40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228" w:right="319" w:bottom="1440" w:gutter="0" w:footer="0" w:header="0"/>
          <w:type w:val="continuous"/>
        </w:sectPr>
      </w:pPr>
    </w:p>
    <w:p>
      <w:pPr>
        <w:spacing w:after="0" w:line="15" w:lineRule="exact"/>
        <w:rPr>
          <w:sz w:val="20"/>
          <w:szCs w:val="20"/>
          <w:color w:val="auto"/>
        </w:rPr>
      </w:pPr>
    </w:p>
    <w:p>
      <w:pPr>
        <w:ind w:left="380"/>
        <w:spacing w:after="0"/>
        <w:tabs>
          <w:tab w:leader="none" w:pos="1240" w:val="left"/>
        </w:tabs>
        <w:rPr>
          <w:rFonts w:ascii="Arial" w:cs="Arial" w:eastAsia="Arial" w:hAnsi="Arial"/>
          <w:sz w:val="15"/>
          <w:szCs w:val="15"/>
          <w:u w:val="single" w:color="auto"/>
          <w:color w:val="0000EE"/>
        </w:rPr>
      </w:pPr>
      <w:hyperlink r:id="rId189">
        <w:r>
          <w:rPr>
            <w:rFonts w:ascii="Arial" w:cs="Arial" w:eastAsia="Arial" w:hAnsi="Arial"/>
            <w:sz w:val="17"/>
            <w:szCs w:val="17"/>
            <w:u w:val="single" w:color="auto"/>
            <w:color w:val="0000EE"/>
          </w:rPr>
          <w:t>10.39 #</w:t>
        </w:r>
      </w:hyperlink>
      <w:r>
        <w:rPr>
          <w:rFonts w:ascii="Arial" w:cs="Arial" w:eastAsia="Arial" w:hAnsi="Arial"/>
          <w:sz w:val="17"/>
          <w:szCs w:val="17"/>
          <w:u w:val="single" w:color="auto"/>
          <w:color w:val="0000EE"/>
        </w:rPr>
        <w:tab/>
      </w:r>
      <w:hyperlink r:id="rId189">
        <w:r>
          <w:rPr>
            <w:rFonts w:ascii="Arial" w:cs="Arial" w:eastAsia="Arial" w:hAnsi="Arial"/>
            <w:sz w:val="15"/>
            <w:szCs w:val="15"/>
            <w:u w:val="single" w:color="auto"/>
            <w:color w:val="0000EE"/>
          </w:rPr>
          <w:t>Third Amendment to Employment Agreement, dated as of May 26,</w:t>
        </w:r>
      </w:hyperlink>
    </w:p>
    <w:p>
      <w:pPr>
        <w:spacing w:after="0" w:line="19" w:lineRule="exact"/>
        <w:rPr>
          <w:sz w:val="20"/>
          <w:szCs w:val="20"/>
          <w:color w:val="auto"/>
        </w:rPr>
      </w:pPr>
    </w:p>
    <w:p>
      <w:pPr>
        <w:ind w:left="1260"/>
        <w:spacing w:after="0"/>
        <w:rPr>
          <w:rFonts w:ascii="Arial" w:cs="Arial" w:eastAsia="Arial" w:hAnsi="Arial"/>
          <w:sz w:val="16"/>
          <w:szCs w:val="16"/>
          <w:u w:val="single" w:color="auto"/>
          <w:color w:val="0000EE"/>
        </w:rPr>
      </w:pPr>
      <w:hyperlink r:id="rId189">
        <w:r>
          <w:rPr>
            <w:rFonts w:ascii="Arial" w:cs="Arial" w:eastAsia="Arial" w:hAnsi="Arial"/>
            <w:sz w:val="16"/>
            <w:szCs w:val="16"/>
            <w:u w:val="single" w:color="auto"/>
            <w:color w:val="0000EE"/>
          </w:rPr>
          <w:t>2016, between Harvard Bioscience, Inc. and Jeffrey A. Duchemin</w:t>
        </w:r>
      </w:hyperlink>
    </w:p>
    <w:p>
      <w:pPr>
        <w:spacing w:after="0" w:line="209" w:lineRule="exact"/>
        <w:rPr>
          <w:sz w:val="20"/>
          <w:szCs w:val="20"/>
          <w:color w:val="auto"/>
        </w:rPr>
      </w:pPr>
    </w:p>
    <w:p>
      <w:pPr>
        <w:ind w:left="380"/>
        <w:spacing w:after="0"/>
        <w:tabs>
          <w:tab w:leader="none" w:pos="1240" w:val="left"/>
        </w:tabs>
        <w:rPr>
          <w:rFonts w:ascii="Arial" w:cs="Arial" w:eastAsia="Arial" w:hAnsi="Arial"/>
          <w:sz w:val="15"/>
          <w:szCs w:val="15"/>
          <w:u w:val="single" w:color="auto"/>
          <w:color w:val="0000EE"/>
        </w:rPr>
      </w:pPr>
      <w:hyperlink r:id="rId190">
        <w:r>
          <w:rPr>
            <w:rFonts w:ascii="Arial" w:cs="Arial" w:eastAsia="Arial" w:hAnsi="Arial"/>
            <w:sz w:val="17"/>
            <w:szCs w:val="17"/>
            <w:u w:val="single" w:color="auto"/>
            <w:color w:val="0000EE"/>
          </w:rPr>
          <w:t>10.40 #</w:t>
        </w:r>
      </w:hyperlink>
      <w:r>
        <w:rPr>
          <w:rFonts w:ascii="Arial" w:cs="Arial" w:eastAsia="Arial" w:hAnsi="Arial"/>
          <w:sz w:val="17"/>
          <w:szCs w:val="17"/>
          <w:u w:val="single" w:color="auto"/>
          <w:color w:val="0000EE"/>
        </w:rPr>
        <w:tab/>
      </w:r>
      <w:hyperlink r:id="rId190">
        <w:r>
          <w:rPr>
            <w:rFonts w:ascii="Arial" w:cs="Arial" w:eastAsia="Arial" w:hAnsi="Arial"/>
            <w:sz w:val="15"/>
            <w:szCs w:val="15"/>
            <w:u w:val="single" w:color="auto"/>
            <w:color w:val="0000EE"/>
          </w:rPr>
          <w:t>Second Amendment to Employment Agreement, dated as of May 26,</w:t>
        </w:r>
      </w:hyperlink>
    </w:p>
    <w:p>
      <w:pPr>
        <w:spacing w:after="0" w:line="19" w:lineRule="exact"/>
        <w:rPr>
          <w:sz w:val="20"/>
          <w:szCs w:val="20"/>
          <w:color w:val="auto"/>
        </w:rPr>
      </w:pPr>
    </w:p>
    <w:p>
      <w:pPr>
        <w:ind w:left="1260"/>
        <w:spacing w:after="0"/>
        <w:rPr>
          <w:rFonts w:ascii="Arial" w:cs="Arial" w:eastAsia="Arial" w:hAnsi="Arial"/>
          <w:sz w:val="16"/>
          <w:szCs w:val="16"/>
          <w:u w:val="single" w:color="auto"/>
          <w:color w:val="0000EE"/>
        </w:rPr>
      </w:pPr>
      <w:hyperlink r:id="rId190">
        <w:r>
          <w:rPr>
            <w:rFonts w:ascii="Arial" w:cs="Arial" w:eastAsia="Arial" w:hAnsi="Arial"/>
            <w:sz w:val="16"/>
            <w:szCs w:val="16"/>
            <w:u w:val="single" w:color="auto"/>
            <w:color w:val="0000EE"/>
          </w:rPr>
          <w:t>2016, between Harvard Bioscience, Inc. and Robert E. Gagnon</w:t>
        </w:r>
      </w:hyperlink>
    </w:p>
    <w:p>
      <w:pPr>
        <w:spacing w:after="0" w:line="209" w:lineRule="exact"/>
        <w:rPr>
          <w:sz w:val="20"/>
          <w:szCs w:val="20"/>
          <w:color w:val="auto"/>
        </w:rPr>
      </w:pPr>
    </w:p>
    <w:p>
      <w:pPr>
        <w:ind w:left="1260" w:hanging="885"/>
        <w:spacing w:after="0" w:line="271" w:lineRule="auto"/>
        <w:tabs>
          <w:tab w:leader="none" w:pos="1240" w:val="left"/>
        </w:tabs>
        <w:rPr>
          <w:rFonts w:ascii="Arial" w:cs="Arial" w:eastAsia="Arial" w:hAnsi="Arial"/>
          <w:sz w:val="17"/>
          <w:szCs w:val="17"/>
          <w:u w:val="single" w:color="auto"/>
          <w:color w:val="0000EE"/>
        </w:rPr>
      </w:pPr>
      <w:hyperlink r:id="rId191">
        <w:r>
          <w:rPr>
            <w:rFonts w:ascii="Arial" w:cs="Arial" w:eastAsia="Arial" w:hAnsi="Arial"/>
            <w:sz w:val="17"/>
            <w:szCs w:val="17"/>
            <w:u w:val="single" w:color="auto"/>
            <w:color w:val="0000EE"/>
          </w:rPr>
          <w:t>10.41 #</w:t>
        </w:r>
      </w:hyperlink>
      <w:r>
        <w:rPr>
          <w:rFonts w:ascii="Arial" w:cs="Arial" w:eastAsia="Arial" w:hAnsi="Arial"/>
          <w:sz w:val="17"/>
          <w:szCs w:val="17"/>
          <w:u w:val="single" w:color="auto"/>
          <w:color w:val="0000EE"/>
        </w:rPr>
        <w:tab/>
      </w:r>
      <w:hyperlink r:id="rId191">
        <w:r>
          <w:rPr>
            <w:rFonts w:ascii="Arial" w:cs="Arial" w:eastAsia="Arial" w:hAnsi="Arial"/>
            <w:sz w:val="17"/>
            <w:szCs w:val="17"/>
            <w:u w:val="single" w:color="auto"/>
            <w:color w:val="0000EE"/>
          </w:rPr>
          <w:t>Employment Agreement, dated as of May 26, 2016, between Harvard</w:t>
        </w:r>
      </w:hyperlink>
      <w:r>
        <w:rPr>
          <w:rFonts w:ascii="Arial" w:cs="Arial" w:eastAsia="Arial" w:hAnsi="Arial"/>
          <w:sz w:val="17"/>
          <w:szCs w:val="17"/>
          <w:u w:val="single" w:color="auto"/>
          <w:color w:val="0000EE"/>
        </w:rPr>
        <w:t xml:space="preserve"> </w:t>
      </w:r>
      <w:hyperlink r:id="rId191">
        <w:r>
          <w:rPr>
            <w:rFonts w:ascii="Arial" w:cs="Arial" w:eastAsia="Arial" w:hAnsi="Arial"/>
            <w:sz w:val="17"/>
            <w:szCs w:val="17"/>
            <w:u w:val="single" w:color="auto"/>
            <w:color w:val="0000EE"/>
          </w:rPr>
          <w:t>Bioscience, Inc. and Yong Sun</w:t>
        </w:r>
      </w:hyperlink>
    </w:p>
    <w:p>
      <w:pPr>
        <w:spacing w:after="0" w:line="166" w:lineRule="exact"/>
        <w:rPr>
          <w:rFonts w:ascii="Arial" w:cs="Arial" w:eastAsia="Arial" w:hAnsi="Arial"/>
          <w:sz w:val="17"/>
          <w:szCs w:val="17"/>
          <w:u w:val="single" w:color="auto"/>
          <w:color w:val="0000EE"/>
        </w:rPr>
      </w:pPr>
    </w:p>
    <w:p>
      <w:pPr>
        <w:ind w:left="1260" w:right="100" w:hanging="822"/>
        <w:spacing w:after="0" w:line="310" w:lineRule="auto"/>
        <w:tabs>
          <w:tab w:leader="none" w:pos="1240" w:val="left"/>
        </w:tabs>
        <w:rPr>
          <w:rFonts w:ascii="Arial" w:cs="Arial" w:eastAsia="Arial" w:hAnsi="Arial"/>
          <w:sz w:val="15"/>
          <w:szCs w:val="15"/>
          <w:u w:val="single" w:color="auto"/>
          <w:color w:val="0000EE"/>
        </w:rPr>
      </w:pPr>
      <w:hyperlink r:id="rId192">
        <w:r>
          <w:rPr>
            <w:rFonts w:ascii="Arial" w:cs="Arial" w:eastAsia="Arial" w:hAnsi="Arial"/>
            <w:sz w:val="17"/>
            <w:szCs w:val="17"/>
            <w:u w:val="single" w:color="auto"/>
            <w:color w:val="0000EE"/>
          </w:rPr>
          <w:t>10.42</w:t>
        </w:r>
      </w:hyperlink>
      <w:r>
        <w:rPr>
          <w:rFonts w:ascii="Arial" w:cs="Arial" w:eastAsia="Arial" w:hAnsi="Arial"/>
          <w:sz w:val="17"/>
          <w:szCs w:val="17"/>
          <w:u w:val="single" w:color="auto"/>
          <w:color w:val="0000EE"/>
        </w:rPr>
        <w:tab/>
      </w:r>
      <w:hyperlink r:id="rId192">
        <w:r>
          <w:rPr>
            <w:rFonts w:ascii="Arial" w:cs="Arial" w:eastAsia="Arial" w:hAnsi="Arial"/>
            <w:sz w:val="15"/>
            <w:szCs w:val="15"/>
            <w:u w:val="single" w:color="auto"/>
            <w:color w:val="0000EE"/>
          </w:rPr>
          <w:t>Limited Consent and Waiver dated as of November 1, 2016, and</w:t>
        </w:r>
      </w:hyperlink>
      <w:r>
        <w:rPr>
          <w:rFonts w:ascii="Arial" w:cs="Arial" w:eastAsia="Arial" w:hAnsi="Arial"/>
          <w:sz w:val="15"/>
          <w:szCs w:val="15"/>
          <w:u w:val="single" w:color="auto"/>
          <w:color w:val="0000EE"/>
        </w:rPr>
        <w:t xml:space="preserve"> </w:t>
      </w:r>
      <w:hyperlink r:id="rId192">
        <w:r>
          <w:rPr>
            <w:rFonts w:ascii="Arial" w:cs="Arial" w:eastAsia="Arial" w:hAnsi="Arial"/>
            <w:sz w:val="15"/>
            <w:szCs w:val="15"/>
            <w:u w:val="single" w:color="auto"/>
            <w:color w:val="0000EE"/>
          </w:rPr>
          <w:t>effective as of October 26, 2016 by and among Harvard Bioscience,</w:t>
        </w:r>
      </w:hyperlink>
      <w:r>
        <w:rPr>
          <w:rFonts w:ascii="Arial" w:cs="Arial" w:eastAsia="Arial" w:hAnsi="Arial"/>
          <w:sz w:val="15"/>
          <w:szCs w:val="15"/>
          <w:u w:val="single" w:color="auto"/>
          <w:color w:val="0000EE"/>
        </w:rPr>
        <w:t xml:space="preserve"> </w:t>
      </w:r>
      <w:hyperlink r:id="rId192">
        <w:r>
          <w:rPr>
            <w:rFonts w:ascii="Arial" w:cs="Arial" w:eastAsia="Arial" w:hAnsi="Arial"/>
            <w:sz w:val="15"/>
            <w:szCs w:val="15"/>
            <w:u w:val="single" w:color="auto"/>
            <w:color w:val="0000EE"/>
          </w:rPr>
          <w:t>Inc., Bank of America, N.A and Brown Brothers Harriman &amp; Co.</w:t>
        </w:r>
      </w:hyperlink>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br w:type="column"/>
      </w:r>
    </w:p>
    <w:p>
      <w:pPr>
        <w:ind w:right="100"/>
        <w:spacing w:after="0" w:line="271" w:lineRule="auto"/>
        <w:rPr>
          <w:rFonts w:ascii="Arial" w:cs="Arial" w:eastAsia="Arial" w:hAnsi="Arial"/>
          <w:sz w:val="17"/>
          <w:szCs w:val="17"/>
          <w:u w:val="single" w:color="auto"/>
          <w:color w:val="0000EE"/>
        </w:rPr>
      </w:pPr>
      <w:hyperlink r:id="rId189">
        <w:r>
          <w:rPr>
            <w:rFonts w:ascii="Arial" w:cs="Arial" w:eastAsia="Arial" w:hAnsi="Arial"/>
            <w:sz w:val="17"/>
            <w:szCs w:val="17"/>
            <w:u w:val="single" w:color="auto"/>
            <w:color w:val="0000EE"/>
          </w:rPr>
          <w:t>Previously filed as an exhibit to the Company’s Current Report on Form 8-K</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(filed May 27, 2016) and incorporated by reference thereto</w:t>
        </w:r>
      </w:hyperlink>
    </w:p>
    <w:p>
      <w:pPr>
        <w:spacing w:after="0" w:line="166" w:lineRule="exact"/>
        <w:rPr>
          <w:sz w:val="20"/>
          <w:szCs w:val="20"/>
          <w:color w:val="auto"/>
        </w:rPr>
      </w:pPr>
    </w:p>
    <w:p>
      <w:pPr>
        <w:ind w:right="100"/>
        <w:spacing w:after="0" w:line="271" w:lineRule="auto"/>
        <w:rPr>
          <w:rFonts w:ascii="Arial" w:cs="Arial" w:eastAsia="Arial" w:hAnsi="Arial"/>
          <w:sz w:val="17"/>
          <w:szCs w:val="17"/>
          <w:u w:val="single" w:color="auto"/>
          <w:color w:val="0000EE"/>
        </w:rPr>
      </w:pPr>
      <w:hyperlink r:id="rId190">
        <w:r>
          <w:rPr>
            <w:rFonts w:ascii="Arial" w:cs="Arial" w:eastAsia="Arial" w:hAnsi="Arial"/>
            <w:sz w:val="17"/>
            <w:szCs w:val="17"/>
            <w:u w:val="single" w:color="auto"/>
            <w:color w:val="0000EE"/>
          </w:rPr>
          <w:t>Previously filed as an exhibit to the Company’s Current Report on Form 8-K</w:t>
        </w:r>
      </w:hyperlink>
      <w:r>
        <w:rPr>
          <w:rFonts w:ascii="Arial" w:cs="Arial" w:eastAsia="Arial" w:hAnsi="Arial"/>
          <w:sz w:val="17"/>
          <w:szCs w:val="17"/>
          <w:u w:val="single" w:color="auto"/>
          <w:color w:val="0000EE"/>
        </w:rPr>
        <w:t xml:space="preserve"> </w:t>
      </w:r>
      <w:hyperlink r:id="rId190">
        <w:r>
          <w:rPr>
            <w:rFonts w:ascii="Arial" w:cs="Arial" w:eastAsia="Arial" w:hAnsi="Arial"/>
            <w:sz w:val="17"/>
            <w:szCs w:val="17"/>
            <w:u w:val="single" w:color="auto"/>
            <w:color w:val="0000EE"/>
          </w:rPr>
          <w:t>(filed May 27, 2016) and incorporated by reference thereto</w:t>
        </w:r>
      </w:hyperlink>
    </w:p>
    <w:p>
      <w:pPr>
        <w:spacing w:after="0" w:line="166" w:lineRule="exact"/>
        <w:rPr>
          <w:sz w:val="20"/>
          <w:szCs w:val="20"/>
          <w:color w:val="auto"/>
        </w:rPr>
      </w:pPr>
    </w:p>
    <w:p>
      <w:pPr>
        <w:ind w:right="100"/>
        <w:spacing w:after="0" w:line="271" w:lineRule="auto"/>
        <w:rPr>
          <w:rFonts w:ascii="Arial" w:cs="Arial" w:eastAsia="Arial" w:hAnsi="Arial"/>
          <w:sz w:val="17"/>
          <w:szCs w:val="17"/>
          <w:u w:val="single" w:color="auto"/>
          <w:color w:val="0000EE"/>
        </w:rPr>
      </w:pPr>
      <w:hyperlink r:id="rId191">
        <w:r>
          <w:rPr>
            <w:rFonts w:ascii="Arial" w:cs="Arial" w:eastAsia="Arial" w:hAnsi="Arial"/>
            <w:sz w:val="17"/>
            <w:szCs w:val="17"/>
            <w:u w:val="single" w:color="auto"/>
            <w:color w:val="0000EE"/>
          </w:rPr>
          <w:t>Previously filed as an exhibit to the Company’s Current Report on Form 8-K</w:t>
        </w:r>
      </w:hyperlink>
      <w:r>
        <w:rPr>
          <w:rFonts w:ascii="Arial" w:cs="Arial" w:eastAsia="Arial" w:hAnsi="Arial"/>
          <w:sz w:val="17"/>
          <w:szCs w:val="17"/>
          <w:u w:val="single" w:color="auto"/>
          <w:color w:val="0000EE"/>
        </w:rPr>
        <w:t xml:space="preserve"> </w:t>
      </w:r>
      <w:hyperlink r:id="rId191">
        <w:r>
          <w:rPr>
            <w:rFonts w:ascii="Arial" w:cs="Arial" w:eastAsia="Arial" w:hAnsi="Arial"/>
            <w:sz w:val="17"/>
            <w:szCs w:val="17"/>
            <w:u w:val="single" w:color="auto"/>
            <w:color w:val="0000EE"/>
          </w:rPr>
          <w:t>(filed May 27, 2016) and incorporated by reference thereto</w:t>
        </w:r>
      </w:hyperlink>
    </w:p>
    <w:p>
      <w:pPr>
        <w:spacing w:after="0" w:line="166" w:lineRule="exact"/>
        <w:rPr>
          <w:sz w:val="20"/>
          <w:szCs w:val="20"/>
          <w:color w:val="auto"/>
        </w:rPr>
      </w:pPr>
    </w:p>
    <w:p>
      <w:pPr>
        <w:ind w:right="40"/>
        <w:spacing w:after="0" w:line="303" w:lineRule="auto"/>
        <w:rPr>
          <w:rFonts w:ascii="Arial" w:cs="Arial" w:eastAsia="Arial" w:hAnsi="Arial"/>
          <w:sz w:val="16"/>
          <w:szCs w:val="16"/>
          <w:u w:val="single" w:color="auto"/>
          <w:color w:val="0000EE"/>
        </w:rPr>
      </w:pPr>
      <w:hyperlink r:id="rId192">
        <w:r>
          <w:rPr>
            <w:rFonts w:ascii="Arial" w:cs="Arial" w:eastAsia="Arial" w:hAnsi="Arial"/>
            <w:sz w:val="16"/>
            <w:szCs w:val="16"/>
            <w:u w:val="single" w:color="auto"/>
            <w:color w:val="0000EE"/>
          </w:rPr>
          <w:t>Previously filed as an exhibit to the Company’s Annual Report on Form 10-K</w:t>
        </w:r>
      </w:hyperlink>
      <w:r>
        <w:rPr>
          <w:rFonts w:ascii="Arial" w:cs="Arial" w:eastAsia="Arial" w:hAnsi="Arial"/>
          <w:sz w:val="16"/>
          <w:szCs w:val="16"/>
          <w:u w:val="single" w:color="auto"/>
          <w:color w:val="0000EE"/>
        </w:rPr>
        <w:t xml:space="preserve"> </w:t>
      </w:r>
      <w:hyperlink r:id="rId192">
        <w:r>
          <w:rPr>
            <w:rFonts w:ascii="Arial" w:cs="Arial" w:eastAsia="Arial" w:hAnsi="Arial"/>
            <w:sz w:val="16"/>
            <w:szCs w:val="16"/>
            <w:u w:val="single" w:color="auto"/>
            <w:color w:val="0000EE"/>
          </w:rPr>
          <w:t>(filed March 17, 2017) and incorporated by reference thereto</w:t>
        </w:r>
      </w:hyperlink>
    </w:p>
    <w:p>
      <w:pPr>
        <w:spacing w:after="0" w:line="344" w:lineRule="exact"/>
        <w:rPr>
          <w:sz w:val="20"/>
          <w:szCs w:val="20"/>
          <w:color w:val="auto"/>
        </w:rPr>
      </w:pPr>
    </w:p>
    <w:p>
      <w:pPr>
        <w:sectPr>
          <w:pgSz w:w="11900" w:h="16838" w:orient="portrait"/>
          <w:cols w:equalWidth="0" w:num="2">
            <w:col w:w="5960" w:space="100"/>
            <w:col w:w="5280"/>
          </w:cols>
          <w:pgMar w:left="240" w:top="228" w:right="319" w:bottom="1440" w:gutter="0" w:footer="0" w:header="0"/>
          <w:type w:val="continuous"/>
        </w:sectPr>
      </w:pPr>
    </w:p>
    <w:p>
      <w:pPr>
        <w:ind w:left="440"/>
        <w:spacing w:after="0"/>
        <w:tabs>
          <w:tab w:leader="none" w:pos="1240" w:val="left"/>
          <w:tab w:leader="none" w:pos="6040" w:val="left"/>
        </w:tabs>
        <w:rPr>
          <w:rFonts w:ascii="Arial" w:cs="Arial" w:eastAsia="Arial" w:hAnsi="Arial"/>
          <w:sz w:val="15"/>
          <w:szCs w:val="15"/>
          <w:u w:val="single" w:color="auto"/>
          <w:color w:val="0000EE"/>
        </w:rPr>
      </w:pPr>
      <w:hyperlink w:anchor="page92">
        <w:r>
          <w:rPr>
            <w:rFonts w:ascii="Arial" w:cs="Arial" w:eastAsia="Arial" w:hAnsi="Arial"/>
            <w:sz w:val="17"/>
            <w:szCs w:val="17"/>
            <w:u w:val="single" w:color="auto"/>
            <w:color w:val="0000EE"/>
          </w:rPr>
          <w:t>10.43</w:t>
        </w:r>
      </w:hyperlink>
      <w:r>
        <w:rPr>
          <w:rFonts w:ascii="Arial" w:cs="Arial" w:eastAsia="Arial" w:hAnsi="Arial"/>
          <w:sz w:val="17"/>
          <w:szCs w:val="17"/>
          <w:u w:val="single" w:color="auto"/>
          <w:color w:val="0000EE"/>
        </w:rPr>
        <w:tab/>
      </w:r>
      <w:hyperlink w:anchor="page92">
        <w:r>
          <w:rPr>
            <w:rFonts w:ascii="Arial" w:cs="Arial" w:eastAsia="Arial" w:hAnsi="Arial"/>
            <w:sz w:val="17"/>
            <w:szCs w:val="17"/>
            <w:u w:val="single" w:color="auto"/>
            <w:color w:val="0000EE"/>
          </w:rPr>
          <w:t>Lease Agreement, dated as of August 15, 2008, between AX US L.P.</w:t>
        </w:r>
      </w:hyperlink>
      <w:r>
        <w:rPr>
          <w:rFonts w:ascii="Arial" w:cs="Arial" w:eastAsia="Arial" w:hAnsi="Arial"/>
          <w:sz w:val="17"/>
          <w:szCs w:val="17"/>
          <w:u w:val="single" w:color="auto"/>
          <w:color w:val="0000EE"/>
        </w:rPr>
        <w:tab/>
      </w:r>
      <w:hyperlink w:anchor="page92">
        <w:r>
          <w:rPr>
            <w:rFonts w:ascii="Arial" w:cs="Arial" w:eastAsia="Arial" w:hAnsi="Arial"/>
            <w:sz w:val="15"/>
            <w:szCs w:val="15"/>
            <w:u w:val="single" w:color="auto"/>
            <w:color w:val="0000EE"/>
          </w:rPr>
          <w:t>Filed with this report</w:t>
        </w:r>
      </w:hyperlink>
    </w:p>
    <w:p>
      <w:pPr>
        <w:ind w:left="1260"/>
        <w:spacing w:after="0" w:line="194" w:lineRule="auto"/>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(as assigned to it by New Brighton 14</w:t>
        </w:r>
        <w:r>
          <w:rPr>
            <w:rFonts w:ascii="Arial" w:cs="Arial" w:eastAsia="Arial" w:hAnsi="Arial"/>
            <w:sz w:val="28"/>
            <w:szCs w:val="28"/>
            <w:u w:val="single" w:color="auto"/>
            <w:color w:val="0000EE"/>
            <w:vertAlign w:val="superscript"/>
          </w:rPr>
          <w:t>th</w:t>
        </w:r>
        <w:r>
          <w:rPr>
            <w:rFonts w:ascii="Arial" w:cs="Arial" w:eastAsia="Arial" w:hAnsi="Arial"/>
            <w:sz w:val="17"/>
            <w:szCs w:val="17"/>
            <w:u w:val="single" w:color="auto"/>
            <w:color w:val="0000EE"/>
          </w:rPr>
          <w:t xml:space="preserve"> Street LLC), Ryan Companies</w:t>
        </w:r>
      </w:hyperlink>
    </w:p>
    <w:p>
      <w:pPr>
        <w:spacing w:after="0" w:line="1" w:lineRule="exact"/>
        <w:rPr>
          <w:rFonts w:ascii="Arial" w:cs="Arial" w:eastAsia="Arial" w:hAnsi="Arial"/>
          <w:sz w:val="17"/>
          <w:szCs w:val="17"/>
          <w:u w:val="single" w:color="auto"/>
          <w:color w:val="0000EE"/>
        </w:rPr>
      </w:pPr>
    </w:p>
    <w:p>
      <w:pPr>
        <w:ind w:left="1260"/>
        <w:spacing w:after="0"/>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US, Inc. and Data Sciences International, Inc. (as assigned to it by</w:t>
        </w:r>
      </w:hyperlink>
    </w:p>
    <w:p>
      <w:pPr>
        <w:spacing w:after="0" w:line="5" w:lineRule="exact"/>
        <w:rPr>
          <w:rFonts w:ascii="Arial" w:cs="Arial" w:eastAsia="Arial" w:hAnsi="Arial"/>
          <w:sz w:val="17"/>
          <w:szCs w:val="17"/>
          <w:u w:val="single" w:color="auto"/>
          <w:color w:val="0000EE"/>
        </w:rPr>
      </w:pPr>
    </w:p>
    <w:p>
      <w:pPr>
        <w:ind w:left="1260"/>
        <w:spacing w:after="0"/>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Transoma Medical, Inc.)</w:t>
        </w:r>
      </w:hyperlink>
    </w:p>
    <w:p>
      <w:pPr>
        <w:spacing w:after="0" w:line="198" w:lineRule="exact"/>
        <w:rPr>
          <w:rFonts w:ascii="Arial" w:cs="Arial" w:eastAsia="Arial" w:hAnsi="Arial"/>
          <w:sz w:val="17"/>
          <w:szCs w:val="17"/>
          <w:u w:val="single" w:color="auto"/>
          <w:color w:val="0000EE"/>
        </w:rPr>
      </w:pPr>
    </w:p>
    <w:p>
      <w:pPr>
        <w:ind w:left="440"/>
        <w:spacing w:after="0"/>
        <w:tabs>
          <w:tab w:leader="none" w:pos="1240" w:val="left"/>
        </w:tabs>
        <w:rPr>
          <w:rFonts w:ascii="Arial" w:cs="Arial" w:eastAsia="Arial" w:hAnsi="Arial"/>
          <w:sz w:val="15"/>
          <w:szCs w:val="15"/>
          <w:u w:val="single" w:color="auto"/>
          <w:color w:val="0000EE"/>
        </w:rPr>
      </w:pPr>
      <w:hyperlink w:anchor="page168">
        <w:r>
          <w:rPr>
            <w:rFonts w:ascii="Arial" w:cs="Arial" w:eastAsia="Arial" w:hAnsi="Arial"/>
            <w:sz w:val="17"/>
            <w:szCs w:val="17"/>
            <w:u w:val="single" w:color="auto"/>
            <w:color w:val="0000EE"/>
          </w:rPr>
          <w:t>10.44</w:t>
        </w:r>
      </w:hyperlink>
      <w:r>
        <w:rPr>
          <w:rFonts w:ascii="Arial" w:cs="Arial" w:eastAsia="Arial" w:hAnsi="Arial"/>
          <w:sz w:val="17"/>
          <w:szCs w:val="17"/>
          <w:u w:val="single" w:color="auto"/>
          <w:color w:val="0000EE"/>
        </w:rPr>
        <w:tab/>
      </w:r>
      <w:hyperlink w:anchor="page168">
        <w:r>
          <w:rPr>
            <w:rFonts w:ascii="Arial" w:cs="Arial" w:eastAsia="Arial" w:hAnsi="Arial"/>
            <w:sz w:val="15"/>
            <w:szCs w:val="15"/>
            <w:u w:val="single" w:color="auto"/>
            <w:color w:val="0000EE"/>
          </w:rPr>
          <w:t>First Amendment to Lease Agreement, dated as of February 26, 2008, Filed with this report</w:t>
        </w:r>
      </w:hyperlink>
    </w:p>
    <w:p>
      <w:pPr>
        <w:ind w:left="1260"/>
        <w:spacing w:after="0" w:line="194" w:lineRule="auto"/>
        <w:rPr>
          <w:rFonts w:ascii="Arial" w:cs="Arial" w:eastAsia="Arial" w:hAnsi="Arial"/>
          <w:sz w:val="17"/>
          <w:szCs w:val="17"/>
          <w:u w:val="single" w:color="auto"/>
          <w:color w:val="0000EE"/>
        </w:rPr>
      </w:pPr>
      <w:hyperlink w:anchor="page168">
        <w:r>
          <w:rPr>
            <w:rFonts w:ascii="Arial" w:cs="Arial" w:eastAsia="Arial" w:hAnsi="Arial"/>
            <w:sz w:val="17"/>
            <w:szCs w:val="17"/>
            <w:u w:val="single" w:color="auto"/>
            <w:color w:val="0000EE"/>
          </w:rPr>
          <w:t>between AX US L.P. (as assigned to it by New Brighton 14</w:t>
        </w:r>
        <w:r>
          <w:rPr>
            <w:rFonts w:ascii="Arial" w:cs="Arial" w:eastAsia="Arial" w:hAnsi="Arial"/>
            <w:sz w:val="28"/>
            <w:szCs w:val="28"/>
            <w:u w:val="single" w:color="auto"/>
            <w:color w:val="0000EE"/>
            <w:vertAlign w:val="superscript"/>
          </w:rPr>
          <w:t>th</w:t>
        </w:r>
        <w:r>
          <w:rPr>
            <w:rFonts w:ascii="Arial" w:cs="Arial" w:eastAsia="Arial" w:hAnsi="Arial"/>
            <w:sz w:val="17"/>
            <w:szCs w:val="17"/>
            <w:u w:val="single" w:color="auto"/>
            <w:color w:val="0000EE"/>
          </w:rPr>
          <w:t xml:space="preserve"> Street</w:t>
        </w:r>
      </w:hyperlink>
    </w:p>
    <w:p>
      <w:pPr>
        <w:spacing w:after="0" w:line="1" w:lineRule="exact"/>
        <w:rPr>
          <w:sz w:val="20"/>
          <w:szCs w:val="20"/>
          <w:color w:val="auto"/>
        </w:rPr>
      </w:pPr>
    </w:p>
    <w:p>
      <w:pPr>
        <w:ind w:left="1260"/>
        <w:spacing w:after="0"/>
        <w:rPr>
          <w:rFonts w:ascii="Arial" w:cs="Arial" w:eastAsia="Arial" w:hAnsi="Arial"/>
          <w:sz w:val="17"/>
          <w:szCs w:val="17"/>
          <w:u w:val="single" w:color="auto"/>
          <w:color w:val="0000EE"/>
        </w:rPr>
      </w:pPr>
      <w:hyperlink w:anchor="page168">
        <w:r>
          <w:rPr>
            <w:rFonts w:ascii="Arial" w:cs="Arial" w:eastAsia="Arial" w:hAnsi="Arial"/>
            <w:sz w:val="17"/>
            <w:szCs w:val="17"/>
            <w:u w:val="single" w:color="auto"/>
            <w:color w:val="0000EE"/>
          </w:rPr>
          <w:t>LLC), Ryan Companies US, Inc. and Data Sciences International, Inc.</w:t>
        </w:r>
      </w:hyperlink>
    </w:p>
    <w:p>
      <w:pPr>
        <w:spacing w:after="0" w:line="5" w:lineRule="exact"/>
        <w:rPr>
          <w:sz w:val="20"/>
          <w:szCs w:val="20"/>
          <w:color w:val="auto"/>
        </w:rPr>
      </w:pPr>
    </w:p>
    <w:p>
      <w:pPr>
        <w:ind w:left="1260"/>
        <w:spacing w:after="0"/>
        <w:rPr>
          <w:rFonts w:ascii="Arial" w:cs="Arial" w:eastAsia="Arial" w:hAnsi="Arial"/>
          <w:sz w:val="17"/>
          <w:szCs w:val="17"/>
          <w:u w:val="single" w:color="auto"/>
          <w:color w:val="0000EE"/>
        </w:rPr>
      </w:pPr>
      <w:hyperlink w:anchor="page168">
        <w:r>
          <w:rPr>
            <w:rFonts w:ascii="Arial" w:cs="Arial" w:eastAsia="Arial" w:hAnsi="Arial"/>
            <w:sz w:val="17"/>
            <w:szCs w:val="17"/>
            <w:u w:val="single" w:color="auto"/>
            <w:color w:val="0000EE"/>
          </w:rPr>
          <w:t>(as assigned to it by Transoma Medical,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278130</wp:posOffset>
            </wp:positionV>
            <wp:extent cx="7255510"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40"/>
          </w:cols>
          <w:pgMar w:left="240" w:top="228" w:right="319" w:bottom="1440" w:gutter="0" w:footer="0" w:header="0"/>
          <w:type w:val="continuous"/>
        </w:sectPr>
      </w:pPr>
    </w:p>
    <w:bookmarkStart w:id="88" w:name="page89"/>
    <w:bookmarkEnd w:id="8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5" w:lineRule="exact"/>
        <w:rPr>
          <w:sz w:val="20"/>
          <w:szCs w:val="20"/>
          <w:color w:val="auto"/>
        </w:rPr>
      </w:pPr>
    </w:p>
    <w:p>
      <w:pPr>
        <w:ind w:left="440"/>
        <w:spacing w:after="0"/>
        <w:tabs>
          <w:tab w:leader="none" w:pos="1240" w:val="left"/>
        </w:tabs>
        <w:rPr>
          <w:rFonts w:ascii="Arial" w:cs="Arial" w:eastAsia="Arial" w:hAnsi="Arial"/>
          <w:sz w:val="15"/>
          <w:szCs w:val="15"/>
          <w:u w:val="single" w:color="auto"/>
          <w:color w:val="0000EE"/>
        </w:rPr>
      </w:pPr>
      <w:hyperlink w:anchor="page174">
        <w:r>
          <w:rPr>
            <w:rFonts w:ascii="Arial" w:cs="Arial" w:eastAsia="Arial" w:hAnsi="Arial"/>
            <w:sz w:val="17"/>
            <w:szCs w:val="17"/>
            <w:u w:val="single" w:color="auto"/>
            <w:color w:val="0000EE"/>
          </w:rPr>
          <w:t>10.45</w:t>
        </w:r>
      </w:hyperlink>
      <w:r>
        <w:rPr>
          <w:rFonts w:ascii="Arial" w:cs="Arial" w:eastAsia="Arial" w:hAnsi="Arial"/>
          <w:sz w:val="17"/>
          <w:szCs w:val="17"/>
          <w:u w:val="single" w:color="auto"/>
          <w:color w:val="0000EE"/>
        </w:rPr>
        <w:tab/>
      </w:r>
      <w:hyperlink w:anchor="page174">
        <w:r>
          <w:rPr>
            <w:rFonts w:ascii="Arial" w:cs="Arial" w:eastAsia="Arial" w:hAnsi="Arial"/>
            <w:sz w:val="15"/>
            <w:szCs w:val="15"/>
            <w:u w:val="single" w:color="auto"/>
            <w:color w:val="0000EE"/>
          </w:rPr>
          <w:t>Second Amendment to Lease Agreement, dated as of August 4, 2008, Filed with this report</w:t>
        </w:r>
      </w:hyperlink>
    </w:p>
    <w:p>
      <w:pPr>
        <w:sectPr>
          <w:pgSz w:w="11900" w:h="16838" w:orient="portrait"/>
          <w:cols w:equalWidth="0" w:num="1">
            <w:col w:w="11420"/>
          </w:cols>
          <w:pgMar w:left="240" w:top="228" w:right="239" w:bottom="1440" w:gutter="0" w:footer="0" w:header="0"/>
        </w:sectPr>
      </w:pPr>
    </w:p>
    <w:p>
      <w:pPr>
        <w:spacing w:after="0" w:line="19" w:lineRule="exact"/>
        <w:rPr>
          <w:sz w:val="20"/>
          <w:szCs w:val="20"/>
          <w:color w:val="auto"/>
        </w:rPr>
      </w:pPr>
    </w:p>
    <w:p>
      <w:pPr>
        <w:ind w:left="1260"/>
        <w:spacing w:after="0" w:line="217" w:lineRule="auto"/>
        <w:rPr>
          <w:rFonts w:ascii="Arial" w:cs="Arial" w:eastAsia="Arial" w:hAnsi="Arial"/>
          <w:sz w:val="17"/>
          <w:szCs w:val="17"/>
          <w:u w:val="single" w:color="auto"/>
          <w:color w:val="0000EE"/>
        </w:rPr>
      </w:pPr>
      <w:hyperlink w:anchor="page174">
        <w:r>
          <w:rPr>
            <w:rFonts w:ascii="Arial" w:cs="Arial" w:eastAsia="Arial" w:hAnsi="Arial"/>
            <w:sz w:val="17"/>
            <w:szCs w:val="17"/>
            <w:u w:val="single" w:color="auto"/>
            <w:color w:val="0000EE"/>
          </w:rPr>
          <w:t>between AX US L.P. (as assigned to it by New Brighton 14</w:t>
        </w:r>
        <w:r>
          <w:rPr>
            <w:rFonts w:ascii="Arial" w:cs="Arial" w:eastAsia="Arial" w:hAnsi="Arial"/>
            <w:sz w:val="28"/>
            <w:szCs w:val="28"/>
            <w:u w:val="single" w:color="auto"/>
            <w:color w:val="0000EE"/>
            <w:vertAlign w:val="superscript"/>
          </w:rPr>
          <w:t>th</w:t>
        </w:r>
        <w:r>
          <w:rPr>
            <w:rFonts w:ascii="Arial" w:cs="Arial" w:eastAsia="Arial" w:hAnsi="Arial"/>
            <w:sz w:val="17"/>
            <w:szCs w:val="17"/>
            <w:u w:val="single" w:color="auto"/>
            <w:color w:val="0000EE"/>
          </w:rPr>
          <w:t xml:space="preserve"> Street</w:t>
        </w:r>
      </w:hyperlink>
      <w:r>
        <w:rPr>
          <w:rFonts w:ascii="Arial" w:cs="Arial" w:eastAsia="Arial" w:hAnsi="Arial"/>
          <w:sz w:val="17"/>
          <w:szCs w:val="17"/>
          <w:u w:val="single" w:color="auto"/>
          <w:color w:val="0000EE"/>
        </w:rPr>
        <w:t xml:space="preserve"> </w:t>
      </w:r>
      <w:hyperlink w:anchor="page174">
        <w:r>
          <w:rPr>
            <w:rFonts w:ascii="Arial" w:cs="Arial" w:eastAsia="Arial" w:hAnsi="Arial"/>
            <w:sz w:val="17"/>
            <w:szCs w:val="17"/>
            <w:u w:val="single" w:color="auto"/>
            <w:color w:val="0000EE"/>
          </w:rPr>
          <w:t>LLC), Ryan Companies US, Inc. and Data Sciences International, Inc.</w:t>
        </w:r>
      </w:hyperlink>
      <w:r>
        <w:rPr>
          <w:rFonts w:ascii="Arial" w:cs="Arial" w:eastAsia="Arial" w:hAnsi="Arial"/>
          <w:sz w:val="17"/>
          <w:szCs w:val="17"/>
          <w:u w:val="single" w:color="auto"/>
          <w:color w:val="0000EE"/>
        </w:rPr>
        <w:t xml:space="preserve"> </w:t>
      </w:r>
      <w:hyperlink w:anchor="page174">
        <w:r>
          <w:rPr>
            <w:rFonts w:ascii="Arial" w:cs="Arial" w:eastAsia="Arial" w:hAnsi="Arial"/>
            <w:sz w:val="17"/>
            <w:szCs w:val="17"/>
            <w:u w:val="single" w:color="auto"/>
            <w:color w:val="0000EE"/>
          </w:rPr>
          <w:t>(as assigned to it by Transoma Medical, Inc.)</w:t>
        </w:r>
      </w:hyperlink>
    </w:p>
    <w:p>
      <w:pPr>
        <w:spacing w:after="0" w:line="191" w:lineRule="exact"/>
        <w:rPr>
          <w:rFonts w:ascii="Arial" w:cs="Arial" w:eastAsia="Arial" w:hAnsi="Arial"/>
          <w:sz w:val="17"/>
          <w:szCs w:val="17"/>
          <w:u w:val="single" w:color="auto"/>
          <w:color w:val="0000EE"/>
        </w:rPr>
      </w:pPr>
    </w:p>
    <w:p>
      <w:pPr>
        <w:ind w:left="1260" w:right="20" w:hanging="822"/>
        <w:spacing w:after="0" w:line="310" w:lineRule="auto"/>
        <w:tabs>
          <w:tab w:leader="none" w:pos="1240" w:val="left"/>
        </w:tabs>
        <w:rPr>
          <w:rFonts w:ascii="Arial" w:cs="Arial" w:eastAsia="Arial" w:hAnsi="Arial"/>
          <w:sz w:val="15"/>
          <w:szCs w:val="15"/>
          <w:u w:val="single" w:color="auto"/>
          <w:color w:val="0000EE"/>
        </w:rPr>
      </w:pPr>
      <w:hyperlink r:id="rId194">
        <w:r>
          <w:rPr>
            <w:rFonts w:ascii="Arial" w:cs="Arial" w:eastAsia="Arial" w:hAnsi="Arial"/>
            <w:sz w:val="17"/>
            <w:szCs w:val="17"/>
            <w:u w:val="single" w:color="auto"/>
            <w:color w:val="0000EE"/>
          </w:rPr>
          <w:t>10.46</w:t>
        </w:r>
      </w:hyperlink>
      <w:r>
        <w:rPr>
          <w:rFonts w:ascii="Arial" w:cs="Arial" w:eastAsia="Arial" w:hAnsi="Arial"/>
          <w:sz w:val="17"/>
          <w:szCs w:val="17"/>
          <w:u w:val="single" w:color="auto"/>
          <w:color w:val="0000EE"/>
        </w:rPr>
        <w:tab/>
      </w:r>
      <w:hyperlink r:id="rId194">
        <w:r>
          <w:rPr>
            <w:rFonts w:ascii="Arial" w:cs="Arial" w:eastAsia="Arial" w:hAnsi="Arial"/>
            <w:sz w:val="15"/>
            <w:szCs w:val="15"/>
            <w:u w:val="single" w:color="auto"/>
            <w:color w:val="0000EE"/>
          </w:rPr>
          <w:t>Financing Agreement, dated as of January 31, 2018, between Harvard</w:t>
        </w:r>
      </w:hyperlink>
      <w:r>
        <w:rPr>
          <w:rFonts w:ascii="Arial" w:cs="Arial" w:eastAsia="Arial" w:hAnsi="Arial"/>
          <w:sz w:val="15"/>
          <w:szCs w:val="15"/>
          <w:u w:val="single" w:color="auto"/>
          <w:color w:val="0000EE"/>
        </w:rPr>
        <w:t xml:space="preserve"> </w:t>
      </w:r>
      <w:hyperlink r:id="rId194">
        <w:r>
          <w:rPr>
            <w:rFonts w:ascii="Arial" w:cs="Arial" w:eastAsia="Arial" w:hAnsi="Arial"/>
            <w:sz w:val="15"/>
            <w:szCs w:val="15"/>
            <w:u w:val="single" w:color="auto"/>
            <w:color w:val="0000EE"/>
          </w:rPr>
          <w:t>Bioscience, Inc., each of the borrowers named therein, the lenders</w:t>
        </w:r>
      </w:hyperlink>
      <w:r>
        <w:rPr>
          <w:rFonts w:ascii="Arial" w:cs="Arial" w:eastAsia="Arial" w:hAnsi="Arial"/>
          <w:sz w:val="15"/>
          <w:szCs w:val="15"/>
          <w:u w:val="single" w:color="auto"/>
          <w:color w:val="0000EE"/>
        </w:rPr>
        <w:t xml:space="preserve"> </w:t>
      </w:r>
      <w:hyperlink r:id="rId194">
        <w:r>
          <w:rPr>
            <w:rFonts w:ascii="Arial" w:cs="Arial" w:eastAsia="Arial" w:hAnsi="Arial"/>
            <w:sz w:val="15"/>
            <w:szCs w:val="15"/>
            <w:u w:val="single" w:color="auto"/>
            <w:color w:val="0000EE"/>
          </w:rPr>
          <w:t>from time to time party thereto, and Cerberus Business Finance, LLC</w:t>
        </w:r>
      </w:hyperlink>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br w:type="column"/>
      </w: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35" w:lineRule="exact"/>
        <w:rPr>
          <w:rFonts w:ascii="Arial" w:cs="Arial" w:eastAsia="Arial" w:hAnsi="Arial"/>
          <w:sz w:val="15"/>
          <w:szCs w:val="15"/>
          <w:u w:val="single" w:color="auto"/>
          <w:color w:val="0000EE"/>
        </w:rPr>
      </w:pPr>
    </w:p>
    <w:p>
      <w:pPr>
        <w:ind w:right="180"/>
        <w:spacing w:after="0" w:line="303" w:lineRule="auto"/>
        <w:rPr>
          <w:rFonts w:ascii="Arial" w:cs="Arial" w:eastAsia="Arial" w:hAnsi="Arial"/>
          <w:sz w:val="16"/>
          <w:szCs w:val="16"/>
          <w:u w:val="single" w:color="auto"/>
          <w:color w:val="0000EE"/>
        </w:rPr>
      </w:pPr>
      <w:hyperlink r:id="rId194">
        <w:r>
          <w:rPr>
            <w:rFonts w:ascii="Arial" w:cs="Arial" w:eastAsia="Arial" w:hAnsi="Arial"/>
            <w:sz w:val="16"/>
            <w:szCs w:val="16"/>
            <w:u w:val="single" w:color="auto"/>
            <w:color w:val="0000EE"/>
          </w:rPr>
          <w:t>Previously filed as an exhibit to the Company’s Current Report on Form 8-K</w:t>
        </w:r>
      </w:hyperlink>
      <w:r>
        <w:rPr>
          <w:rFonts w:ascii="Arial" w:cs="Arial" w:eastAsia="Arial" w:hAnsi="Arial"/>
          <w:sz w:val="16"/>
          <w:szCs w:val="16"/>
          <w:u w:val="single" w:color="auto"/>
          <w:color w:val="0000EE"/>
        </w:rPr>
        <w:t xml:space="preserve"> </w:t>
      </w:r>
      <w:hyperlink r:id="rId194">
        <w:r>
          <w:rPr>
            <w:rFonts w:ascii="Arial" w:cs="Arial" w:eastAsia="Arial" w:hAnsi="Arial"/>
            <w:sz w:val="16"/>
            <w:szCs w:val="16"/>
            <w:u w:val="single" w:color="auto"/>
            <w:color w:val="0000EE"/>
          </w:rPr>
          <w:t>(filed February 2, 2018) and incorporated by reference thereto</w:t>
        </w:r>
      </w:hyperlink>
    </w:p>
    <w:p>
      <w:pPr>
        <w:spacing w:after="0" w:line="326" w:lineRule="exact"/>
        <w:rPr>
          <w:sz w:val="20"/>
          <w:szCs w:val="20"/>
          <w:color w:val="auto"/>
        </w:rPr>
      </w:pPr>
    </w:p>
    <w:p>
      <w:pPr>
        <w:sectPr>
          <w:pgSz w:w="11900" w:h="16838" w:orient="portrait"/>
          <w:cols w:equalWidth="0" w:num="2">
            <w:col w:w="6000" w:space="60"/>
            <w:col w:w="5360"/>
          </w:cols>
          <w:pgMar w:left="240" w:top="228"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300" w:type="dxa"/>
            <w:vAlign w:val="bottom"/>
          </w:tcPr>
          <w:p>
            <w:pPr>
              <w:jc w:val="right"/>
              <w:spacing w:after="0"/>
              <w:rPr>
                <w:rFonts w:ascii="Arial" w:cs="Arial" w:eastAsia="Arial" w:hAnsi="Arial"/>
                <w:sz w:val="17"/>
                <w:szCs w:val="17"/>
                <w:color w:val="0000EE"/>
                <w:w w:val="84"/>
              </w:rPr>
            </w:pPr>
            <w:hyperlink r:id="rId195">
              <w:r>
                <w:rPr>
                  <w:rFonts w:ascii="Arial" w:cs="Arial" w:eastAsia="Arial" w:hAnsi="Arial"/>
                  <w:sz w:val="17"/>
                  <w:szCs w:val="17"/>
                  <w:color w:val="0000EE"/>
                  <w:w w:val="84"/>
                </w:rPr>
                <w:t>16.</w:t>
              </w:r>
              <w:r>
                <w:rPr>
                  <w:rFonts w:ascii="Arial" w:cs="Arial" w:eastAsia="Arial" w:hAnsi="Arial"/>
                  <w:sz w:val="17"/>
                  <w:szCs w:val="17"/>
                  <w:u w:val="single" w:color="auto"/>
                  <w:color w:val="0000EE"/>
                  <w:w w:val="84"/>
                </w:rPr>
                <w:t>1</w:t>
              </w:r>
            </w:hyperlink>
          </w:p>
        </w:tc>
        <w:tc>
          <w:tcPr>
            <w:tcW w:w="480" w:type="dxa"/>
            <w:vAlign w:val="bottom"/>
          </w:tcPr>
          <w:p>
            <w:pPr>
              <w:spacing w:after="0"/>
              <w:rPr>
                <w:sz w:val="16"/>
                <w:szCs w:val="16"/>
                <w:color w:val="auto"/>
              </w:rPr>
            </w:pPr>
          </w:p>
        </w:tc>
        <w:tc>
          <w:tcPr>
            <w:tcW w:w="10160" w:type="dxa"/>
            <w:vAlign w:val="bottom"/>
            <w:gridSpan w:val="17"/>
          </w:tcPr>
          <w:p>
            <w:pPr>
              <w:spacing w:after="0"/>
              <w:rPr>
                <w:rFonts w:ascii="Arial" w:cs="Arial" w:eastAsia="Arial" w:hAnsi="Arial"/>
                <w:sz w:val="17"/>
                <w:szCs w:val="17"/>
                <w:color w:val="0000EE"/>
                <w:w w:val="92"/>
              </w:rPr>
            </w:pPr>
            <w:hyperlink r:id="rId195">
              <w:r>
                <w:rPr>
                  <w:rFonts w:ascii="Arial" w:cs="Arial" w:eastAsia="Arial" w:hAnsi="Arial"/>
                  <w:sz w:val="17"/>
                  <w:szCs w:val="17"/>
                  <w:color w:val="0000EE"/>
                  <w:w w:val="92"/>
                </w:rPr>
                <w:t>Letter from KPMG to the Securities and Exchange Commission, dated Previously filed as an exhibit to the Company’s Current Report on Form 8-K</w:t>
              </w:r>
            </w:hyperlink>
          </w:p>
        </w:tc>
      </w:tr>
      <w:tr>
        <w:trPr>
          <w:trHeight w:val="182"/>
        </w:trPr>
        <w:tc>
          <w:tcPr>
            <w:tcW w:w="480" w:type="dxa"/>
            <w:vAlign w:val="bottom"/>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80" w:type="dxa"/>
            <w:vAlign w:val="bottom"/>
          </w:tcPr>
          <w:p>
            <w:pPr>
              <w:spacing w:after="0"/>
              <w:rPr>
                <w:sz w:val="15"/>
                <w:szCs w:val="15"/>
                <w:color w:val="auto"/>
              </w:rPr>
            </w:pPr>
          </w:p>
        </w:tc>
        <w:tc>
          <w:tcPr>
            <w:tcW w:w="4780" w:type="dxa"/>
            <w:vAlign w:val="bottom"/>
            <w:tcBorders>
              <w:top w:val="single" w:sz="8" w:color="0000EE"/>
            </w:tcBorders>
            <w:gridSpan w:val="10"/>
          </w:tcPr>
          <w:p>
            <w:pPr>
              <w:spacing w:after="0" w:line="183" w:lineRule="exact"/>
              <w:rPr>
                <w:rFonts w:ascii="Arial" w:cs="Arial" w:eastAsia="Arial" w:hAnsi="Arial"/>
                <w:sz w:val="17"/>
                <w:szCs w:val="17"/>
                <w:color w:val="0000EE"/>
              </w:rPr>
            </w:pPr>
            <w:hyperlink r:id="rId195">
              <w:r>
                <w:rPr>
                  <w:rFonts w:ascii="Arial" w:cs="Arial" w:eastAsia="Arial" w:hAnsi="Arial"/>
                  <w:sz w:val="17"/>
                  <w:szCs w:val="17"/>
                  <w:color w:val="0000EE"/>
                </w:rPr>
                <w:t>as of May 9, 2017</w:t>
              </w:r>
            </w:hyperlink>
          </w:p>
        </w:tc>
        <w:tc>
          <w:tcPr>
            <w:tcW w:w="20" w:type="dxa"/>
            <w:vAlign w:val="bottom"/>
          </w:tcPr>
          <w:p>
            <w:pPr>
              <w:spacing w:after="0"/>
              <w:rPr>
                <w:sz w:val="15"/>
                <w:szCs w:val="15"/>
                <w:color w:val="auto"/>
              </w:rPr>
            </w:pPr>
          </w:p>
        </w:tc>
        <w:tc>
          <w:tcPr>
            <w:tcW w:w="5180" w:type="dxa"/>
            <w:vAlign w:val="bottom"/>
            <w:tcBorders>
              <w:top w:val="single" w:sz="8" w:color="0000EE"/>
            </w:tcBorders>
            <w:gridSpan w:val="5"/>
          </w:tcPr>
          <w:p>
            <w:pPr>
              <w:spacing w:after="0" w:line="183" w:lineRule="exact"/>
              <w:rPr>
                <w:rFonts w:ascii="Arial" w:cs="Arial" w:eastAsia="Arial" w:hAnsi="Arial"/>
                <w:sz w:val="17"/>
                <w:szCs w:val="17"/>
                <w:color w:val="0000EE"/>
              </w:rPr>
            </w:pPr>
            <w:hyperlink r:id="rId195">
              <w:r>
                <w:rPr>
                  <w:rFonts w:ascii="Arial" w:cs="Arial" w:eastAsia="Arial" w:hAnsi="Arial"/>
                  <w:sz w:val="17"/>
                  <w:szCs w:val="17"/>
                  <w:color w:val="0000EE"/>
                </w:rPr>
                <w:t>(filed May 11, 2017) and incorporated by reference thereto</w:t>
              </w:r>
            </w:hyperlink>
          </w:p>
        </w:tc>
        <w:tc>
          <w:tcPr>
            <w:tcW w:w="180" w:type="dxa"/>
            <w:vAlign w:val="bottom"/>
          </w:tcPr>
          <w:p>
            <w:pPr>
              <w:spacing w:after="0"/>
              <w:rPr>
                <w:sz w:val="15"/>
                <w:szCs w:val="15"/>
                <w:color w:val="auto"/>
              </w:rPr>
            </w:pPr>
          </w:p>
        </w:tc>
      </w:tr>
      <w:tr>
        <w:trPr>
          <w:trHeight w:val="20"/>
        </w:trPr>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85"/>
        </w:trPr>
        <w:tc>
          <w:tcPr>
            <w:tcW w:w="480" w:type="dxa"/>
            <w:vAlign w:val="bottom"/>
          </w:tcPr>
          <w:p>
            <w:pPr>
              <w:spacing w:after="0"/>
              <w:rPr>
                <w:sz w:val="24"/>
                <w:szCs w:val="24"/>
                <w:color w:val="auto"/>
              </w:rPr>
            </w:pPr>
          </w:p>
        </w:tc>
        <w:tc>
          <w:tcPr>
            <w:tcW w:w="300" w:type="dxa"/>
            <w:vAlign w:val="bottom"/>
          </w:tcPr>
          <w:p>
            <w:pPr>
              <w:jc w:val="right"/>
              <w:spacing w:after="0"/>
              <w:rPr>
                <w:rFonts w:ascii="Arial" w:cs="Arial" w:eastAsia="Arial" w:hAnsi="Arial"/>
                <w:sz w:val="17"/>
                <w:szCs w:val="17"/>
                <w:color w:val="0000EE"/>
                <w:w w:val="84"/>
              </w:rPr>
            </w:pPr>
            <w:hyperlink w:anchor="page175">
              <w:r>
                <w:rPr>
                  <w:rFonts w:ascii="Arial" w:cs="Arial" w:eastAsia="Arial" w:hAnsi="Arial"/>
                  <w:sz w:val="17"/>
                  <w:szCs w:val="17"/>
                  <w:color w:val="0000EE"/>
                  <w:w w:val="84"/>
                </w:rPr>
                <w:t>21.</w:t>
              </w:r>
              <w:r>
                <w:rPr>
                  <w:rFonts w:ascii="Arial" w:cs="Arial" w:eastAsia="Arial" w:hAnsi="Arial"/>
                  <w:sz w:val="17"/>
                  <w:szCs w:val="17"/>
                  <w:u w:val="single" w:color="auto"/>
                  <w:color w:val="0000EE"/>
                  <w:w w:val="84"/>
                </w:rPr>
                <w:t>1</w:t>
              </w:r>
            </w:hyperlink>
          </w:p>
        </w:tc>
        <w:tc>
          <w:tcPr>
            <w:tcW w:w="480" w:type="dxa"/>
            <w:vAlign w:val="bottom"/>
          </w:tcPr>
          <w:p>
            <w:pPr>
              <w:spacing w:after="0"/>
              <w:rPr>
                <w:sz w:val="24"/>
                <w:szCs w:val="24"/>
                <w:color w:val="auto"/>
              </w:rPr>
            </w:pPr>
          </w:p>
        </w:tc>
        <w:tc>
          <w:tcPr>
            <w:tcW w:w="2000" w:type="dxa"/>
            <w:vAlign w:val="bottom"/>
            <w:gridSpan w:val="3"/>
          </w:tcPr>
          <w:p>
            <w:pPr>
              <w:spacing w:after="0"/>
              <w:rPr>
                <w:rFonts w:ascii="Arial" w:cs="Arial" w:eastAsia="Arial" w:hAnsi="Arial"/>
                <w:sz w:val="17"/>
                <w:szCs w:val="17"/>
                <w:color w:val="0000EE"/>
                <w:w w:val="89"/>
              </w:rPr>
            </w:pPr>
            <w:hyperlink w:anchor="page175">
              <w:r>
                <w:rPr>
                  <w:rFonts w:ascii="Arial" w:cs="Arial" w:eastAsia="Arial" w:hAnsi="Arial"/>
                  <w:sz w:val="17"/>
                  <w:szCs w:val="17"/>
                  <w:color w:val="0000EE"/>
                  <w:w w:val="89"/>
                </w:rPr>
                <w:t>Subsidiaries of the Registrant</w:t>
              </w:r>
            </w:hyperlink>
          </w:p>
        </w:tc>
        <w:tc>
          <w:tcPr>
            <w:tcW w:w="278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gridSpan w:val="6"/>
          </w:tcPr>
          <w:p>
            <w:pPr>
              <w:spacing w:after="0"/>
              <w:rPr>
                <w:rFonts w:ascii="Arial" w:cs="Arial" w:eastAsia="Arial" w:hAnsi="Arial"/>
                <w:sz w:val="17"/>
                <w:szCs w:val="17"/>
                <w:color w:val="0000EE"/>
              </w:rPr>
            </w:pPr>
            <w:hyperlink w:anchor="page175">
              <w:r>
                <w:rPr>
                  <w:rFonts w:ascii="Arial" w:cs="Arial" w:eastAsia="Arial" w:hAnsi="Arial"/>
                  <w:sz w:val="17"/>
                  <w:szCs w:val="17"/>
                  <w:color w:val="0000EE"/>
                </w:rPr>
                <w:t>Filed with this report</w:t>
              </w:r>
            </w:hyperlink>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r>
      <w:tr>
        <w:trPr>
          <w:trHeight w:val="385"/>
        </w:trPr>
        <w:tc>
          <w:tcPr>
            <w:tcW w:w="480" w:type="dxa"/>
            <w:vAlign w:val="bottom"/>
          </w:tcPr>
          <w:p>
            <w:pPr>
              <w:spacing w:after="0"/>
              <w:rPr>
                <w:sz w:val="24"/>
                <w:szCs w:val="24"/>
                <w:color w:val="auto"/>
              </w:rPr>
            </w:pPr>
          </w:p>
        </w:tc>
        <w:tc>
          <w:tcPr>
            <w:tcW w:w="300" w:type="dxa"/>
            <w:vAlign w:val="bottom"/>
          </w:tcPr>
          <w:p>
            <w:pPr>
              <w:jc w:val="right"/>
              <w:spacing w:after="0"/>
              <w:rPr>
                <w:rFonts w:ascii="Arial" w:cs="Arial" w:eastAsia="Arial" w:hAnsi="Arial"/>
                <w:sz w:val="17"/>
                <w:szCs w:val="17"/>
                <w:color w:val="0000EE"/>
                <w:w w:val="84"/>
              </w:rPr>
            </w:pPr>
            <w:hyperlink w:anchor="page176">
              <w:r>
                <w:rPr>
                  <w:rFonts w:ascii="Arial" w:cs="Arial" w:eastAsia="Arial" w:hAnsi="Arial"/>
                  <w:sz w:val="17"/>
                  <w:szCs w:val="17"/>
                  <w:color w:val="0000EE"/>
                  <w:w w:val="84"/>
                </w:rPr>
                <w:t>23.</w:t>
              </w:r>
              <w:r>
                <w:rPr>
                  <w:rFonts w:ascii="Arial" w:cs="Arial" w:eastAsia="Arial" w:hAnsi="Arial"/>
                  <w:sz w:val="17"/>
                  <w:szCs w:val="17"/>
                  <w:u w:val="single" w:color="auto"/>
                  <w:color w:val="0000EE"/>
                  <w:w w:val="84"/>
                </w:rPr>
                <w:t>1</w:t>
              </w:r>
            </w:hyperlink>
          </w:p>
        </w:tc>
        <w:tc>
          <w:tcPr>
            <w:tcW w:w="480" w:type="dxa"/>
            <w:vAlign w:val="bottom"/>
          </w:tcPr>
          <w:p>
            <w:pPr>
              <w:spacing w:after="0"/>
              <w:rPr>
                <w:sz w:val="24"/>
                <w:szCs w:val="24"/>
                <w:color w:val="auto"/>
              </w:rPr>
            </w:pPr>
          </w:p>
        </w:tc>
        <w:tc>
          <w:tcPr>
            <w:tcW w:w="2180" w:type="dxa"/>
            <w:vAlign w:val="bottom"/>
            <w:gridSpan w:val="4"/>
          </w:tcPr>
          <w:p>
            <w:pPr>
              <w:spacing w:after="0"/>
              <w:rPr>
                <w:rFonts w:ascii="Arial" w:cs="Arial" w:eastAsia="Arial" w:hAnsi="Arial"/>
                <w:sz w:val="17"/>
                <w:szCs w:val="17"/>
                <w:color w:val="0000EE"/>
                <w:w w:val="91"/>
              </w:rPr>
            </w:pPr>
            <w:hyperlink w:anchor="page176">
              <w:r>
                <w:rPr>
                  <w:rFonts w:ascii="Arial" w:cs="Arial" w:eastAsia="Arial" w:hAnsi="Arial"/>
                  <w:sz w:val="17"/>
                  <w:szCs w:val="17"/>
                  <w:color w:val="0000EE"/>
                  <w:w w:val="91"/>
                </w:rPr>
                <w:t>Consent of Grant Thornton LLP</w:t>
              </w:r>
            </w:hyperlink>
          </w:p>
        </w:tc>
        <w:tc>
          <w:tcPr>
            <w:tcW w:w="260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gridSpan w:val="6"/>
          </w:tcPr>
          <w:p>
            <w:pPr>
              <w:spacing w:after="0"/>
              <w:rPr>
                <w:rFonts w:ascii="Arial" w:cs="Arial" w:eastAsia="Arial" w:hAnsi="Arial"/>
                <w:sz w:val="17"/>
                <w:szCs w:val="17"/>
                <w:color w:val="0000EE"/>
              </w:rPr>
            </w:pPr>
            <w:hyperlink w:anchor="page176">
              <w:r>
                <w:rPr>
                  <w:rFonts w:ascii="Arial" w:cs="Arial" w:eastAsia="Arial" w:hAnsi="Arial"/>
                  <w:sz w:val="17"/>
                  <w:szCs w:val="17"/>
                  <w:color w:val="0000EE"/>
                </w:rPr>
                <w:t>Filed with this report</w:t>
              </w:r>
            </w:hyperlink>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r>
      <w:tr>
        <w:trPr>
          <w:trHeight w:val="385"/>
        </w:trPr>
        <w:tc>
          <w:tcPr>
            <w:tcW w:w="480" w:type="dxa"/>
            <w:vAlign w:val="bottom"/>
          </w:tcPr>
          <w:p>
            <w:pPr>
              <w:spacing w:after="0"/>
              <w:rPr>
                <w:sz w:val="24"/>
                <w:szCs w:val="24"/>
                <w:color w:val="auto"/>
              </w:rPr>
            </w:pPr>
          </w:p>
        </w:tc>
        <w:tc>
          <w:tcPr>
            <w:tcW w:w="300" w:type="dxa"/>
            <w:vAlign w:val="bottom"/>
          </w:tcPr>
          <w:p>
            <w:pPr>
              <w:jc w:val="right"/>
              <w:spacing w:after="0"/>
              <w:rPr>
                <w:rFonts w:ascii="Arial" w:cs="Arial" w:eastAsia="Arial" w:hAnsi="Arial"/>
                <w:sz w:val="17"/>
                <w:szCs w:val="17"/>
                <w:color w:val="0000EE"/>
                <w:w w:val="84"/>
              </w:rPr>
            </w:pPr>
            <w:hyperlink w:anchor="page177">
              <w:r>
                <w:rPr>
                  <w:rFonts w:ascii="Arial" w:cs="Arial" w:eastAsia="Arial" w:hAnsi="Arial"/>
                  <w:sz w:val="17"/>
                  <w:szCs w:val="17"/>
                  <w:color w:val="0000EE"/>
                  <w:w w:val="84"/>
                </w:rPr>
                <w:t>23.</w:t>
              </w:r>
              <w:r>
                <w:rPr>
                  <w:rFonts w:ascii="Arial" w:cs="Arial" w:eastAsia="Arial" w:hAnsi="Arial"/>
                  <w:sz w:val="17"/>
                  <w:szCs w:val="17"/>
                  <w:u w:val="single" w:color="auto"/>
                  <w:color w:val="0000EE"/>
                  <w:w w:val="84"/>
                </w:rPr>
                <w:t>2</w:t>
              </w:r>
            </w:hyperlink>
          </w:p>
        </w:tc>
        <w:tc>
          <w:tcPr>
            <w:tcW w:w="480" w:type="dxa"/>
            <w:vAlign w:val="bottom"/>
          </w:tcPr>
          <w:p>
            <w:pPr>
              <w:spacing w:after="0"/>
              <w:rPr>
                <w:sz w:val="24"/>
                <w:szCs w:val="24"/>
                <w:color w:val="auto"/>
              </w:rPr>
            </w:pPr>
          </w:p>
        </w:tc>
        <w:tc>
          <w:tcPr>
            <w:tcW w:w="1620" w:type="dxa"/>
            <w:vAlign w:val="bottom"/>
            <w:gridSpan w:val="2"/>
          </w:tcPr>
          <w:p>
            <w:pPr>
              <w:spacing w:after="0"/>
              <w:rPr>
                <w:rFonts w:ascii="Arial" w:cs="Arial" w:eastAsia="Arial" w:hAnsi="Arial"/>
                <w:sz w:val="17"/>
                <w:szCs w:val="17"/>
                <w:color w:val="0000EE"/>
                <w:w w:val="93"/>
              </w:rPr>
            </w:pPr>
            <w:hyperlink w:anchor="page177">
              <w:r>
                <w:rPr>
                  <w:rFonts w:ascii="Arial" w:cs="Arial" w:eastAsia="Arial" w:hAnsi="Arial"/>
                  <w:sz w:val="17"/>
                  <w:szCs w:val="17"/>
                  <w:color w:val="0000EE"/>
                  <w:w w:val="93"/>
                </w:rPr>
                <w:t>Consent of KPMG LLP</w:t>
              </w:r>
            </w:hyperlink>
          </w:p>
        </w:tc>
        <w:tc>
          <w:tcPr>
            <w:tcW w:w="560" w:type="dxa"/>
            <w:vAlign w:val="bottom"/>
            <w:gridSpan w:val="2"/>
          </w:tcPr>
          <w:p>
            <w:pPr>
              <w:spacing w:after="0"/>
              <w:rPr>
                <w:sz w:val="24"/>
                <w:szCs w:val="24"/>
                <w:color w:val="auto"/>
              </w:rPr>
            </w:pPr>
          </w:p>
        </w:tc>
        <w:tc>
          <w:tcPr>
            <w:tcW w:w="260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gridSpan w:val="6"/>
          </w:tcPr>
          <w:p>
            <w:pPr>
              <w:spacing w:after="0"/>
              <w:rPr>
                <w:rFonts w:ascii="Arial" w:cs="Arial" w:eastAsia="Arial" w:hAnsi="Arial"/>
                <w:sz w:val="17"/>
                <w:szCs w:val="17"/>
                <w:color w:val="0000EE"/>
              </w:rPr>
            </w:pPr>
            <w:hyperlink w:anchor="page177">
              <w:r>
                <w:rPr>
                  <w:rFonts w:ascii="Arial" w:cs="Arial" w:eastAsia="Arial" w:hAnsi="Arial"/>
                  <w:sz w:val="17"/>
                  <w:szCs w:val="17"/>
                  <w:color w:val="0000EE"/>
                </w:rPr>
                <w:t>Filed with this report</w:t>
              </w:r>
            </w:hyperlink>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r>
      <w:tr>
        <w:trPr>
          <w:trHeight w:val="385"/>
        </w:trPr>
        <w:tc>
          <w:tcPr>
            <w:tcW w:w="480" w:type="dxa"/>
            <w:vAlign w:val="bottom"/>
          </w:tcPr>
          <w:p>
            <w:pPr>
              <w:spacing w:after="0"/>
              <w:rPr>
                <w:sz w:val="24"/>
                <w:szCs w:val="24"/>
                <w:color w:val="auto"/>
              </w:rPr>
            </w:pPr>
          </w:p>
        </w:tc>
        <w:tc>
          <w:tcPr>
            <w:tcW w:w="300" w:type="dxa"/>
            <w:vAlign w:val="bottom"/>
          </w:tcPr>
          <w:p>
            <w:pPr>
              <w:jc w:val="right"/>
              <w:spacing w:after="0"/>
              <w:rPr>
                <w:rFonts w:ascii="Arial" w:cs="Arial" w:eastAsia="Arial" w:hAnsi="Arial"/>
                <w:sz w:val="17"/>
                <w:szCs w:val="17"/>
                <w:color w:val="0000EE"/>
                <w:w w:val="84"/>
              </w:rPr>
            </w:pPr>
            <w:hyperlink w:anchor="page178">
              <w:r>
                <w:rPr>
                  <w:rFonts w:ascii="Arial" w:cs="Arial" w:eastAsia="Arial" w:hAnsi="Arial"/>
                  <w:sz w:val="17"/>
                  <w:szCs w:val="17"/>
                  <w:color w:val="0000EE"/>
                  <w:w w:val="84"/>
                </w:rPr>
                <w:t>31.</w:t>
              </w:r>
              <w:r>
                <w:rPr>
                  <w:rFonts w:ascii="Arial" w:cs="Arial" w:eastAsia="Arial" w:hAnsi="Arial"/>
                  <w:sz w:val="17"/>
                  <w:szCs w:val="17"/>
                  <w:u w:val="single" w:color="auto"/>
                  <w:color w:val="0000EE"/>
                  <w:w w:val="84"/>
                </w:rPr>
                <w:t>1</w:t>
              </w:r>
            </w:hyperlink>
          </w:p>
        </w:tc>
        <w:tc>
          <w:tcPr>
            <w:tcW w:w="480" w:type="dxa"/>
            <w:vAlign w:val="bottom"/>
          </w:tcPr>
          <w:p>
            <w:pPr>
              <w:spacing w:after="0"/>
              <w:rPr>
                <w:sz w:val="24"/>
                <w:szCs w:val="24"/>
                <w:color w:val="auto"/>
              </w:rPr>
            </w:pPr>
          </w:p>
        </w:tc>
        <w:tc>
          <w:tcPr>
            <w:tcW w:w="4600" w:type="dxa"/>
            <w:vAlign w:val="bottom"/>
            <w:gridSpan w:val="8"/>
          </w:tcPr>
          <w:p>
            <w:pPr>
              <w:spacing w:after="0"/>
              <w:rPr>
                <w:rFonts w:ascii="Arial" w:cs="Arial" w:eastAsia="Arial" w:hAnsi="Arial"/>
                <w:sz w:val="17"/>
                <w:szCs w:val="17"/>
                <w:color w:val="0000EE"/>
                <w:w w:val="92"/>
              </w:rPr>
            </w:pPr>
            <w:hyperlink w:anchor="page178">
              <w:r>
                <w:rPr>
                  <w:rFonts w:ascii="Arial" w:cs="Arial" w:eastAsia="Arial" w:hAnsi="Arial"/>
                  <w:sz w:val="17"/>
                  <w:szCs w:val="17"/>
                  <w:color w:val="0000EE"/>
                  <w:w w:val="92"/>
                </w:rPr>
                <w:t>Certification of Chief Financial Officer of Harvard Bioscience, Inc.,</w:t>
              </w:r>
            </w:hyperlink>
          </w:p>
        </w:tc>
        <w:tc>
          <w:tcPr>
            <w:tcW w:w="1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gridSpan w:val="6"/>
          </w:tcPr>
          <w:p>
            <w:pPr>
              <w:spacing w:after="0"/>
              <w:rPr>
                <w:rFonts w:ascii="Arial" w:cs="Arial" w:eastAsia="Arial" w:hAnsi="Arial"/>
                <w:sz w:val="17"/>
                <w:szCs w:val="17"/>
                <w:color w:val="0000EE"/>
              </w:rPr>
            </w:pPr>
            <w:hyperlink w:anchor="page178">
              <w:r>
                <w:rPr>
                  <w:rFonts w:ascii="Arial" w:cs="Arial" w:eastAsia="Arial" w:hAnsi="Arial"/>
                  <w:sz w:val="17"/>
                  <w:szCs w:val="17"/>
                  <w:color w:val="0000EE"/>
                </w:rPr>
                <w:t>Filed with this report</w:t>
              </w:r>
            </w:hyperlink>
          </w:p>
        </w:tc>
      </w:tr>
      <w:tr>
        <w:trPr>
          <w:trHeight w:val="182"/>
        </w:trPr>
        <w:tc>
          <w:tcPr>
            <w:tcW w:w="480" w:type="dxa"/>
            <w:vAlign w:val="bottom"/>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80" w:type="dxa"/>
            <w:vAlign w:val="bottom"/>
          </w:tcPr>
          <w:p>
            <w:pPr>
              <w:spacing w:after="0"/>
              <w:rPr>
                <w:sz w:val="15"/>
                <w:szCs w:val="15"/>
                <w:color w:val="auto"/>
              </w:rPr>
            </w:pPr>
          </w:p>
        </w:tc>
        <w:tc>
          <w:tcPr>
            <w:tcW w:w="4480" w:type="dxa"/>
            <w:vAlign w:val="bottom"/>
            <w:tcBorders>
              <w:top w:val="single" w:sz="8" w:color="0000EE"/>
              <w:bottom w:val="single" w:sz="8" w:color="0000EE"/>
            </w:tcBorders>
            <w:gridSpan w:val="7"/>
          </w:tcPr>
          <w:p>
            <w:pPr>
              <w:spacing w:after="0" w:line="183" w:lineRule="exact"/>
              <w:rPr>
                <w:rFonts w:ascii="Arial" w:cs="Arial" w:eastAsia="Arial" w:hAnsi="Arial"/>
                <w:sz w:val="17"/>
                <w:szCs w:val="17"/>
                <w:color w:val="0000EE"/>
                <w:w w:val="88"/>
              </w:rPr>
            </w:pPr>
            <w:hyperlink w:anchor="page178">
              <w:r>
                <w:rPr>
                  <w:rFonts w:ascii="Arial" w:cs="Arial" w:eastAsia="Arial" w:hAnsi="Arial"/>
                  <w:sz w:val="17"/>
                  <w:szCs w:val="17"/>
                  <w:color w:val="0000EE"/>
                  <w:w w:val="88"/>
                </w:rPr>
                <w:t>pursuant to Rules 13a-15(e) and 15d-15(e), as adopted pursuant to</w:t>
              </w:r>
            </w:hyperlink>
          </w:p>
        </w:tc>
        <w:tc>
          <w:tcPr>
            <w:tcW w:w="120" w:type="dxa"/>
            <w:vAlign w:val="bottom"/>
            <w:tcBorders>
              <w:top w:val="single" w:sz="8" w:color="0000EE"/>
            </w:tcBorders>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2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2"/>
        </w:trPr>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780" w:type="dxa"/>
            <w:vAlign w:val="bottom"/>
            <w:gridSpan w:val="10"/>
          </w:tcPr>
          <w:p>
            <w:pPr>
              <w:spacing w:after="0" w:line="183" w:lineRule="exact"/>
              <w:rPr>
                <w:rFonts w:ascii="Arial" w:cs="Arial" w:eastAsia="Arial" w:hAnsi="Arial"/>
                <w:sz w:val="17"/>
                <w:szCs w:val="17"/>
                <w:color w:val="0000EE"/>
              </w:rPr>
            </w:pPr>
            <w:hyperlink w:anchor="page178">
              <w:r>
                <w:rPr>
                  <w:rFonts w:ascii="Arial" w:cs="Arial" w:eastAsia="Arial" w:hAnsi="Arial"/>
                  <w:sz w:val="17"/>
                  <w:szCs w:val="17"/>
                  <w:color w:val="0000EE"/>
                </w:rPr>
                <w:t>Section 302 of the Sarbanes-Oxley Act of 2002</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
        </w:trPr>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0" w:type="dxa"/>
            <w:vAlign w:val="bottom"/>
            <w:gridSpan w:val="5"/>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40" w:type="dxa"/>
            <w:vAlign w:val="bottom"/>
            <w:gridSpan w:val="4"/>
          </w:tcPr>
          <w:p>
            <w:pPr>
              <w:spacing w:after="0" w:line="20" w:lineRule="exact"/>
              <w:rPr>
                <w:sz w:val="1"/>
                <w:szCs w:val="1"/>
                <w:color w:val="auto"/>
              </w:rPr>
            </w:pPr>
          </w:p>
        </w:tc>
      </w:tr>
      <w:tr>
        <w:trPr>
          <w:trHeight w:val="385"/>
        </w:trPr>
        <w:tc>
          <w:tcPr>
            <w:tcW w:w="480" w:type="dxa"/>
            <w:vAlign w:val="bottom"/>
          </w:tcPr>
          <w:p>
            <w:pPr>
              <w:spacing w:after="0"/>
              <w:rPr>
                <w:sz w:val="24"/>
                <w:szCs w:val="24"/>
                <w:color w:val="auto"/>
              </w:rPr>
            </w:pPr>
          </w:p>
        </w:tc>
        <w:tc>
          <w:tcPr>
            <w:tcW w:w="300" w:type="dxa"/>
            <w:vAlign w:val="bottom"/>
          </w:tcPr>
          <w:p>
            <w:pPr>
              <w:jc w:val="right"/>
              <w:spacing w:after="0"/>
              <w:rPr>
                <w:rFonts w:ascii="Arial" w:cs="Arial" w:eastAsia="Arial" w:hAnsi="Arial"/>
                <w:sz w:val="17"/>
                <w:szCs w:val="17"/>
                <w:color w:val="0000EE"/>
                <w:w w:val="84"/>
              </w:rPr>
            </w:pPr>
            <w:hyperlink w:anchor="page179">
              <w:r>
                <w:rPr>
                  <w:rFonts w:ascii="Arial" w:cs="Arial" w:eastAsia="Arial" w:hAnsi="Arial"/>
                  <w:sz w:val="17"/>
                  <w:szCs w:val="17"/>
                  <w:color w:val="0000EE"/>
                  <w:w w:val="84"/>
                </w:rPr>
                <w:t>31.</w:t>
              </w:r>
              <w:r>
                <w:rPr>
                  <w:rFonts w:ascii="Arial" w:cs="Arial" w:eastAsia="Arial" w:hAnsi="Arial"/>
                  <w:sz w:val="17"/>
                  <w:szCs w:val="17"/>
                  <w:u w:val="single" w:color="auto"/>
                  <w:color w:val="0000EE"/>
                  <w:w w:val="84"/>
                </w:rPr>
                <w:t>2</w:t>
              </w:r>
            </w:hyperlink>
          </w:p>
        </w:tc>
        <w:tc>
          <w:tcPr>
            <w:tcW w:w="480" w:type="dxa"/>
            <w:vAlign w:val="bottom"/>
          </w:tcPr>
          <w:p>
            <w:pPr>
              <w:spacing w:after="0"/>
              <w:rPr>
                <w:sz w:val="24"/>
                <w:szCs w:val="24"/>
                <w:color w:val="auto"/>
              </w:rPr>
            </w:pPr>
          </w:p>
        </w:tc>
        <w:tc>
          <w:tcPr>
            <w:tcW w:w="4780" w:type="dxa"/>
            <w:vAlign w:val="bottom"/>
            <w:gridSpan w:val="10"/>
          </w:tcPr>
          <w:p>
            <w:pPr>
              <w:spacing w:after="0"/>
              <w:rPr>
                <w:rFonts w:ascii="Arial" w:cs="Arial" w:eastAsia="Arial" w:hAnsi="Arial"/>
                <w:sz w:val="17"/>
                <w:szCs w:val="17"/>
                <w:color w:val="0000EE"/>
                <w:w w:val="95"/>
              </w:rPr>
            </w:pPr>
            <w:hyperlink w:anchor="page179">
              <w:r>
                <w:rPr>
                  <w:rFonts w:ascii="Arial" w:cs="Arial" w:eastAsia="Arial" w:hAnsi="Arial"/>
                  <w:sz w:val="17"/>
                  <w:szCs w:val="17"/>
                  <w:color w:val="0000EE"/>
                  <w:w w:val="95"/>
                </w:rPr>
                <w:t>Certification of Chief Executive Officer of Harvard Bioscience, Inc.,</w:t>
              </w:r>
            </w:hyperlink>
          </w:p>
        </w:tc>
        <w:tc>
          <w:tcPr>
            <w:tcW w:w="20" w:type="dxa"/>
            <w:vAlign w:val="bottom"/>
          </w:tcPr>
          <w:p>
            <w:pPr>
              <w:spacing w:after="0"/>
              <w:rPr>
                <w:sz w:val="24"/>
                <w:szCs w:val="24"/>
                <w:color w:val="auto"/>
              </w:rPr>
            </w:pPr>
          </w:p>
        </w:tc>
        <w:tc>
          <w:tcPr>
            <w:tcW w:w="5360" w:type="dxa"/>
            <w:vAlign w:val="bottom"/>
            <w:gridSpan w:val="6"/>
          </w:tcPr>
          <w:p>
            <w:pPr>
              <w:spacing w:after="0"/>
              <w:rPr>
                <w:rFonts w:ascii="Arial" w:cs="Arial" w:eastAsia="Arial" w:hAnsi="Arial"/>
                <w:sz w:val="17"/>
                <w:szCs w:val="17"/>
                <w:color w:val="0000EE"/>
              </w:rPr>
            </w:pPr>
            <w:hyperlink w:anchor="page179">
              <w:r>
                <w:rPr>
                  <w:rFonts w:ascii="Arial" w:cs="Arial" w:eastAsia="Arial" w:hAnsi="Arial"/>
                  <w:sz w:val="17"/>
                  <w:szCs w:val="17"/>
                  <w:color w:val="0000EE"/>
                </w:rPr>
                <w:t>Filed with this report</w:t>
              </w:r>
            </w:hyperlink>
          </w:p>
        </w:tc>
      </w:tr>
      <w:tr>
        <w:trPr>
          <w:trHeight w:val="182"/>
        </w:trPr>
        <w:tc>
          <w:tcPr>
            <w:tcW w:w="480" w:type="dxa"/>
            <w:vAlign w:val="bottom"/>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80" w:type="dxa"/>
            <w:vAlign w:val="bottom"/>
          </w:tcPr>
          <w:p>
            <w:pPr>
              <w:spacing w:after="0"/>
              <w:rPr>
                <w:sz w:val="15"/>
                <w:szCs w:val="15"/>
                <w:color w:val="auto"/>
              </w:rPr>
            </w:pPr>
          </w:p>
        </w:tc>
        <w:tc>
          <w:tcPr>
            <w:tcW w:w="4480" w:type="dxa"/>
            <w:vAlign w:val="bottom"/>
            <w:tcBorders>
              <w:top w:val="single" w:sz="8" w:color="0000EE"/>
              <w:bottom w:val="single" w:sz="8" w:color="0000EE"/>
            </w:tcBorders>
            <w:gridSpan w:val="7"/>
          </w:tcPr>
          <w:p>
            <w:pPr>
              <w:spacing w:after="0" w:line="183" w:lineRule="exact"/>
              <w:rPr>
                <w:rFonts w:ascii="Arial" w:cs="Arial" w:eastAsia="Arial" w:hAnsi="Arial"/>
                <w:sz w:val="17"/>
                <w:szCs w:val="17"/>
                <w:color w:val="0000EE"/>
                <w:w w:val="88"/>
              </w:rPr>
            </w:pPr>
            <w:hyperlink w:anchor="page179">
              <w:r>
                <w:rPr>
                  <w:rFonts w:ascii="Arial" w:cs="Arial" w:eastAsia="Arial" w:hAnsi="Arial"/>
                  <w:sz w:val="17"/>
                  <w:szCs w:val="17"/>
                  <w:color w:val="0000EE"/>
                  <w:w w:val="88"/>
                </w:rPr>
                <w:t>pursuant to Rules 13a-15(e) and 15d-15(e), as adopted pursuant to</w:t>
              </w:r>
            </w:hyperlink>
          </w:p>
        </w:tc>
        <w:tc>
          <w:tcPr>
            <w:tcW w:w="160" w:type="dxa"/>
            <w:vAlign w:val="bottom"/>
            <w:tcBorders>
              <w:top w:val="single" w:sz="8" w:color="0000EE"/>
            </w:tcBorders>
            <w:gridSpan w:val="2"/>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2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2"/>
        </w:trPr>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780" w:type="dxa"/>
            <w:vAlign w:val="bottom"/>
            <w:gridSpan w:val="10"/>
          </w:tcPr>
          <w:p>
            <w:pPr>
              <w:spacing w:after="0" w:line="183" w:lineRule="exact"/>
              <w:rPr>
                <w:rFonts w:ascii="Arial" w:cs="Arial" w:eastAsia="Arial" w:hAnsi="Arial"/>
                <w:sz w:val="17"/>
                <w:szCs w:val="17"/>
                <w:color w:val="0000EE"/>
              </w:rPr>
            </w:pPr>
            <w:hyperlink w:anchor="page179">
              <w:r>
                <w:rPr>
                  <w:rFonts w:ascii="Arial" w:cs="Arial" w:eastAsia="Arial" w:hAnsi="Arial"/>
                  <w:sz w:val="17"/>
                  <w:szCs w:val="17"/>
                  <w:color w:val="0000EE"/>
                </w:rPr>
                <w:t>Section 302 of the Sarbanes-Oxley Act of 2002</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
        </w:trPr>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0" w:type="dxa"/>
            <w:vAlign w:val="bottom"/>
            <w:gridSpan w:val="5"/>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85"/>
        </w:trPr>
        <w:tc>
          <w:tcPr>
            <w:tcW w:w="480" w:type="dxa"/>
            <w:vAlign w:val="bottom"/>
          </w:tcPr>
          <w:p>
            <w:pPr>
              <w:spacing w:after="0"/>
              <w:rPr>
                <w:sz w:val="24"/>
                <w:szCs w:val="24"/>
                <w:color w:val="auto"/>
              </w:rPr>
            </w:pPr>
          </w:p>
        </w:tc>
        <w:tc>
          <w:tcPr>
            <w:tcW w:w="300" w:type="dxa"/>
            <w:vAlign w:val="bottom"/>
            <w:tcBorders>
              <w:bottom w:val="single" w:sz="8" w:color="0000EE"/>
            </w:tcBorders>
          </w:tcPr>
          <w:p>
            <w:pPr>
              <w:jc w:val="right"/>
              <w:spacing w:after="0"/>
              <w:rPr>
                <w:rFonts w:ascii="Arial" w:cs="Arial" w:eastAsia="Arial" w:hAnsi="Arial"/>
                <w:sz w:val="17"/>
                <w:szCs w:val="17"/>
                <w:color w:val="0000EE"/>
                <w:w w:val="84"/>
              </w:rPr>
            </w:pPr>
            <w:hyperlink w:anchor="page180">
              <w:r>
                <w:rPr>
                  <w:rFonts w:ascii="Arial" w:cs="Arial" w:eastAsia="Arial" w:hAnsi="Arial"/>
                  <w:sz w:val="17"/>
                  <w:szCs w:val="17"/>
                  <w:color w:val="0000EE"/>
                  <w:w w:val="84"/>
                </w:rPr>
                <w:t>32.</w:t>
              </w:r>
              <w:r>
                <w:rPr>
                  <w:rFonts w:ascii="Arial" w:cs="Arial" w:eastAsia="Arial" w:hAnsi="Arial"/>
                  <w:sz w:val="17"/>
                  <w:szCs w:val="17"/>
                  <w:u w:val="single" w:color="auto"/>
                  <w:color w:val="0000EE"/>
                  <w:w w:val="84"/>
                </w:rPr>
                <w:t>1</w:t>
              </w:r>
            </w:hyperlink>
          </w:p>
        </w:tc>
        <w:tc>
          <w:tcPr>
            <w:tcW w:w="480" w:type="dxa"/>
            <w:vAlign w:val="bottom"/>
          </w:tcPr>
          <w:p>
            <w:pPr>
              <w:spacing w:after="0"/>
              <w:rPr>
                <w:sz w:val="24"/>
                <w:szCs w:val="24"/>
                <w:color w:val="auto"/>
              </w:rPr>
            </w:pPr>
          </w:p>
        </w:tc>
        <w:tc>
          <w:tcPr>
            <w:tcW w:w="4600" w:type="dxa"/>
            <w:vAlign w:val="bottom"/>
            <w:tcBorders>
              <w:bottom w:val="single" w:sz="8" w:color="0000EE"/>
            </w:tcBorders>
            <w:gridSpan w:val="8"/>
          </w:tcPr>
          <w:p>
            <w:pPr>
              <w:spacing w:after="0"/>
              <w:rPr>
                <w:rFonts w:ascii="Arial" w:cs="Arial" w:eastAsia="Arial" w:hAnsi="Arial"/>
                <w:sz w:val="17"/>
                <w:szCs w:val="17"/>
                <w:color w:val="0000EE"/>
                <w:w w:val="92"/>
              </w:rPr>
            </w:pPr>
            <w:hyperlink w:anchor="page180">
              <w:r>
                <w:rPr>
                  <w:rFonts w:ascii="Arial" w:cs="Arial" w:eastAsia="Arial" w:hAnsi="Arial"/>
                  <w:sz w:val="17"/>
                  <w:szCs w:val="17"/>
                  <w:color w:val="0000EE"/>
                  <w:w w:val="92"/>
                </w:rPr>
                <w:t>Certification of Chief Financial Officer of Harvard Bioscience, Inc.,</w:t>
              </w:r>
            </w:hyperlink>
          </w:p>
        </w:tc>
        <w:tc>
          <w:tcPr>
            <w:tcW w:w="1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0000EE"/>
            </w:tcBorders>
            <w:gridSpan w:val="2"/>
          </w:tcPr>
          <w:p>
            <w:pPr>
              <w:spacing w:after="0"/>
              <w:rPr>
                <w:rFonts w:ascii="Arial" w:cs="Arial" w:eastAsia="Arial" w:hAnsi="Arial"/>
                <w:sz w:val="17"/>
                <w:szCs w:val="17"/>
                <w:color w:val="0000EE"/>
              </w:rPr>
            </w:pPr>
            <w:hyperlink w:anchor="page180">
              <w:r>
                <w:rPr>
                  <w:rFonts w:ascii="Arial" w:cs="Arial" w:eastAsia="Arial" w:hAnsi="Arial"/>
                  <w:sz w:val="17"/>
                  <w:szCs w:val="17"/>
                  <w:color w:val="0000EE"/>
                </w:rPr>
                <w:t>*</w:t>
              </w:r>
            </w:hyperlink>
          </w:p>
        </w:tc>
        <w:tc>
          <w:tcPr>
            <w:tcW w:w="1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2"/>
        </w:trPr>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0" w:type="dxa"/>
            <w:vAlign w:val="bottom"/>
            <w:tcBorders>
              <w:bottom w:val="single" w:sz="8" w:color="0000EE"/>
            </w:tcBorders>
            <w:gridSpan w:val="6"/>
          </w:tcPr>
          <w:p>
            <w:pPr>
              <w:spacing w:after="0" w:line="183" w:lineRule="exact"/>
              <w:rPr>
                <w:rFonts w:ascii="Arial" w:cs="Arial" w:eastAsia="Arial" w:hAnsi="Arial"/>
                <w:sz w:val="17"/>
                <w:szCs w:val="17"/>
                <w:color w:val="0000EE"/>
                <w:w w:val="88"/>
              </w:rPr>
            </w:pPr>
            <w:hyperlink w:anchor="page180">
              <w:r>
                <w:rPr>
                  <w:rFonts w:ascii="Arial" w:cs="Arial" w:eastAsia="Arial" w:hAnsi="Arial"/>
                  <w:sz w:val="17"/>
                  <w:szCs w:val="17"/>
                  <w:color w:val="0000EE"/>
                  <w:w w:val="88"/>
                </w:rPr>
                <w:t>pursuant to 18 U.S.C. Section 1350, as adopted pursuant to</w:t>
              </w:r>
            </w:hyperlink>
          </w:p>
        </w:tc>
        <w:tc>
          <w:tcPr>
            <w:tcW w:w="7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2"/>
        </w:trPr>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780" w:type="dxa"/>
            <w:vAlign w:val="bottom"/>
            <w:gridSpan w:val="10"/>
          </w:tcPr>
          <w:p>
            <w:pPr>
              <w:spacing w:after="0" w:line="183" w:lineRule="exact"/>
              <w:rPr>
                <w:rFonts w:ascii="Arial" w:cs="Arial" w:eastAsia="Arial" w:hAnsi="Arial"/>
                <w:sz w:val="17"/>
                <w:szCs w:val="17"/>
                <w:color w:val="0000EE"/>
              </w:rPr>
            </w:pPr>
            <w:hyperlink w:anchor="page180">
              <w:r>
                <w:rPr>
                  <w:rFonts w:ascii="Arial" w:cs="Arial" w:eastAsia="Arial" w:hAnsi="Arial"/>
                  <w:sz w:val="17"/>
                  <w:szCs w:val="17"/>
                  <w:color w:val="0000EE"/>
                </w:rPr>
                <w:t>Section 906 of the Sarbanes-Oxley Act of 2002</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
        </w:trPr>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0" w:type="dxa"/>
            <w:vAlign w:val="bottom"/>
            <w:gridSpan w:val="5"/>
            <w:shd w:val="clear" w:color="auto" w:fill="0000EE"/>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85"/>
        </w:trPr>
        <w:tc>
          <w:tcPr>
            <w:tcW w:w="480" w:type="dxa"/>
            <w:vAlign w:val="bottom"/>
          </w:tcPr>
          <w:p>
            <w:pPr>
              <w:spacing w:after="0"/>
              <w:rPr>
                <w:sz w:val="24"/>
                <w:szCs w:val="24"/>
                <w:color w:val="auto"/>
              </w:rPr>
            </w:pPr>
          </w:p>
        </w:tc>
        <w:tc>
          <w:tcPr>
            <w:tcW w:w="300" w:type="dxa"/>
            <w:vAlign w:val="bottom"/>
          </w:tcPr>
          <w:p>
            <w:pPr>
              <w:jc w:val="right"/>
              <w:spacing w:after="0"/>
              <w:rPr>
                <w:rFonts w:ascii="Arial" w:cs="Arial" w:eastAsia="Arial" w:hAnsi="Arial"/>
                <w:sz w:val="17"/>
                <w:szCs w:val="17"/>
                <w:color w:val="0000EE"/>
                <w:w w:val="84"/>
              </w:rPr>
            </w:pPr>
            <w:hyperlink w:anchor="page181">
              <w:r>
                <w:rPr>
                  <w:rFonts w:ascii="Arial" w:cs="Arial" w:eastAsia="Arial" w:hAnsi="Arial"/>
                  <w:sz w:val="17"/>
                  <w:szCs w:val="17"/>
                  <w:color w:val="0000EE"/>
                  <w:w w:val="84"/>
                </w:rPr>
                <w:t>32.</w:t>
              </w:r>
              <w:r>
                <w:rPr>
                  <w:rFonts w:ascii="Arial" w:cs="Arial" w:eastAsia="Arial" w:hAnsi="Arial"/>
                  <w:sz w:val="17"/>
                  <w:szCs w:val="17"/>
                  <w:u w:val="single" w:color="auto"/>
                  <w:color w:val="0000EE"/>
                  <w:w w:val="84"/>
                </w:rPr>
                <w:t>2</w:t>
              </w:r>
            </w:hyperlink>
          </w:p>
        </w:tc>
        <w:tc>
          <w:tcPr>
            <w:tcW w:w="480" w:type="dxa"/>
            <w:vAlign w:val="bottom"/>
          </w:tcPr>
          <w:p>
            <w:pPr>
              <w:spacing w:after="0"/>
              <w:rPr>
                <w:sz w:val="24"/>
                <w:szCs w:val="24"/>
                <w:color w:val="auto"/>
              </w:rPr>
            </w:pPr>
          </w:p>
        </w:tc>
        <w:tc>
          <w:tcPr>
            <w:tcW w:w="4780" w:type="dxa"/>
            <w:vAlign w:val="bottom"/>
            <w:gridSpan w:val="10"/>
          </w:tcPr>
          <w:p>
            <w:pPr>
              <w:spacing w:after="0"/>
              <w:rPr>
                <w:rFonts w:ascii="Arial" w:cs="Arial" w:eastAsia="Arial" w:hAnsi="Arial"/>
                <w:sz w:val="17"/>
                <w:szCs w:val="17"/>
                <w:color w:val="0000EE"/>
                <w:w w:val="95"/>
              </w:rPr>
            </w:pPr>
            <w:hyperlink w:anchor="page181">
              <w:r>
                <w:rPr>
                  <w:rFonts w:ascii="Arial" w:cs="Arial" w:eastAsia="Arial" w:hAnsi="Arial"/>
                  <w:sz w:val="17"/>
                  <w:szCs w:val="17"/>
                  <w:color w:val="0000EE"/>
                  <w:w w:val="95"/>
                </w:rPr>
                <w:t>Certification of Chief Executive Officer of Harvard Bioscience, Inc.,</w:t>
              </w:r>
            </w:hyperlink>
          </w:p>
        </w:tc>
        <w:tc>
          <w:tcPr>
            <w:tcW w:w="140" w:type="dxa"/>
            <w:vAlign w:val="bottom"/>
            <w:gridSpan w:val="3"/>
          </w:tcPr>
          <w:p>
            <w:pPr>
              <w:ind w:left="20"/>
              <w:spacing w:after="0"/>
              <w:rPr>
                <w:rFonts w:ascii="Arial" w:cs="Arial" w:eastAsia="Arial" w:hAnsi="Arial"/>
                <w:sz w:val="17"/>
                <w:szCs w:val="17"/>
                <w:color w:val="0000EE"/>
              </w:rPr>
            </w:pPr>
            <w:hyperlink w:anchor="page181">
              <w:r>
                <w:rPr>
                  <w:rFonts w:ascii="Arial" w:cs="Arial" w:eastAsia="Arial" w:hAnsi="Arial"/>
                  <w:sz w:val="17"/>
                  <w:szCs w:val="17"/>
                  <w:color w:val="0000EE"/>
                </w:rPr>
                <w:t>*</w:t>
              </w:r>
            </w:hyperlink>
          </w:p>
        </w:tc>
        <w:tc>
          <w:tcPr>
            <w:tcW w:w="1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2"/>
        </w:trPr>
        <w:tc>
          <w:tcPr>
            <w:tcW w:w="480" w:type="dxa"/>
            <w:vAlign w:val="bottom"/>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80" w:type="dxa"/>
            <w:vAlign w:val="bottom"/>
          </w:tcPr>
          <w:p>
            <w:pPr>
              <w:spacing w:after="0"/>
              <w:rPr>
                <w:sz w:val="15"/>
                <w:szCs w:val="15"/>
                <w:color w:val="auto"/>
              </w:rPr>
            </w:pPr>
          </w:p>
        </w:tc>
        <w:tc>
          <w:tcPr>
            <w:tcW w:w="4000" w:type="dxa"/>
            <w:vAlign w:val="bottom"/>
            <w:tcBorders>
              <w:top w:val="single" w:sz="8" w:color="0000EE"/>
              <w:bottom w:val="single" w:sz="8" w:color="0000EE"/>
            </w:tcBorders>
            <w:gridSpan w:val="6"/>
          </w:tcPr>
          <w:p>
            <w:pPr>
              <w:spacing w:after="0" w:line="183" w:lineRule="exact"/>
              <w:rPr>
                <w:rFonts w:ascii="Arial" w:cs="Arial" w:eastAsia="Arial" w:hAnsi="Arial"/>
                <w:sz w:val="17"/>
                <w:szCs w:val="17"/>
                <w:color w:val="0000EE"/>
                <w:w w:val="88"/>
              </w:rPr>
            </w:pPr>
            <w:hyperlink w:anchor="page181">
              <w:r>
                <w:rPr>
                  <w:rFonts w:ascii="Arial" w:cs="Arial" w:eastAsia="Arial" w:hAnsi="Arial"/>
                  <w:sz w:val="17"/>
                  <w:szCs w:val="17"/>
                  <w:color w:val="0000EE"/>
                  <w:w w:val="88"/>
                </w:rPr>
                <w:t>pursuant to 18 U.S.C. Section 1350, as adopted pursuant to</w:t>
              </w:r>
            </w:hyperlink>
          </w:p>
        </w:tc>
        <w:tc>
          <w:tcPr>
            <w:tcW w:w="640" w:type="dxa"/>
            <w:vAlign w:val="bottom"/>
            <w:tcBorders>
              <w:top w:val="single" w:sz="8" w:color="0000EE"/>
            </w:tcBorders>
            <w:gridSpan w:val="3"/>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2"/>
        </w:trPr>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780" w:type="dxa"/>
            <w:vAlign w:val="bottom"/>
            <w:gridSpan w:val="10"/>
          </w:tcPr>
          <w:p>
            <w:pPr>
              <w:spacing w:after="0" w:line="183" w:lineRule="exact"/>
              <w:rPr>
                <w:rFonts w:ascii="Arial" w:cs="Arial" w:eastAsia="Arial" w:hAnsi="Arial"/>
                <w:sz w:val="17"/>
                <w:szCs w:val="17"/>
                <w:color w:val="0000EE"/>
              </w:rPr>
            </w:pPr>
            <w:hyperlink w:anchor="page181">
              <w:r>
                <w:rPr>
                  <w:rFonts w:ascii="Arial" w:cs="Arial" w:eastAsia="Arial" w:hAnsi="Arial"/>
                  <w:sz w:val="17"/>
                  <w:szCs w:val="17"/>
                  <w:color w:val="0000EE"/>
                </w:rPr>
                <w:t>Section 906 of the Sarbanes-Oxley Act of 2002</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448"/>
        </w:trPr>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63"/>
        </w:trPr>
        <w:tc>
          <w:tcPr>
            <w:tcW w:w="48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25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228" w:right="239" w:bottom="1440" w:gutter="0" w:footer="0" w:header="0"/>
          <w:type w:val="continuous"/>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EE"/>
            </w:tcBorders>
          </w:tcPr>
          <w:p>
            <w:pPr>
              <w:spacing w:after="0"/>
              <w:rPr>
                <w:rFonts w:ascii="Arial" w:cs="Arial" w:eastAsia="Arial" w:hAnsi="Arial"/>
                <w:sz w:val="17"/>
                <w:szCs w:val="17"/>
                <w:color w:val="0000EE"/>
                <w:w w:val="87"/>
              </w:rPr>
            </w:pPr>
            <w:hyperlink w:anchor="page2">
              <w:r>
                <w:rPr>
                  <w:rFonts w:ascii="Arial" w:cs="Arial" w:eastAsia="Arial" w:hAnsi="Arial"/>
                  <w:sz w:val="17"/>
                  <w:szCs w:val="17"/>
                  <w:color w:val="0000EE"/>
                  <w:w w:val="87"/>
                </w:rPr>
                <w:t>Table of Contents</w:t>
              </w:r>
            </w:hyperlink>
          </w:p>
        </w:tc>
        <w:tc>
          <w:tcPr>
            <w:tcW w:w="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448"/>
        </w:trPr>
        <w:tc>
          <w:tcPr>
            <w:tcW w:w="1240" w:type="dxa"/>
            <w:vAlign w:val="bottom"/>
            <w:gridSpan w:val="2"/>
          </w:tcPr>
          <w:p>
            <w:pPr>
              <w:jc w:val="center"/>
              <w:spacing w:after="0"/>
              <w:rPr>
                <w:sz w:val="20"/>
                <w:szCs w:val="20"/>
                <w:color w:val="auto"/>
              </w:rPr>
            </w:pPr>
            <w:r>
              <w:rPr>
                <w:rFonts w:ascii="Arial" w:cs="Arial" w:eastAsia="Arial" w:hAnsi="Arial"/>
                <w:sz w:val="17"/>
                <w:szCs w:val="17"/>
                <w:color w:val="auto"/>
                <w:w w:val="91"/>
              </w:rPr>
              <w:t>101.INS</w:t>
            </w:r>
          </w:p>
        </w:tc>
        <w:tc>
          <w:tcPr>
            <w:tcW w:w="4520" w:type="dxa"/>
            <w:vAlign w:val="bottom"/>
          </w:tcPr>
          <w:p>
            <w:pPr>
              <w:ind w:left="20"/>
              <w:spacing w:after="0"/>
              <w:rPr>
                <w:sz w:val="20"/>
                <w:szCs w:val="20"/>
                <w:color w:val="auto"/>
              </w:rPr>
            </w:pPr>
            <w:r>
              <w:rPr>
                <w:rFonts w:ascii="Arial" w:cs="Arial" w:eastAsia="Arial" w:hAnsi="Arial"/>
                <w:sz w:val="17"/>
                <w:szCs w:val="17"/>
                <w:color w:val="auto"/>
              </w:rPr>
              <w:t>XBRL Instance Document</w:t>
            </w:r>
          </w:p>
        </w:tc>
        <w:tc>
          <w:tcPr>
            <w:tcW w:w="1720" w:type="dxa"/>
            <w:vAlign w:val="bottom"/>
          </w:tcPr>
          <w:p>
            <w:pPr>
              <w:ind w:left="300"/>
              <w:spacing w:after="0"/>
              <w:rPr>
                <w:sz w:val="20"/>
                <w:szCs w:val="20"/>
                <w:color w:val="auto"/>
              </w:rPr>
            </w:pPr>
            <w:r>
              <w:rPr>
                <w:rFonts w:ascii="Arial" w:cs="Arial" w:eastAsia="Arial" w:hAnsi="Arial"/>
                <w:sz w:val="17"/>
                <w:szCs w:val="17"/>
                <w:color w:val="auto"/>
                <w:w w:val="92"/>
              </w:rPr>
              <w:t>Filed with this report</w:t>
            </w:r>
          </w:p>
        </w:tc>
      </w:tr>
      <w:tr>
        <w:trPr>
          <w:trHeight w:val="405"/>
        </w:trPr>
        <w:tc>
          <w:tcPr>
            <w:tcW w:w="1240" w:type="dxa"/>
            <w:vAlign w:val="bottom"/>
            <w:gridSpan w:val="2"/>
          </w:tcPr>
          <w:p>
            <w:pPr>
              <w:jc w:val="center"/>
              <w:spacing w:after="0"/>
              <w:rPr>
                <w:sz w:val="20"/>
                <w:szCs w:val="20"/>
                <w:color w:val="auto"/>
              </w:rPr>
            </w:pPr>
            <w:r>
              <w:rPr>
                <w:rFonts w:ascii="Arial" w:cs="Arial" w:eastAsia="Arial" w:hAnsi="Arial"/>
                <w:sz w:val="17"/>
                <w:szCs w:val="17"/>
                <w:color w:val="auto"/>
                <w:w w:val="89"/>
              </w:rPr>
              <w:t>101.SCH</w:t>
            </w:r>
          </w:p>
        </w:tc>
        <w:tc>
          <w:tcPr>
            <w:tcW w:w="4520" w:type="dxa"/>
            <w:vAlign w:val="bottom"/>
          </w:tcPr>
          <w:p>
            <w:pPr>
              <w:ind w:left="20"/>
              <w:spacing w:after="0"/>
              <w:rPr>
                <w:sz w:val="20"/>
                <w:szCs w:val="20"/>
                <w:color w:val="auto"/>
              </w:rPr>
            </w:pPr>
            <w:r>
              <w:rPr>
                <w:rFonts w:ascii="Arial" w:cs="Arial" w:eastAsia="Arial" w:hAnsi="Arial"/>
                <w:sz w:val="17"/>
                <w:szCs w:val="17"/>
                <w:color w:val="auto"/>
              </w:rPr>
              <w:t>XBRL Taxonomy Extension Schema Document</w:t>
            </w:r>
          </w:p>
        </w:tc>
        <w:tc>
          <w:tcPr>
            <w:tcW w:w="1720" w:type="dxa"/>
            <w:vAlign w:val="bottom"/>
          </w:tcPr>
          <w:p>
            <w:pPr>
              <w:ind w:left="300"/>
              <w:spacing w:after="0"/>
              <w:rPr>
                <w:sz w:val="20"/>
                <w:szCs w:val="20"/>
                <w:color w:val="auto"/>
              </w:rPr>
            </w:pPr>
            <w:r>
              <w:rPr>
                <w:rFonts w:ascii="Arial" w:cs="Arial" w:eastAsia="Arial" w:hAnsi="Arial"/>
                <w:sz w:val="17"/>
                <w:szCs w:val="17"/>
                <w:color w:val="auto"/>
                <w:w w:val="92"/>
              </w:rPr>
              <w:t>Filed with this report</w:t>
            </w:r>
          </w:p>
        </w:tc>
      </w:tr>
      <w:tr>
        <w:trPr>
          <w:trHeight w:val="405"/>
        </w:trPr>
        <w:tc>
          <w:tcPr>
            <w:tcW w:w="1240" w:type="dxa"/>
            <w:vAlign w:val="bottom"/>
            <w:gridSpan w:val="2"/>
          </w:tcPr>
          <w:p>
            <w:pPr>
              <w:jc w:val="center"/>
              <w:spacing w:after="0"/>
              <w:rPr>
                <w:sz w:val="20"/>
                <w:szCs w:val="20"/>
                <w:color w:val="auto"/>
              </w:rPr>
            </w:pPr>
            <w:r>
              <w:rPr>
                <w:rFonts w:ascii="Arial" w:cs="Arial" w:eastAsia="Arial" w:hAnsi="Arial"/>
                <w:sz w:val="17"/>
                <w:szCs w:val="17"/>
                <w:color w:val="auto"/>
                <w:w w:val="96"/>
              </w:rPr>
              <w:t>101.CAL</w:t>
            </w:r>
          </w:p>
        </w:tc>
        <w:tc>
          <w:tcPr>
            <w:tcW w:w="4520" w:type="dxa"/>
            <w:vAlign w:val="bottom"/>
          </w:tcPr>
          <w:p>
            <w:pPr>
              <w:ind w:left="20"/>
              <w:spacing w:after="0"/>
              <w:rPr>
                <w:sz w:val="20"/>
                <w:szCs w:val="20"/>
                <w:color w:val="auto"/>
              </w:rPr>
            </w:pPr>
            <w:r>
              <w:rPr>
                <w:rFonts w:ascii="Arial" w:cs="Arial" w:eastAsia="Arial" w:hAnsi="Arial"/>
                <w:sz w:val="17"/>
                <w:szCs w:val="17"/>
                <w:color w:val="auto"/>
                <w:w w:val="99"/>
              </w:rPr>
              <w:t>XBRL Taxonomy Extension Calculation Linkbase Document</w:t>
            </w:r>
          </w:p>
        </w:tc>
        <w:tc>
          <w:tcPr>
            <w:tcW w:w="1720" w:type="dxa"/>
            <w:vAlign w:val="bottom"/>
          </w:tcPr>
          <w:p>
            <w:pPr>
              <w:ind w:left="300"/>
              <w:spacing w:after="0"/>
              <w:rPr>
                <w:sz w:val="20"/>
                <w:szCs w:val="20"/>
                <w:color w:val="auto"/>
              </w:rPr>
            </w:pPr>
            <w:r>
              <w:rPr>
                <w:rFonts w:ascii="Arial" w:cs="Arial" w:eastAsia="Arial" w:hAnsi="Arial"/>
                <w:sz w:val="17"/>
                <w:szCs w:val="17"/>
                <w:color w:val="auto"/>
                <w:w w:val="92"/>
              </w:rPr>
              <w:t>Filed with this report</w:t>
            </w:r>
          </w:p>
        </w:tc>
      </w:tr>
      <w:tr>
        <w:trPr>
          <w:trHeight w:val="405"/>
        </w:trPr>
        <w:tc>
          <w:tcPr>
            <w:tcW w:w="1240" w:type="dxa"/>
            <w:vAlign w:val="bottom"/>
            <w:gridSpan w:val="2"/>
          </w:tcPr>
          <w:p>
            <w:pPr>
              <w:jc w:val="center"/>
              <w:spacing w:after="0"/>
              <w:rPr>
                <w:sz w:val="20"/>
                <w:szCs w:val="20"/>
                <w:color w:val="auto"/>
              </w:rPr>
            </w:pPr>
            <w:r>
              <w:rPr>
                <w:rFonts w:ascii="Arial" w:cs="Arial" w:eastAsia="Arial" w:hAnsi="Arial"/>
                <w:sz w:val="17"/>
                <w:szCs w:val="17"/>
                <w:color w:val="auto"/>
                <w:w w:val="92"/>
              </w:rPr>
              <w:t>101.DEF</w:t>
            </w:r>
          </w:p>
        </w:tc>
        <w:tc>
          <w:tcPr>
            <w:tcW w:w="4520" w:type="dxa"/>
            <w:vAlign w:val="bottom"/>
          </w:tcPr>
          <w:p>
            <w:pPr>
              <w:ind w:left="20"/>
              <w:spacing w:after="0"/>
              <w:rPr>
                <w:sz w:val="20"/>
                <w:szCs w:val="20"/>
                <w:color w:val="auto"/>
              </w:rPr>
            </w:pPr>
            <w:r>
              <w:rPr>
                <w:rFonts w:ascii="Arial" w:cs="Arial" w:eastAsia="Arial" w:hAnsi="Arial"/>
                <w:sz w:val="17"/>
                <w:szCs w:val="17"/>
                <w:color w:val="auto"/>
              </w:rPr>
              <w:t>XBRL Taxonomy Extension Definition Linkbase Document</w:t>
            </w:r>
          </w:p>
        </w:tc>
        <w:tc>
          <w:tcPr>
            <w:tcW w:w="1720" w:type="dxa"/>
            <w:vAlign w:val="bottom"/>
          </w:tcPr>
          <w:p>
            <w:pPr>
              <w:ind w:left="300"/>
              <w:spacing w:after="0"/>
              <w:rPr>
                <w:sz w:val="20"/>
                <w:szCs w:val="20"/>
                <w:color w:val="auto"/>
              </w:rPr>
            </w:pPr>
            <w:r>
              <w:rPr>
                <w:rFonts w:ascii="Arial" w:cs="Arial" w:eastAsia="Arial" w:hAnsi="Arial"/>
                <w:sz w:val="17"/>
                <w:szCs w:val="17"/>
                <w:color w:val="auto"/>
                <w:w w:val="92"/>
              </w:rPr>
              <w:t>Filed with this report</w:t>
            </w:r>
          </w:p>
        </w:tc>
      </w:tr>
      <w:tr>
        <w:trPr>
          <w:trHeight w:val="405"/>
        </w:trPr>
        <w:tc>
          <w:tcPr>
            <w:tcW w:w="1240" w:type="dxa"/>
            <w:vAlign w:val="bottom"/>
            <w:gridSpan w:val="2"/>
          </w:tcPr>
          <w:p>
            <w:pPr>
              <w:jc w:val="center"/>
              <w:spacing w:after="0"/>
              <w:rPr>
                <w:sz w:val="20"/>
                <w:szCs w:val="20"/>
                <w:color w:val="auto"/>
              </w:rPr>
            </w:pPr>
            <w:r>
              <w:rPr>
                <w:rFonts w:ascii="Arial" w:cs="Arial" w:eastAsia="Arial" w:hAnsi="Arial"/>
                <w:sz w:val="17"/>
                <w:szCs w:val="17"/>
                <w:color w:val="auto"/>
                <w:w w:val="98"/>
              </w:rPr>
              <w:t>101.LAB</w:t>
            </w:r>
          </w:p>
        </w:tc>
        <w:tc>
          <w:tcPr>
            <w:tcW w:w="4520" w:type="dxa"/>
            <w:vAlign w:val="bottom"/>
          </w:tcPr>
          <w:p>
            <w:pPr>
              <w:ind w:left="20"/>
              <w:spacing w:after="0"/>
              <w:rPr>
                <w:sz w:val="20"/>
                <w:szCs w:val="20"/>
                <w:color w:val="auto"/>
              </w:rPr>
            </w:pPr>
            <w:r>
              <w:rPr>
                <w:rFonts w:ascii="Arial" w:cs="Arial" w:eastAsia="Arial" w:hAnsi="Arial"/>
                <w:sz w:val="17"/>
                <w:szCs w:val="17"/>
                <w:color w:val="auto"/>
              </w:rPr>
              <w:t>XBRL Taxonomy Extension Label Linkbase Document</w:t>
            </w:r>
          </w:p>
        </w:tc>
        <w:tc>
          <w:tcPr>
            <w:tcW w:w="1720" w:type="dxa"/>
            <w:vAlign w:val="bottom"/>
          </w:tcPr>
          <w:p>
            <w:pPr>
              <w:ind w:left="300"/>
              <w:spacing w:after="0"/>
              <w:rPr>
                <w:sz w:val="20"/>
                <w:szCs w:val="20"/>
                <w:color w:val="auto"/>
              </w:rPr>
            </w:pPr>
            <w:r>
              <w:rPr>
                <w:rFonts w:ascii="Arial" w:cs="Arial" w:eastAsia="Arial" w:hAnsi="Arial"/>
                <w:sz w:val="17"/>
                <w:szCs w:val="17"/>
                <w:color w:val="auto"/>
                <w:w w:val="92"/>
              </w:rPr>
              <w:t>Filed with this report</w:t>
            </w:r>
          </w:p>
        </w:tc>
      </w:tr>
      <w:tr>
        <w:trPr>
          <w:trHeight w:val="405"/>
        </w:trPr>
        <w:tc>
          <w:tcPr>
            <w:tcW w:w="1240" w:type="dxa"/>
            <w:vAlign w:val="bottom"/>
            <w:gridSpan w:val="2"/>
          </w:tcPr>
          <w:p>
            <w:pPr>
              <w:jc w:val="center"/>
              <w:spacing w:after="0"/>
              <w:rPr>
                <w:sz w:val="20"/>
                <w:szCs w:val="20"/>
                <w:color w:val="auto"/>
              </w:rPr>
            </w:pPr>
            <w:r>
              <w:rPr>
                <w:rFonts w:ascii="Arial" w:cs="Arial" w:eastAsia="Arial" w:hAnsi="Arial"/>
                <w:sz w:val="17"/>
                <w:szCs w:val="17"/>
                <w:color w:val="auto"/>
                <w:w w:val="88"/>
              </w:rPr>
              <w:t>101.PRE</w:t>
            </w:r>
          </w:p>
        </w:tc>
        <w:tc>
          <w:tcPr>
            <w:tcW w:w="4520" w:type="dxa"/>
            <w:vAlign w:val="bottom"/>
          </w:tcPr>
          <w:p>
            <w:pPr>
              <w:ind w:left="20"/>
              <w:spacing w:after="0"/>
              <w:rPr>
                <w:sz w:val="20"/>
                <w:szCs w:val="20"/>
                <w:color w:val="auto"/>
              </w:rPr>
            </w:pPr>
            <w:r>
              <w:rPr>
                <w:rFonts w:ascii="Arial" w:cs="Arial" w:eastAsia="Arial" w:hAnsi="Arial"/>
                <w:sz w:val="17"/>
                <w:szCs w:val="17"/>
                <w:color w:val="auto"/>
                <w:w w:val="96"/>
              </w:rPr>
              <w:t>XBRL Taxonomy Extension Presentation Linkbase Document</w:t>
            </w:r>
          </w:p>
        </w:tc>
        <w:tc>
          <w:tcPr>
            <w:tcW w:w="1720" w:type="dxa"/>
            <w:vAlign w:val="bottom"/>
          </w:tcPr>
          <w:p>
            <w:pPr>
              <w:ind w:left="300"/>
              <w:spacing w:after="0"/>
              <w:rPr>
                <w:sz w:val="20"/>
                <w:szCs w:val="20"/>
                <w:color w:val="auto"/>
              </w:rPr>
            </w:pPr>
            <w:r>
              <w:rPr>
                <w:rFonts w:ascii="Arial" w:cs="Arial" w:eastAsia="Arial" w:hAnsi="Arial"/>
                <w:sz w:val="17"/>
                <w:szCs w:val="17"/>
                <w:color w:val="auto"/>
                <w:w w:val="92"/>
              </w:rPr>
              <w:t>Filed with this report</w:t>
            </w:r>
          </w:p>
        </w:tc>
      </w:tr>
    </w:tbl>
    <w:p>
      <w:pPr>
        <w:spacing w:after="0" w:line="200" w:lineRule="exact"/>
        <w:rPr>
          <w:sz w:val="20"/>
          <w:szCs w:val="20"/>
          <w:color w:val="auto"/>
        </w:rPr>
      </w:pPr>
    </w:p>
    <w:p>
      <w:pPr>
        <w:spacing w:after="0" w:line="396" w:lineRule="exact"/>
        <w:rPr>
          <w:sz w:val="20"/>
          <w:szCs w:val="20"/>
          <w:color w:val="auto"/>
        </w:rPr>
      </w:pPr>
    </w:p>
    <w:p>
      <w:pPr>
        <w:ind w:left="600" w:hanging="599"/>
        <w:spacing w:after="0"/>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Certain portions of this document have been granted confidential treatment by the Securities and Exchange Commission (the Commission).</w:t>
      </w:r>
    </w:p>
    <w:p>
      <w:pPr>
        <w:spacing w:after="0" w:line="19" w:lineRule="exact"/>
        <w:rPr>
          <w:sz w:val="20"/>
          <w:szCs w:val="20"/>
          <w:color w:val="auto"/>
        </w:rPr>
      </w:pPr>
    </w:p>
    <w:p>
      <w:pPr>
        <w:ind w:left="600" w:right="280" w:hanging="599"/>
        <w:spacing w:after="0" w:line="281" w:lineRule="auto"/>
        <w:tabs>
          <w:tab w:leader="none" w:pos="6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1" w:lineRule="exact"/>
        <w:rPr>
          <w:sz w:val="20"/>
          <w:szCs w:val="20"/>
          <w:color w:val="auto"/>
        </w:rPr>
      </w:pPr>
    </w:p>
    <w:p>
      <w:pPr>
        <w:ind w:left="600" w:hanging="599"/>
        <w:spacing w:after="0"/>
        <w:tabs>
          <w:tab w:leader="none" w:pos="6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7" w:lineRule="exact"/>
        <w:rPr>
          <w:sz w:val="20"/>
          <w:szCs w:val="20"/>
          <w:color w:val="auto"/>
        </w:rPr>
      </w:pPr>
    </w:p>
    <w:p>
      <w:pPr>
        <w:ind w:left="600" w:hanging="599"/>
        <w:spacing w:after="0" w:line="257" w:lineRule="auto"/>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schedules and exhibits to the Separation and Distribution Agreement have been omitted. A copy of any omitted schedule or exhibit will be furnished to the SEC supplementally upon request.</w:t>
      </w:r>
    </w:p>
    <w:p>
      <w:pPr>
        <w:spacing w:after="0" w:line="176"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The Company will furnish to stockholders a copy of any exhibit without charge upon written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687070</wp:posOffset>
            </wp:positionV>
            <wp:extent cx="7255510"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60"/>
          </w:cols>
          <w:pgMar w:left="240" w:top="210" w:right="29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Exhibit 10.15</w:t>
      </w:r>
    </w:p>
    <w:p>
      <w:pPr>
        <w:spacing w:after="0" w:line="209" w:lineRule="exact"/>
        <w:rPr>
          <w:sz w:val="20"/>
          <w:szCs w:val="20"/>
          <w:color w:val="auto"/>
        </w:rPr>
      </w:pPr>
    </w:p>
    <w:p>
      <w:pPr>
        <w:ind w:left="4320"/>
        <w:spacing w:after="0"/>
        <w:rPr>
          <w:sz w:val="20"/>
          <w:szCs w:val="20"/>
          <w:color w:val="auto"/>
        </w:rPr>
      </w:pPr>
      <w:r>
        <w:rPr>
          <w:rFonts w:ascii="Arial" w:cs="Arial" w:eastAsia="Arial" w:hAnsi="Arial"/>
          <w:sz w:val="17"/>
          <w:szCs w:val="17"/>
          <w:b w:val="1"/>
          <w:bCs w:val="1"/>
          <w:u w:val="single" w:color="auto"/>
          <w:color w:val="auto"/>
        </w:rPr>
        <w:t>Director Compensation Arrangements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Non-Employee Directors Upon Initial Election to the Board</w:t>
      </w:r>
    </w:p>
    <w:p>
      <w:pPr>
        <w:spacing w:after="0" w:line="213" w:lineRule="exact"/>
        <w:rPr>
          <w:sz w:val="20"/>
          <w:szCs w:val="20"/>
          <w:color w:val="auto"/>
        </w:rPr>
      </w:pPr>
    </w:p>
    <w:p>
      <w:pPr>
        <w:ind w:right="100" w:firstLine="607"/>
        <w:spacing w:after="0" w:line="256" w:lineRule="auto"/>
        <w:rPr>
          <w:sz w:val="20"/>
          <w:szCs w:val="20"/>
          <w:color w:val="auto"/>
        </w:rPr>
      </w:pPr>
      <w:r>
        <w:rPr>
          <w:rFonts w:ascii="Arial" w:cs="Arial" w:eastAsia="Arial" w:hAnsi="Arial"/>
          <w:sz w:val="17"/>
          <w:szCs w:val="17"/>
          <w:color w:val="auto"/>
        </w:rPr>
        <w:t>Each non-employee director will be entitled to receive a non-qualified stock option having an aggregate Black-Scholes cash value of $120,000, rounded to the nearest 100 shares, provided that in no case shall such stock option be less than 25,000 shares (so long as 25,000 shares are required to be granted under the equity incentive plan of the Corporation). Such option shall be for the purchase of common stock of the Corporation and shall vest annually over three years and be granted on the fifth business day following his or her initial election to the Board.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Compensation of Non-Employee Directors</w:t>
      </w:r>
    </w:p>
    <w:p>
      <w:pPr>
        <w:spacing w:after="0" w:line="213" w:lineRule="exact"/>
        <w:rPr>
          <w:sz w:val="20"/>
          <w:szCs w:val="20"/>
          <w:color w:val="auto"/>
        </w:rPr>
      </w:pPr>
    </w:p>
    <w:p>
      <w:pPr>
        <w:ind w:firstLine="607"/>
        <w:spacing w:after="0" w:line="285" w:lineRule="auto"/>
        <w:rPr>
          <w:sz w:val="20"/>
          <w:szCs w:val="20"/>
          <w:color w:val="auto"/>
        </w:rPr>
      </w:pPr>
      <w:r>
        <w:rPr>
          <w:rFonts w:ascii="Arial" w:cs="Arial" w:eastAsia="Arial" w:hAnsi="Arial"/>
          <w:sz w:val="15"/>
          <w:szCs w:val="15"/>
          <w:color w:val="auto"/>
        </w:rPr>
        <w:t>The annual retainers described herein shall each be satisfied by the issuance of deferred stock awards of restricted stock units (each a “Retainer Award”) in accordance herewith. Each non-employee director will be entitled to receive an annual retainer valued at $31,500. The Chairman will also be entitled to receive an additional annual retainer valued at $31,500. Each non-employee director member of the Audit Committee will be entitled to receive an additional annual retainer valued at $8,100. Each non-employee director member of the Compensation Committee will be entitled to receive an additional annual retainer valued at $5,400. Each non-employee member of the Governance Committee will be entitled to receive an additional annual retainer valued at $4,500. The Committee Chairman of the Audit Committee will be entitled to receive an additional annual retainer valued at $16,200. The Committee Chairman of the Compensation Committee will be entitled to receive an additional annual retainer valued at $10,800. The Committee Chairman of the Governance Committee will be entitled to receive an additional annual retainer valued at $4,500. The Retainer Awards for individuals that are non-employee directors of the Corporation as of the first trading day of January of the corresponding year, are granted on the first trading day of January (the “Grant Date”) and vest quarterly over the calendar year (on each March 31, June 30, September 30 and December 31, provided that in the event a director’s service (including as a Board member, or just role as Chairman, Committee Chairman, Committee member) ends during a particular quarter, the vesting date for such quarter in relation to the portion of the award attributable to such roles that are ending, shall be the last day of the director’s term in the respective role such that the full quarterly amount attributable to such roles shall vest on that earlier vesting date) and subject to continued service as a non-employee director on the applicable vesting dates) and subject to continued service as a non-employee director on the applicable vesting dates. The number of shares of common stock subject to a Retainer Award is equal to the amount of cash that would have been received had the retainers all been paid in cash, divided by the average daily closing market price of the common stock for the month of November, rounded to the nearest 100 shares.</w:t>
      </w:r>
    </w:p>
    <w:p>
      <w:pPr>
        <w:spacing w:after="0" w:line="167" w:lineRule="exact"/>
        <w:rPr>
          <w:sz w:val="20"/>
          <w:szCs w:val="20"/>
          <w:color w:val="auto"/>
        </w:rPr>
      </w:pPr>
    </w:p>
    <w:p>
      <w:pPr>
        <w:ind w:right="100" w:firstLine="607"/>
        <w:spacing w:after="0" w:line="287" w:lineRule="auto"/>
        <w:rPr>
          <w:sz w:val="20"/>
          <w:szCs w:val="20"/>
          <w:color w:val="auto"/>
        </w:rPr>
      </w:pPr>
      <w:r>
        <w:rPr>
          <w:rFonts w:ascii="Arial" w:cs="Arial" w:eastAsia="Arial" w:hAnsi="Arial"/>
          <w:sz w:val="15"/>
          <w:szCs w:val="15"/>
          <w:color w:val="auto"/>
        </w:rPr>
        <w:t>In the event that a non-employee director is named Chairman or joins any committees of the Board of Directors during a fiscal year after the Grant Date, such director shall be granted a Retainer Award (the “Additional Retainer Award”), in relation to such additional roles and respective retainer amounts pro-rated for the remainder of such year, on the first trading day of the month after the individual is appointed to such roles. The Additional Retainer Award shall vest in equal amounts spread over the remaining quarterly vesting dates of the Retainer Awards for such calendar year subject to continued service as a non-employee director on the applicable vesting dates, provided that in the event a director’s service (including as a Board member, or their role as Chairman, Committee Chairman, Committee member) ends during a particular quarter, the vesting date for such quarter in relation to the portion of the award attributable to such roles that are ending, shall be the last day of the director’s term in the respective role such that the full quarterly amount attributable to such roles shall vest on that earlier vesting date (i.e. if the Additional Retainer Award is granted on September 1, one half would vest on September 30 and the remaining half would vest on December 31). The number of shares of common stock subject to an Additional Retainer Award is equal to the amount of cash that would have been received had the retainers all been paid in cash, divided by the average daily closing market price of the common stock for the calendar month that is two months prior to the month the director was appointed to the additional roles, rounded to the nearest 100 shares (i.e., the month of June if the director was appointed to the additional roles on August 15).</w:t>
      </w:r>
    </w:p>
    <w:p>
      <w:pPr>
        <w:spacing w:after="0" w:line="160" w:lineRule="exact"/>
        <w:rPr>
          <w:sz w:val="20"/>
          <w:szCs w:val="20"/>
          <w:color w:val="auto"/>
        </w:rPr>
      </w:pPr>
    </w:p>
    <w:p>
      <w:pPr>
        <w:ind w:right="100" w:firstLine="607"/>
        <w:spacing w:after="0" w:line="254" w:lineRule="auto"/>
        <w:rPr>
          <w:sz w:val="20"/>
          <w:szCs w:val="20"/>
          <w:color w:val="auto"/>
        </w:rPr>
      </w:pPr>
      <w:r>
        <w:rPr>
          <w:rFonts w:ascii="Arial" w:cs="Arial" w:eastAsia="Arial" w:hAnsi="Arial"/>
          <w:sz w:val="17"/>
          <w:szCs w:val="17"/>
          <w:color w:val="auto"/>
        </w:rPr>
        <w:t>Each non-employee director will also be entitled to receive an equity award having an aggregate cash value of $72,000, rounded to the nearest 100 shares, vesting fully on the earlier to occur of (i) the date of the Corporation’s next Annual Meeting of Stockholders after the grant date, immediately prior to the commencement of such meeting, and (ii) one year from the date of grant and granted on the fifth business day following the Corporation’s Annual Meeting of Stockholders, with such award to be evidenced by a grant of deferred stock awards of restricted stock units. In addition, non-employee directors shall be reimbursed for their expenses incurred in connection with attending Board and Committee meetings.</w:t>
      </w:r>
    </w:p>
    <w:p>
      <w:pPr>
        <w:sectPr>
          <w:pgSz w:w="11900" w:h="16838" w:orient="portrait"/>
          <w:cols w:equalWidth="0" w:num="1">
            <w:col w:w="11420"/>
          </w:cols>
          <w:pgMar w:left="240" w:top="123" w:right="2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color w:val="auto"/>
        </w:rPr>
        <w:t>EXHIBIT 10.43</w:t>
      </w:r>
    </w:p>
    <w:p>
      <w:pPr>
        <w:spacing w:after="0" w:line="200" w:lineRule="exact"/>
        <w:rPr>
          <w:sz w:val="20"/>
          <w:szCs w:val="20"/>
          <w:color w:val="auto"/>
        </w:rPr>
      </w:pP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LEASE AGREEMENT</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between</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NEW BRIGHTON 14TH STREET LLC</w:t>
      </w:r>
    </w:p>
    <w:p>
      <w:pPr>
        <w:spacing w:after="0" w:line="3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"Landlord"</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RYAN COMPANIES US, INC.</w:t>
      </w:r>
    </w:p>
    <w:p>
      <w:pPr>
        <w:spacing w:after="0" w:line="1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"Limited Guarantor"</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TRANSOMA MEDICAL, INC.</w:t>
      </w:r>
    </w:p>
    <w:p>
      <w:pPr>
        <w:spacing w:after="0" w:line="1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792480</wp:posOffset>
            </wp:positionV>
            <wp:extent cx="7255510"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4"/>
        </w:trPr>
        <w:tc>
          <w:tcPr>
            <w:tcW w:w="8100" w:type="dxa"/>
            <w:vAlign w:val="bottom"/>
            <w:gridSpan w:val="2"/>
          </w:tcPr>
          <w:p>
            <w:pPr>
              <w:spacing w:after="0"/>
              <w:rPr>
                <w:sz w:val="20"/>
                <w:szCs w:val="20"/>
                <w:color w:val="auto"/>
              </w:rPr>
            </w:pPr>
            <w:r>
              <w:rPr>
                <w:rFonts w:ascii="Arial" w:cs="Arial" w:eastAsia="Arial" w:hAnsi="Arial"/>
                <w:sz w:val="17"/>
                <w:szCs w:val="17"/>
                <w:color w:val="auto"/>
              </w:rPr>
              <w:t>TABLE OF CONTENTS</w:t>
            </w:r>
          </w:p>
        </w:tc>
        <w:tc>
          <w:tcPr>
            <w:tcW w:w="3320" w:type="dxa"/>
            <w:vAlign w:val="bottom"/>
          </w:tcPr>
          <w:p>
            <w:pPr>
              <w:spacing w:after="0"/>
              <w:rPr>
                <w:sz w:val="18"/>
                <w:szCs w:val="18"/>
                <w:color w:val="auto"/>
              </w:rPr>
            </w:pPr>
          </w:p>
        </w:tc>
      </w:tr>
      <w:tr>
        <w:trPr>
          <w:trHeight w:val="405"/>
        </w:trPr>
        <w:tc>
          <w:tcPr>
            <w:tcW w:w="560" w:type="dxa"/>
            <w:vAlign w:val="bottom"/>
          </w:tcPr>
          <w:p>
            <w:pPr>
              <w:spacing w:after="0"/>
              <w:rPr>
                <w:sz w:val="24"/>
                <w:szCs w:val="24"/>
                <w:color w:val="auto"/>
              </w:rPr>
            </w:pPr>
          </w:p>
        </w:tc>
        <w:tc>
          <w:tcPr>
            <w:tcW w:w="75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SECTION</w:t>
            </w:r>
          </w:p>
        </w:tc>
        <w:tc>
          <w:tcPr>
            <w:tcW w:w="3320" w:type="dxa"/>
            <w:vAlign w:val="bottom"/>
            <w:tcBorders>
              <w:bottom w:val="single" w:sz="8" w:color="auto"/>
            </w:tcBorders>
          </w:tcPr>
          <w:p>
            <w:pPr>
              <w:ind w:left="2900"/>
              <w:spacing w:after="0"/>
              <w:rPr>
                <w:sz w:val="20"/>
                <w:szCs w:val="20"/>
                <w:color w:val="auto"/>
              </w:rPr>
            </w:pPr>
            <w:r>
              <w:rPr>
                <w:rFonts w:ascii="Arial" w:cs="Arial" w:eastAsia="Arial" w:hAnsi="Arial"/>
                <w:sz w:val="17"/>
                <w:szCs w:val="17"/>
                <w:color w:val="auto"/>
                <w:w w:val="84"/>
              </w:rPr>
              <w:t>PAGE</w:t>
            </w:r>
          </w:p>
        </w:tc>
      </w:tr>
      <w:tr>
        <w:trPr>
          <w:trHeight w:val="183"/>
        </w:trPr>
        <w:tc>
          <w:tcPr>
            <w:tcW w:w="560" w:type="dxa"/>
            <w:vAlign w:val="bottom"/>
          </w:tcPr>
          <w:p>
            <w:pPr>
              <w:spacing w:after="0" w:line="184" w:lineRule="exact"/>
              <w:rPr>
                <w:sz w:val="20"/>
                <w:szCs w:val="20"/>
                <w:color w:val="auto"/>
              </w:rPr>
            </w:pPr>
            <w:r>
              <w:rPr>
                <w:rFonts w:ascii="Arial" w:cs="Arial" w:eastAsia="Arial" w:hAnsi="Arial"/>
                <w:sz w:val="17"/>
                <w:szCs w:val="17"/>
                <w:color w:val="auto"/>
              </w:rPr>
              <w:t>1.</w:t>
            </w:r>
          </w:p>
        </w:tc>
        <w:tc>
          <w:tcPr>
            <w:tcW w:w="7540" w:type="dxa"/>
            <w:vAlign w:val="bottom"/>
          </w:tcPr>
          <w:p>
            <w:pPr>
              <w:ind w:left="160"/>
              <w:spacing w:after="0" w:line="184" w:lineRule="exact"/>
              <w:rPr>
                <w:sz w:val="20"/>
                <w:szCs w:val="20"/>
                <w:color w:val="auto"/>
              </w:rPr>
            </w:pPr>
            <w:r>
              <w:rPr>
                <w:rFonts w:ascii="Arial" w:cs="Arial" w:eastAsia="Arial" w:hAnsi="Arial"/>
                <w:sz w:val="17"/>
                <w:szCs w:val="17"/>
                <w:color w:val="auto"/>
              </w:rPr>
              <w:t>PREMISES</w:t>
            </w:r>
          </w:p>
        </w:tc>
        <w:tc>
          <w:tcPr>
            <w:tcW w:w="3320" w:type="dxa"/>
            <w:vAlign w:val="bottom"/>
          </w:tcPr>
          <w:p>
            <w:pPr>
              <w:ind w:left="2900"/>
              <w:spacing w:after="0" w:line="184" w:lineRule="exact"/>
              <w:rPr>
                <w:sz w:val="20"/>
                <w:szCs w:val="20"/>
                <w:color w:val="auto"/>
              </w:rPr>
            </w:pPr>
            <w:r>
              <w:rPr>
                <w:rFonts w:ascii="Arial" w:cs="Arial" w:eastAsia="Arial" w:hAnsi="Arial"/>
                <w:sz w:val="17"/>
                <w:szCs w:val="17"/>
                <w:color w:val="auto"/>
              </w:rPr>
              <w:t>4</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2.</w:t>
            </w:r>
          </w:p>
        </w:tc>
        <w:tc>
          <w:tcPr>
            <w:tcW w:w="7540" w:type="dxa"/>
            <w:vAlign w:val="bottom"/>
          </w:tcPr>
          <w:p>
            <w:pPr>
              <w:ind w:left="160"/>
              <w:spacing w:after="0"/>
              <w:rPr>
                <w:sz w:val="20"/>
                <w:szCs w:val="20"/>
                <w:color w:val="auto"/>
              </w:rPr>
            </w:pPr>
            <w:r>
              <w:rPr>
                <w:rFonts w:ascii="Arial" w:cs="Arial" w:eastAsia="Arial" w:hAnsi="Arial"/>
                <w:sz w:val="17"/>
                <w:szCs w:val="17"/>
                <w:color w:val="auto"/>
              </w:rPr>
              <w:t>TERM; POSSESSION</w:t>
            </w:r>
          </w:p>
        </w:tc>
        <w:tc>
          <w:tcPr>
            <w:tcW w:w="3320" w:type="dxa"/>
            <w:vAlign w:val="bottom"/>
          </w:tcPr>
          <w:p>
            <w:pPr>
              <w:ind w:left="2900"/>
              <w:spacing w:after="0"/>
              <w:rPr>
                <w:sz w:val="20"/>
                <w:szCs w:val="20"/>
                <w:color w:val="auto"/>
              </w:rPr>
            </w:pPr>
            <w:r>
              <w:rPr>
                <w:rFonts w:ascii="Arial" w:cs="Arial" w:eastAsia="Arial" w:hAnsi="Arial"/>
                <w:sz w:val="17"/>
                <w:szCs w:val="17"/>
                <w:color w:val="auto"/>
              </w:rPr>
              <w:t>4</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3.</w:t>
            </w:r>
          </w:p>
        </w:tc>
        <w:tc>
          <w:tcPr>
            <w:tcW w:w="7540" w:type="dxa"/>
            <w:vAlign w:val="bottom"/>
          </w:tcPr>
          <w:p>
            <w:pPr>
              <w:ind w:left="160"/>
              <w:spacing w:after="0"/>
              <w:rPr>
                <w:sz w:val="20"/>
                <w:szCs w:val="20"/>
                <w:color w:val="auto"/>
              </w:rPr>
            </w:pPr>
            <w:r>
              <w:rPr>
                <w:rFonts w:ascii="Arial" w:cs="Arial" w:eastAsia="Arial" w:hAnsi="Arial"/>
                <w:sz w:val="17"/>
                <w:szCs w:val="17"/>
                <w:color w:val="auto"/>
              </w:rPr>
              <w:t>RENT</w:t>
            </w:r>
          </w:p>
        </w:tc>
        <w:tc>
          <w:tcPr>
            <w:tcW w:w="3320" w:type="dxa"/>
            <w:vAlign w:val="bottom"/>
          </w:tcPr>
          <w:p>
            <w:pPr>
              <w:ind w:left="2900"/>
              <w:spacing w:after="0"/>
              <w:rPr>
                <w:sz w:val="20"/>
                <w:szCs w:val="20"/>
                <w:color w:val="auto"/>
              </w:rPr>
            </w:pPr>
            <w:r>
              <w:rPr>
                <w:rFonts w:ascii="Arial" w:cs="Arial" w:eastAsia="Arial" w:hAnsi="Arial"/>
                <w:sz w:val="17"/>
                <w:szCs w:val="17"/>
                <w:color w:val="auto"/>
              </w:rPr>
              <w:t>6</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4.</w:t>
            </w:r>
          </w:p>
        </w:tc>
        <w:tc>
          <w:tcPr>
            <w:tcW w:w="7540" w:type="dxa"/>
            <w:vAlign w:val="bottom"/>
          </w:tcPr>
          <w:p>
            <w:pPr>
              <w:ind w:left="160"/>
              <w:spacing w:after="0"/>
              <w:rPr>
                <w:sz w:val="20"/>
                <w:szCs w:val="20"/>
                <w:color w:val="auto"/>
              </w:rPr>
            </w:pPr>
            <w:r>
              <w:rPr>
                <w:rFonts w:ascii="Arial" w:cs="Arial" w:eastAsia="Arial" w:hAnsi="Arial"/>
                <w:sz w:val="17"/>
                <w:szCs w:val="17"/>
                <w:color w:val="auto"/>
              </w:rPr>
              <w:t>SECURITY DEPOSIT</w:t>
            </w:r>
          </w:p>
        </w:tc>
        <w:tc>
          <w:tcPr>
            <w:tcW w:w="3320" w:type="dxa"/>
            <w:vAlign w:val="bottom"/>
          </w:tcPr>
          <w:p>
            <w:pPr>
              <w:ind w:left="2900"/>
              <w:spacing w:after="0"/>
              <w:rPr>
                <w:sz w:val="20"/>
                <w:szCs w:val="20"/>
                <w:color w:val="auto"/>
              </w:rPr>
            </w:pPr>
            <w:r>
              <w:rPr>
                <w:rFonts w:ascii="Arial" w:cs="Arial" w:eastAsia="Arial" w:hAnsi="Arial"/>
                <w:sz w:val="17"/>
                <w:szCs w:val="17"/>
                <w:color w:val="auto"/>
              </w:rPr>
              <w:t>14</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5.</w:t>
            </w:r>
          </w:p>
        </w:tc>
        <w:tc>
          <w:tcPr>
            <w:tcW w:w="7540" w:type="dxa"/>
            <w:vAlign w:val="bottom"/>
          </w:tcPr>
          <w:p>
            <w:pPr>
              <w:ind w:left="160"/>
              <w:spacing w:after="0"/>
              <w:rPr>
                <w:sz w:val="20"/>
                <w:szCs w:val="20"/>
                <w:color w:val="auto"/>
              </w:rPr>
            </w:pPr>
            <w:r>
              <w:rPr>
                <w:rFonts w:ascii="Arial" w:cs="Arial" w:eastAsia="Arial" w:hAnsi="Arial"/>
                <w:sz w:val="17"/>
                <w:szCs w:val="17"/>
                <w:color w:val="auto"/>
              </w:rPr>
              <w:t>USE AND COMPLIANCE WITH LAWS</w:t>
            </w:r>
          </w:p>
        </w:tc>
        <w:tc>
          <w:tcPr>
            <w:tcW w:w="3320" w:type="dxa"/>
            <w:vAlign w:val="bottom"/>
          </w:tcPr>
          <w:p>
            <w:pPr>
              <w:ind w:left="2900"/>
              <w:spacing w:after="0"/>
              <w:rPr>
                <w:sz w:val="20"/>
                <w:szCs w:val="20"/>
                <w:color w:val="auto"/>
              </w:rPr>
            </w:pPr>
            <w:r>
              <w:rPr>
                <w:rFonts w:ascii="Arial" w:cs="Arial" w:eastAsia="Arial" w:hAnsi="Arial"/>
                <w:sz w:val="17"/>
                <w:szCs w:val="17"/>
                <w:color w:val="auto"/>
              </w:rPr>
              <w:t>15</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6.</w:t>
            </w:r>
          </w:p>
        </w:tc>
        <w:tc>
          <w:tcPr>
            <w:tcW w:w="7540" w:type="dxa"/>
            <w:vAlign w:val="bottom"/>
          </w:tcPr>
          <w:p>
            <w:pPr>
              <w:ind w:left="160"/>
              <w:spacing w:after="0"/>
              <w:rPr>
                <w:sz w:val="20"/>
                <w:szCs w:val="20"/>
                <w:color w:val="auto"/>
              </w:rPr>
            </w:pPr>
            <w:r>
              <w:rPr>
                <w:rFonts w:ascii="Arial" w:cs="Arial" w:eastAsia="Arial" w:hAnsi="Arial"/>
                <w:sz w:val="17"/>
                <w:szCs w:val="17"/>
                <w:color w:val="auto"/>
              </w:rPr>
              <w:t>TENANT IMPROVEMENTS &amp; ALTERATIONS</w:t>
            </w:r>
          </w:p>
        </w:tc>
        <w:tc>
          <w:tcPr>
            <w:tcW w:w="3320" w:type="dxa"/>
            <w:vAlign w:val="bottom"/>
          </w:tcPr>
          <w:p>
            <w:pPr>
              <w:ind w:left="2900"/>
              <w:spacing w:after="0"/>
              <w:rPr>
                <w:sz w:val="20"/>
                <w:szCs w:val="20"/>
                <w:color w:val="auto"/>
              </w:rPr>
            </w:pPr>
            <w:r>
              <w:rPr>
                <w:rFonts w:ascii="Arial" w:cs="Arial" w:eastAsia="Arial" w:hAnsi="Arial"/>
                <w:sz w:val="17"/>
                <w:szCs w:val="17"/>
                <w:color w:val="auto"/>
              </w:rPr>
              <w:t>19</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7.</w:t>
            </w:r>
          </w:p>
        </w:tc>
        <w:tc>
          <w:tcPr>
            <w:tcW w:w="7540" w:type="dxa"/>
            <w:vAlign w:val="bottom"/>
          </w:tcPr>
          <w:p>
            <w:pPr>
              <w:ind w:left="160"/>
              <w:spacing w:after="0"/>
              <w:rPr>
                <w:sz w:val="20"/>
                <w:szCs w:val="20"/>
                <w:color w:val="auto"/>
              </w:rPr>
            </w:pPr>
            <w:r>
              <w:rPr>
                <w:rFonts w:ascii="Arial" w:cs="Arial" w:eastAsia="Arial" w:hAnsi="Arial"/>
                <w:sz w:val="17"/>
                <w:szCs w:val="17"/>
                <w:color w:val="auto"/>
              </w:rPr>
              <w:t>MAINTENANCE AND REPAIRS</w:t>
            </w:r>
          </w:p>
        </w:tc>
        <w:tc>
          <w:tcPr>
            <w:tcW w:w="3320" w:type="dxa"/>
            <w:vAlign w:val="bottom"/>
          </w:tcPr>
          <w:p>
            <w:pPr>
              <w:ind w:left="2900"/>
              <w:spacing w:after="0"/>
              <w:rPr>
                <w:sz w:val="20"/>
                <w:szCs w:val="20"/>
                <w:color w:val="auto"/>
              </w:rPr>
            </w:pPr>
            <w:r>
              <w:rPr>
                <w:rFonts w:ascii="Arial" w:cs="Arial" w:eastAsia="Arial" w:hAnsi="Arial"/>
                <w:sz w:val="17"/>
                <w:szCs w:val="17"/>
                <w:color w:val="auto"/>
              </w:rPr>
              <w:t>21</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8.</w:t>
            </w:r>
          </w:p>
        </w:tc>
        <w:tc>
          <w:tcPr>
            <w:tcW w:w="7540" w:type="dxa"/>
            <w:vAlign w:val="bottom"/>
          </w:tcPr>
          <w:p>
            <w:pPr>
              <w:ind w:left="160"/>
              <w:spacing w:after="0"/>
              <w:rPr>
                <w:sz w:val="20"/>
                <w:szCs w:val="20"/>
                <w:color w:val="auto"/>
              </w:rPr>
            </w:pPr>
            <w:r>
              <w:rPr>
                <w:rFonts w:ascii="Arial" w:cs="Arial" w:eastAsia="Arial" w:hAnsi="Arial"/>
                <w:sz w:val="17"/>
                <w:szCs w:val="17"/>
                <w:color w:val="auto"/>
              </w:rPr>
              <w:t>TENANT'S TAXES</w:t>
            </w:r>
          </w:p>
        </w:tc>
        <w:tc>
          <w:tcPr>
            <w:tcW w:w="3320" w:type="dxa"/>
            <w:vAlign w:val="bottom"/>
          </w:tcPr>
          <w:p>
            <w:pPr>
              <w:ind w:left="2900"/>
              <w:spacing w:after="0"/>
              <w:rPr>
                <w:sz w:val="20"/>
                <w:szCs w:val="20"/>
                <w:color w:val="auto"/>
              </w:rPr>
            </w:pPr>
            <w:r>
              <w:rPr>
                <w:rFonts w:ascii="Arial" w:cs="Arial" w:eastAsia="Arial" w:hAnsi="Arial"/>
                <w:sz w:val="17"/>
                <w:szCs w:val="17"/>
                <w:color w:val="auto"/>
              </w:rPr>
              <w:t>23</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9.</w:t>
            </w:r>
          </w:p>
        </w:tc>
        <w:tc>
          <w:tcPr>
            <w:tcW w:w="7540" w:type="dxa"/>
            <w:vAlign w:val="bottom"/>
          </w:tcPr>
          <w:p>
            <w:pPr>
              <w:ind w:left="160"/>
              <w:spacing w:after="0"/>
              <w:rPr>
                <w:sz w:val="20"/>
                <w:szCs w:val="20"/>
                <w:color w:val="auto"/>
              </w:rPr>
            </w:pPr>
            <w:r>
              <w:rPr>
                <w:rFonts w:ascii="Arial" w:cs="Arial" w:eastAsia="Arial" w:hAnsi="Arial"/>
                <w:sz w:val="17"/>
                <w:szCs w:val="17"/>
                <w:color w:val="auto"/>
              </w:rPr>
              <w:t>UTILITIES AND SERVICES</w:t>
            </w:r>
          </w:p>
        </w:tc>
        <w:tc>
          <w:tcPr>
            <w:tcW w:w="3320" w:type="dxa"/>
            <w:vAlign w:val="bottom"/>
          </w:tcPr>
          <w:p>
            <w:pPr>
              <w:ind w:left="2900"/>
              <w:spacing w:after="0"/>
              <w:rPr>
                <w:sz w:val="20"/>
                <w:szCs w:val="20"/>
                <w:color w:val="auto"/>
              </w:rPr>
            </w:pPr>
            <w:r>
              <w:rPr>
                <w:rFonts w:ascii="Arial" w:cs="Arial" w:eastAsia="Arial" w:hAnsi="Arial"/>
                <w:sz w:val="17"/>
                <w:szCs w:val="17"/>
                <w:color w:val="auto"/>
              </w:rPr>
              <w:t>23</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10.</w:t>
            </w:r>
          </w:p>
        </w:tc>
        <w:tc>
          <w:tcPr>
            <w:tcW w:w="7540" w:type="dxa"/>
            <w:vAlign w:val="bottom"/>
          </w:tcPr>
          <w:p>
            <w:pPr>
              <w:ind w:left="160"/>
              <w:spacing w:after="0"/>
              <w:rPr>
                <w:sz w:val="20"/>
                <w:szCs w:val="20"/>
                <w:color w:val="auto"/>
              </w:rPr>
            </w:pPr>
            <w:r>
              <w:rPr>
                <w:rFonts w:ascii="Arial" w:cs="Arial" w:eastAsia="Arial" w:hAnsi="Arial"/>
                <w:sz w:val="17"/>
                <w:szCs w:val="17"/>
                <w:color w:val="auto"/>
              </w:rPr>
              <w:t>EXCULPATION AND INDEMNIFICATION</w:t>
            </w:r>
          </w:p>
        </w:tc>
        <w:tc>
          <w:tcPr>
            <w:tcW w:w="3320" w:type="dxa"/>
            <w:vAlign w:val="bottom"/>
          </w:tcPr>
          <w:p>
            <w:pPr>
              <w:ind w:left="2900"/>
              <w:spacing w:after="0"/>
              <w:rPr>
                <w:sz w:val="20"/>
                <w:szCs w:val="20"/>
                <w:color w:val="auto"/>
              </w:rPr>
            </w:pPr>
            <w:r>
              <w:rPr>
                <w:rFonts w:ascii="Arial" w:cs="Arial" w:eastAsia="Arial" w:hAnsi="Arial"/>
                <w:sz w:val="17"/>
                <w:szCs w:val="17"/>
                <w:color w:val="auto"/>
              </w:rPr>
              <w:t>24</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11.</w:t>
            </w:r>
          </w:p>
        </w:tc>
        <w:tc>
          <w:tcPr>
            <w:tcW w:w="7540" w:type="dxa"/>
            <w:vAlign w:val="bottom"/>
          </w:tcPr>
          <w:p>
            <w:pPr>
              <w:ind w:left="160"/>
              <w:spacing w:after="0"/>
              <w:rPr>
                <w:sz w:val="20"/>
                <w:szCs w:val="20"/>
                <w:color w:val="auto"/>
              </w:rPr>
            </w:pPr>
            <w:r>
              <w:rPr>
                <w:rFonts w:ascii="Arial" w:cs="Arial" w:eastAsia="Arial" w:hAnsi="Arial"/>
                <w:sz w:val="17"/>
                <w:szCs w:val="17"/>
                <w:color w:val="auto"/>
              </w:rPr>
              <w:t>INSURANCE</w:t>
            </w:r>
          </w:p>
        </w:tc>
        <w:tc>
          <w:tcPr>
            <w:tcW w:w="3320" w:type="dxa"/>
            <w:vAlign w:val="bottom"/>
          </w:tcPr>
          <w:p>
            <w:pPr>
              <w:ind w:left="2900"/>
              <w:spacing w:after="0"/>
              <w:rPr>
                <w:sz w:val="20"/>
                <w:szCs w:val="20"/>
                <w:color w:val="auto"/>
              </w:rPr>
            </w:pPr>
            <w:r>
              <w:rPr>
                <w:rFonts w:ascii="Arial" w:cs="Arial" w:eastAsia="Arial" w:hAnsi="Arial"/>
                <w:sz w:val="17"/>
                <w:szCs w:val="17"/>
                <w:color w:val="auto"/>
              </w:rPr>
              <w:t>25</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12.</w:t>
            </w:r>
          </w:p>
        </w:tc>
        <w:tc>
          <w:tcPr>
            <w:tcW w:w="7540" w:type="dxa"/>
            <w:vAlign w:val="bottom"/>
          </w:tcPr>
          <w:p>
            <w:pPr>
              <w:ind w:left="160"/>
              <w:spacing w:after="0"/>
              <w:rPr>
                <w:sz w:val="20"/>
                <w:szCs w:val="20"/>
                <w:color w:val="auto"/>
              </w:rPr>
            </w:pPr>
            <w:r>
              <w:rPr>
                <w:rFonts w:ascii="Arial" w:cs="Arial" w:eastAsia="Arial" w:hAnsi="Arial"/>
                <w:sz w:val="17"/>
                <w:szCs w:val="17"/>
                <w:color w:val="auto"/>
              </w:rPr>
              <w:t>DAMAGE OR DESTRUCTION</w:t>
            </w:r>
          </w:p>
        </w:tc>
        <w:tc>
          <w:tcPr>
            <w:tcW w:w="3320" w:type="dxa"/>
            <w:vAlign w:val="bottom"/>
          </w:tcPr>
          <w:p>
            <w:pPr>
              <w:ind w:left="2900"/>
              <w:spacing w:after="0"/>
              <w:rPr>
                <w:sz w:val="20"/>
                <w:szCs w:val="20"/>
                <w:color w:val="auto"/>
              </w:rPr>
            </w:pPr>
            <w:r>
              <w:rPr>
                <w:rFonts w:ascii="Arial" w:cs="Arial" w:eastAsia="Arial" w:hAnsi="Arial"/>
                <w:sz w:val="17"/>
                <w:szCs w:val="17"/>
                <w:color w:val="auto"/>
              </w:rPr>
              <w:t>27</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13.</w:t>
            </w:r>
          </w:p>
        </w:tc>
        <w:tc>
          <w:tcPr>
            <w:tcW w:w="7540" w:type="dxa"/>
            <w:vAlign w:val="bottom"/>
          </w:tcPr>
          <w:p>
            <w:pPr>
              <w:ind w:left="160"/>
              <w:spacing w:after="0"/>
              <w:rPr>
                <w:sz w:val="20"/>
                <w:szCs w:val="20"/>
                <w:color w:val="auto"/>
              </w:rPr>
            </w:pPr>
            <w:r>
              <w:rPr>
                <w:rFonts w:ascii="Arial" w:cs="Arial" w:eastAsia="Arial" w:hAnsi="Arial"/>
                <w:sz w:val="17"/>
                <w:szCs w:val="17"/>
                <w:color w:val="auto"/>
              </w:rPr>
              <w:t>CONDEMNATION</w:t>
            </w:r>
          </w:p>
        </w:tc>
        <w:tc>
          <w:tcPr>
            <w:tcW w:w="3320" w:type="dxa"/>
            <w:vAlign w:val="bottom"/>
          </w:tcPr>
          <w:p>
            <w:pPr>
              <w:ind w:left="2900"/>
              <w:spacing w:after="0"/>
              <w:rPr>
                <w:sz w:val="20"/>
                <w:szCs w:val="20"/>
                <w:color w:val="auto"/>
              </w:rPr>
            </w:pPr>
            <w:r>
              <w:rPr>
                <w:rFonts w:ascii="Arial" w:cs="Arial" w:eastAsia="Arial" w:hAnsi="Arial"/>
                <w:sz w:val="17"/>
                <w:szCs w:val="17"/>
                <w:color w:val="auto"/>
              </w:rPr>
              <w:t>28</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14.</w:t>
            </w:r>
          </w:p>
        </w:tc>
        <w:tc>
          <w:tcPr>
            <w:tcW w:w="7540" w:type="dxa"/>
            <w:vAlign w:val="bottom"/>
          </w:tcPr>
          <w:p>
            <w:pPr>
              <w:ind w:left="160"/>
              <w:spacing w:after="0"/>
              <w:rPr>
                <w:sz w:val="20"/>
                <w:szCs w:val="20"/>
                <w:color w:val="auto"/>
              </w:rPr>
            </w:pPr>
            <w:r>
              <w:rPr>
                <w:rFonts w:ascii="Arial" w:cs="Arial" w:eastAsia="Arial" w:hAnsi="Arial"/>
                <w:sz w:val="17"/>
                <w:szCs w:val="17"/>
                <w:color w:val="auto"/>
              </w:rPr>
              <w:t>ASSIGNMENT AND SUBLETTING</w:t>
            </w:r>
          </w:p>
        </w:tc>
        <w:tc>
          <w:tcPr>
            <w:tcW w:w="3320" w:type="dxa"/>
            <w:vAlign w:val="bottom"/>
          </w:tcPr>
          <w:p>
            <w:pPr>
              <w:ind w:left="2900"/>
              <w:spacing w:after="0"/>
              <w:rPr>
                <w:sz w:val="20"/>
                <w:szCs w:val="20"/>
                <w:color w:val="auto"/>
              </w:rPr>
            </w:pPr>
            <w:r>
              <w:rPr>
                <w:rFonts w:ascii="Arial" w:cs="Arial" w:eastAsia="Arial" w:hAnsi="Arial"/>
                <w:sz w:val="17"/>
                <w:szCs w:val="17"/>
                <w:color w:val="auto"/>
              </w:rPr>
              <w:t>30</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15.</w:t>
            </w:r>
          </w:p>
        </w:tc>
        <w:tc>
          <w:tcPr>
            <w:tcW w:w="7540" w:type="dxa"/>
            <w:vAlign w:val="bottom"/>
          </w:tcPr>
          <w:p>
            <w:pPr>
              <w:ind w:left="160"/>
              <w:spacing w:after="0"/>
              <w:rPr>
                <w:sz w:val="20"/>
                <w:szCs w:val="20"/>
                <w:color w:val="auto"/>
              </w:rPr>
            </w:pPr>
            <w:r>
              <w:rPr>
                <w:rFonts w:ascii="Arial" w:cs="Arial" w:eastAsia="Arial" w:hAnsi="Arial"/>
                <w:sz w:val="17"/>
                <w:szCs w:val="17"/>
                <w:color w:val="auto"/>
              </w:rPr>
              <w:t>DEFAULT AND REMEDIES</w:t>
            </w:r>
          </w:p>
        </w:tc>
        <w:tc>
          <w:tcPr>
            <w:tcW w:w="3320" w:type="dxa"/>
            <w:vAlign w:val="bottom"/>
          </w:tcPr>
          <w:p>
            <w:pPr>
              <w:ind w:left="2900"/>
              <w:spacing w:after="0"/>
              <w:rPr>
                <w:sz w:val="20"/>
                <w:szCs w:val="20"/>
                <w:color w:val="auto"/>
              </w:rPr>
            </w:pPr>
            <w:r>
              <w:rPr>
                <w:rFonts w:ascii="Arial" w:cs="Arial" w:eastAsia="Arial" w:hAnsi="Arial"/>
                <w:sz w:val="17"/>
                <w:szCs w:val="17"/>
                <w:color w:val="auto"/>
              </w:rPr>
              <w:t>31</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16.</w:t>
            </w:r>
          </w:p>
        </w:tc>
        <w:tc>
          <w:tcPr>
            <w:tcW w:w="7540" w:type="dxa"/>
            <w:vAlign w:val="bottom"/>
          </w:tcPr>
          <w:p>
            <w:pPr>
              <w:ind w:left="160"/>
              <w:spacing w:after="0"/>
              <w:rPr>
                <w:sz w:val="20"/>
                <w:szCs w:val="20"/>
                <w:color w:val="auto"/>
              </w:rPr>
            </w:pPr>
            <w:r>
              <w:rPr>
                <w:rFonts w:ascii="Arial" w:cs="Arial" w:eastAsia="Arial" w:hAnsi="Arial"/>
                <w:sz w:val="17"/>
                <w:szCs w:val="17"/>
                <w:color w:val="auto"/>
              </w:rPr>
              <w:t>LATE CHARGE AND INTEREST</w:t>
            </w:r>
          </w:p>
        </w:tc>
        <w:tc>
          <w:tcPr>
            <w:tcW w:w="3320" w:type="dxa"/>
            <w:vAlign w:val="bottom"/>
          </w:tcPr>
          <w:p>
            <w:pPr>
              <w:ind w:left="2900"/>
              <w:spacing w:after="0"/>
              <w:rPr>
                <w:sz w:val="20"/>
                <w:szCs w:val="20"/>
                <w:color w:val="auto"/>
              </w:rPr>
            </w:pPr>
            <w:r>
              <w:rPr>
                <w:rFonts w:ascii="Arial" w:cs="Arial" w:eastAsia="Arial" w:hAnsi="Arial"/>
                <w:sz w:val="17"/>
                <w:szCs w:val="17"/>
                <w:color w:val="auto"/>
              </w:rPr>
              <w:t>33</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17.</w:t>
            </w:r>
          </w:p>
        </w:tc>
        <w:tc>
          <w:tcPr>
            <w:tcW w:w="7540" w:type="dxa"/>
            <w:vAlign w:val="bottom"/>
          </w:tcPr>
          <w:p>
            <w:pPr>
              <w:ind w:left="160"/>
              <w:spacing w:after="0"/>
              <w:rPr>
                <w:sz w:val="20"/>
                <w:szCs w:val="20"/>
                <w:color w:val="auto"/>
              </w:rPr>
            </w:pPr>
            <w:r>
              <w:rPr>
                <w:rFonts w:ascii="Arial" w:cs="Arial" w:eastAsia="Arial" w:hAnsi="Arial"/>
                <w:sz w:val="17"/>
                <w:szCs w:val="17"/>
                <w:color w:val="auto"/>
              </w:rPr>
              <w:t>WAIVER</w:t>
            </w:r>
          </w:p>
        </w:tc>
        <w:tc>
          <w:tcPr>
            <w:tcW w:w="3320" w:type="dxa"/>
            <w:vAlign w:val="bottom"/>
          </w:tcPr>
          <w:p>
            <w:pPr>
              <w:ind w:left="2900"/>
              <w:spacing w:after="0"/>
              <w:rPr>
                <w:sz w:val="20"/>
                <w:szCs w:val="20"/>
                <w:color w:val="auto"/>
              </w:rPr>
            </w:pPr>
            <w:r>
              <w:rPr>
                <w:rFonts w:ascii="Arial" w:cs="Arial" w:eastAsia="Arial" w:hAnsi="Arial"/>
                <w:sz w:val="17"/>
                <w:szCs w:val="17"/>
                <w:color w:val="auto"/>
              </w:rPr>
              <w:t>33</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18.</w:t>
            </w:r>
          </w:p>
        </w:tc>
        <w:tc>
          <w:tcPr>
            <w:tcW w:w="7540" w:type="dxa"/>
            <w:vAlign w:val="bottom"/>
          </w:tcPr>
          <w:p>
            <w:pPr>
              <w:ind w:left="160"/>
              <w:spacing w:after="0"/>
              <w:rPr>
                <w:sz w:val="20"/>
                <w:szCs w:val="20"/>
                <w:color w:val="auto"/>
              </w:rPr>
            </w:pPr>
            <w:r>
              <w:rPr>
                <w:rFonts w:ascii="Arial" w:cs="Arial" w:eastAsia="Arial" w:hAnsi="Arial"/>
                <w:sz w:val="17"/>
                <w:szCs w:val="17"/>
                <w:color w:val="auto"/>
              </w:rPr>
              <w:t>ENTRY, INSPECTION AND CLOSURE</w:t>
            </w:r>
          </w:p>
        </w:tc>
        <w:tc>
          <w:tcPr>
            <w:tcW w:w="3320" w:type="dxa"/>
            <w:vAlign w:val="bottom"/>
          </w:tcPr>
          <w:p>
            <w:pPr>
              <w:ind w:left="2900"/>
              <w:spacing w:after="0"/>
              <w:rPr>
                <w:sz w:val="20"/>
                <w:szCs w:val="20"/>
                <w:color w:val="auto"/>
              </w:rPr>
            </w:pPr>
            <w:r>
              <w:rPr>
                <w:rFonts w:ascii="Arial" w:cs="Arial" w:eastAsia="Arial" w:hAnsi="Arial"/>
                <w:sz w:val="17"/>
                <w:szCs w:val="17"/>
                <w:color w:val="auto"/>
              </w:rPr>
              <w:t>34</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19.</w:t>
            </w:r>
          </w:p>
        </w:tc>
        <w:tc>
          <w:tcPr>
            <w:tcW w:w="7540" w:type="dxa"/>
            <w:vAlign w:val="bottom"/>
          </w:tcPr>
          <w:p>
            <w:pPr>
              <w:ind w:left="160"/>
              <w:spacing w:after="0"/>
              <w:rPr>
                <w:sz w:val="20"/>
                <w:szCs w:val="20"/>
                <w:color w:val="auto"/>
              </w:rPr>
            </w:pPr>
            <w:r>
              <w:rPr>
                <w:rFonts w:ascii="Arial" w:cs="Arial" w:eastAsia="Arial" w:hAnsi="Arial"/>
                <w:sz w:val="17"/>
                <w:szCs w:val="17"/>
                <w:color w:val="auto"/>
              </w:rPr>
              <w:t>SURRENDER AND HOLDING OVER</w:t>
            </w:r>
          </w:p>
        </w:tc>
        <w:tc>
          <w:tcPr>
            <w:tcW w:w="3320" w:type="dxa"/>
            <w:vAlign w:val="bottom"/>
          </w:tcPr>
          <w:p>
            <w:pPr>
              <w:ind w:left="2900"/>
              <w:spacing w:after="0"/>
              <w:rPr>
                <w:sz w:val="20"/>
                <w:szCs w:val="20"/>
                <w:color w:val="auto"/>
              </w:rPr>
            </w:pPr>
            <w:r>
              <w:rPr>
                <w:rFonts w:ascii="Arial" w:cs="Arial" w:eastAsia="Arial" w:hAnsi="Arial"/>
                <w:sz w:val="17"/>
                <w:szCs w:val="17"/>
                <w:color w:val="auto"/>
              </w:rPr>
              <w:t>34</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20.</w:t>
            </w:r>
          </w:p>
        </w:tc>
        <w:tc>
          <w:tcPr>
            <w:tcW w:w="7540" w:type="dxa"/>
            <w:vAlign w:val="bottom"/>
          </w:tcPr>
          <w:p>
            <w:pPr>
              <w:ind w:left="160"/>
              <w:spacing w:after="0"/>
              <w:rPr>
                <w:sz w:val="20"/>
                <w:szCs w:val="20"/>
                <w:color w:val="auto"/>
              </w:rPr>
            </w:pPr>
            <w:r>
              <w:rPr>
                <w:rFonts w:ascii="Arial" w:cs="Arial" w:eastAsia="Arial" w:hAnsi="Arial"/>
                <w:sz w:val="17"/>
                <w:szCs w:val="17"/>
                <w:color w:val="auto"/>
              </w:rPr>
              <w:t>ENCUMBRANCES</w:t>
            </w:r>
          </w:p>
        </w:tc>
        <w:tc>
          <w:tcPr>
            <w:tcW w:w="3320" w:type="dxa"/>
            <w:vAlign w:val="bottom"/>
          </w:tcPr>
          <w:p>
            <w:pPr>
              <w:ind w:left="2900"/>
              <w:spacing w:after="0"/>
              <w:rPr>
                <w:sz w:val="20"/>
                <w:szCs w:val="20"/>
                <w:color w:val="auto"/>
              </w:rPr>
            </w:pPr>
            <w:r>
              <w:rPr>
                <w:rFonts w:ascii="Arial" w:cs="Arial" w:eastAsia="Arial" w:hAnsi="Arial"/>
                <w:sz w:val="17"/>
                <w:szCs w:val="17"/>
                <w:color w:val="auto"/>
              </w:rPr>
              <w:t>35</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21.</w:t>
            </w:r>
          </w:p>
        </w:tc>
        <w:tc>
          <w:tcPr>
            <w:tcW w:w="7540" w:type="dxa"/>
            <w:vAlign w:val="bottom"/>
          </w:tcPr>
          <w:p>
            <w:pPr>
              <w:ind w:left="160"/>
              <w:spacing w:after="0"/>
              <w:rPr>
                <w:sz w:val="20"/>
                <w:szCs w:val="20"/>
                <w:color w:val="auto"/>
              </w:rPr>
            </w:pPr>
            <w:r>
              <w:rPr>
                <w:rFonts w:ascii="Arial" w:cs="Arial" w:eastAsia="Arial" w:hAnsi="Arial"/>
                <w:sz w:val="17"/>
                <w:szCs w:val="17"/>
                <w:color w:val="auto"/>
              </w:rPr>
              <w:t>ESTOPPEL CERTIFICATES AND FINANCIAL STATEMENTS</w:t>
            </w:r>
          </w:p>
        </w:tc>
        <w:tc>
          <w:tcPr>
            <w:tcW w:w="3320" w:type="dxa"/>
            <w:vAlign w:val="bottom"/>
          </w:tcPr>
          <w:p>
            <w:pPr>
              <w:ind w:left="2900"/>
              <w:spacing w:after="0"/>
              <w:rPr>
                <w:sz w:val="20"/>
                <w:szCs w:val="20"/>
                <w:color w:val="auto"/>
              </w:rPr>
            </w:pPr>
            <w:r>
              <w:rPr>
                <w:rFonts w:ascii="Arial" w:cs="Arial" w:eastAsia="Arial" w:hAnsi="Arial"/>
                <w:sz w:val="17"/>
                <w:szCs w:val="17"/>
                <w:color w:val="auto"/>
              </w:rPr>
              <w:t>36</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22.</w:t>
            </w:r>
          </w:p>
        </w:tc>
        <w:tc>
          <w:tcPr>
            <w:tcW w:w="7540" w:type="dxa"/>
            <w:vAlign w:val="bottom"/>
          </w:tcPr>
          <w:p>
            <w:pPr>
              <w:ind w:left="160"/>
              <w:spacing w:after="0"/>
              <w:rPr>
                <w:sz w:val="20"/>
                <w:szCs w:val="20"/>
                <w:color w:val="auto"/>
              </w:rPr>
            </w:pPr>
            <w:r>
              <w:rPr>
                <w:rFonts w:ascii="Arial" w:cs="Arial" w:eastAsia="Arial" w:hAnsi="Arial"/>
                <w:sz w:val="17"/>
                <w:szCs w:val="17"/>
                <w:color w:val="auto"/>
              </w:rPr>
              <w:t>NOTICES</w:t>
            </w:r>
          </w:p>
        </w:tc>
        <w:tc>
          <w:tcPr>
            <w:tcW w:w="3320" w:type="dxa"/>
            <w:vAlign w:val="bottom"/>
          </w:tcPr>
          <w:p>
            <w:pPr>
              <w:ind w:left="2900"/>
              <w:spacing w:after="0"/>
              <w:rPr>
                <w:sz w:val="20"/>
                <w:szCs w:val="20"/>
                <w:color w:val="auto"/>
              </w:rPr>
            </w:pPr>
            <w:r>
              <w:rPr>
                <w:rFonts w:ascii="Arial" w:cs="Arial" w:eastAsia="Arial" w:hAnsi="Arial"/>
                <w:sz w:val="17"/>
                <w:szCs w:val="17"/>
                <w:color w:val="auto"/>
              </w:rPr>
              <w:t>36</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23.</w:t>
            </w:r>
          </w:p>
        </w:tc>
        <w:tc>
          <w:tcPr>
            <w:tcW w:w="7540" w:type="dxa"/>
            <w:vAlign w:val="bottom"/>
          </w:tcPr>
          <w:p>
            <w:pPr>
              <w:ind w:left="160"/>
              <w:spacing w:after="0"/>
              <w:rPr>
                <w:sz w:val="20"/>
                <w:szCs w:val="20"/>
                <w:color w:val="auto"/>
              </w:rPr>
            </w:pPr>
            <w:r>
              <w:rPr>
                <w:rFonts w:ascii="Arial" w:cs="Arial" w:eastAsia="Arial" w:hAnsi="Arial"/>
                <w:sz w:val="17"/>
                <w:szCs w:val="17"/>
                <w:color w:val="auto"/>
              </w:rPr>
              <w:t>ATTORNEYS' FEES</w:t>
            </w:r>
          </w:p>
        </w:tc>
        <w:tc>
          <w:tcPr>
            <w:tcW w:w="3320" w:type="dxa"/>
            <w:vAlign w:val="bottom"/>
          </w:tcPr>
          <w:p>
            <w:pPr>
              <w:ind w:left="2900"/>
              <w:spacing w:after="0"/>
              <w:rPr>
                <w:sz w:val="20"/>
                <w:szCs w:val="20"/>
                <w:color w:val="auto"/>
              </w:rPr>
            </w:pPr>
            <w:r>
              <w:rPr>
                <w:rFonts w:ascii="Arial" w:cs="Arial" w:eastAsia="Arial" w:hAnsi="Arial"/>
                <w:sz w:val="17"/>
                <w:szCs w:val="17"/>
                <w:color w:val="auto"/>
              </w:rPr>
              <w:t>37</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24.</w:t>
            </w:r>
          </w:p>
        </w:tc>
        <w:tc>
          <w:tcPr>
            <w:tcW w:w="7540" w:type="dxa"/>
            <w:vAlign w:val="bottom"/>
          </w:tcPr>
          <w:p>
            <w:pPr>
              <w:ind w:left="160"/>
              <w:spacing w:after="0"/>
              <w:rPr>
                <w:sz w:val="20"/>
                <w:szCs w:val="20"/>
                <w:color w:val="auto"/>
              </w:rPr>
            </w:pPr>
            <w:r>
              <w:rPr>
                <w:rFonts w:ascii="Arial" w:cs="Arial" w:eastAsia="Arial" w:hAnsi="Arial"/>
                <w:sz w:val="17"/>
                <w:szCs w:val="17"/>
                <w:color w:val="auto"/>
              </w:rPr>
              <w:t>QUIET POSSESSION</w:t>
            </w:r>
          </w:p>
        </w:tc>
        <w:tc>
          <w:tcPr>
            <w:tcW w:w="3320" w:type="dxa"/>
            <w:vAlign w:val="bottom"/>
          </w:tcPr>
          <w:p>
            <w:pPr>
              <w:ind w:left="2900"/>
              <w:spacing w:after="0"/>
              <w:rPr>
                <w:sz w:val="20"/>
                <w:szCs w:val="20"/>
                <w:color w:val="auto"/>
              </w:rPr>
            </w:pPr>
            <w:r>
              <w:rPr>
                <w:rFonts w:ascii="Arial" w:cs="Arial" w:eastAsia="Arial" w:hAnsi="Arial"/>
                <w:sz w:val="17"/>
                <w:szCs w:val="17"/>
                <w:color w:val="auto"/>
              </w:rPr>
              <w:t>37</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25.</w:t>
            </w:r>
          </w:p>
        </w:tc>
        <w:tc>
          <w:tcPr>
            <w:tcW w:w="7540" w:type="dxa"/>
            <w:vAlign w:val="bottom"/>
          </w:tcPr>
          <w:p>
            <w:pPr>
              <w:ind w:left="160"/>
              <w:spacing w:after="0"/>
              <w:rPr>
                <w:sz w:val="20"/>
                <w:szCs w:val="20"/>
                <w:color w:val="auto"/>
              </w:rPr>
            </w:pPr>
            <w:r>
              <w:rPr>
                <w:rFonts w:ascii="Arial" w:cs="Arial" w:eastAsia="Arial" w:hAnsi="Arial"/>
                <w:sz w:val="17"/>
                <w:szCs w:val="17"/>
                <w:color w:val="auto"/>
              </w:rPr>
              <w:t>SECURITY MEASURES</w:t>
            </w:r>
          </w:p>
        </w:tc>
        <w:tc>
          <w:tcPr>
            <w:tcW w:w="3320" w:type="dxa"/>
            <w:vAlign w:val="bottom"/>
          </w:tcPr>
          <w:p>
            <w:pPr>
              <w:ind w:left="2900"/>
              <w:spacing w:after="0"/>
              <w:rPr>
                <w:sz w:val="20"/>
                <w:szCs w:val="20"/>
                <w:color w:val="auto"/>
              </w:rPr>
            </w:pPr>
            <w:r>
              <w:rPr>
                <w:rFonts w:ascii="Arial" w:cs="Arial" w:eastAsia="Arial" w:hAnsi="Arial"/>
                <w:sz w:val="17"/>
                <w:szCs w:val="17"/>
                <w:color w:val="auto"/>
              </w:rPr>
              <w:t>37</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26.</w:t>
            </w:r>
          </w:p>
        </w:tc>
        <w:tc>
          <w:tcPr>
            <w:tcW w:w="7540" w:type="dxa"/>
            <w:vAlign w:val="bottom"/>
          </w:tcPr>
          <w:p>
            <w:pPr>
              <w:ind w:left="160"/>
              <w:spacing w:after="0"/>
              <w:rPr>
                <w:sz w:val="20"/>
                <w:szCs w:val="20"/>
                <w:color w:val="auto"/>
              </w:rPr>
            </w:pPr>
            <w:r>
              <w:rPr>
                <w:rFonts w:ascii="Arial" w:cs="Arial" w:eastAsia="Arial" w:hAnsi="Arial"/>
                <w:sz w:val="17"/>
                <w:szCs w:val="17"/>
                <w:color w:val="auto"/>
              </w:rPr>
              <w:t>FORCE MAJEURE</w:t>
            </w:r>
          </w:p>
        </w:tc>
        <w:tc>
          <w:tcPr>
            <w:tcW w:w="3320" w:type="dxa"/>
            <w:vAlign w:val="bottom"/>
          </w:tcPr>
          <w:p>
            <w:pPr>
              <w:ind w:left="2900"/>
              <w:spacing w:after="0"/>
              <w:rPr>
                <w:sz w:val="20"/>
                <w:szCs w:val="20"/>
                <w:color w:val="auto"/>
              </w:rPr>
            </w:pPr>
            <w:r>
              <w:rPr>
                <w:rFonts w:ascii="Arial" w:cs="Arial" w:eastAsia="Arial" w:hAnsi="Arial"/>
                <w:sz w:val="17"/>
                <w:szCs w:val="17"/>
                <w:color w:val="auto"/>
              </w:rPr>
              <w:t>37</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27.</w:t>
            </w:r>
          </w:p>
        </w:tc>
        <w:tc>
          <w:tcPr>
            <w:tcW w:w="7540" w:type="dxa"/>
            <w:vAlign w:val="bottom"/>
          </w:tcPr>
          <w:p>
            <w:pPr>
              <w:ind w:left="160"/>
              <w:spacing w:after="0"/>
              <w:rPr>
                <w:sz w:val="20"/>
                <w:szCs w:val="20"/>
                <w:color w:val="auto"/>
              </w:rPr>
            </w:pPr>
            <w:r>
              <w:rPr>
                <w:rFonts w:ascii="Arial" w:cs="Arial" w:eastAsia="Arial" w:hAnsi="Arial"/>
                <w:sz w:val="17"/>
                <w:szCs w:val="17"/>
                <w:color w:val="auto"/>
              </w:rPr>
              <w:t>LANDLORD'S LIABILITY</w:t>
            </w:r>
          </w:p>
        </w:tc>
        <w:tc>
          <w:tcPr>
            <w:tcW w:w="3320" w:type="dxa"/>
            <w:vAlign w:val="bottom"/>
          </w:tcPr>
          <w:p>
            <w:pPr>
              <w:ind w:left="2900"/>
              <w:spacing w:after="0"/>
              <w:rPr>
                <w:sz w:val="20"/>
                <w:szCs w:val="20"/>
                <w:color w:val="auto"/>
              </w:rPr>
            </w:pPr>
            <w:r>
              <w:rPr>
                <w:rFonts w:ascii="Arial" w:cs="Arial" w:eastAsia="Arial" w:hAnsi="Arial"/>
                <w:sz w:val="17"/>
                <w:szCs w:val="17"/>
                <w:color w:val="auto"/>
              </w:rPr>
              <w:t>38</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28.</w:t>
            </w:r>
          </w:p>
        </w:tc>
        <w:tc>
          <w:tcPr>
            <w:tcW w:w="7540" w:type="dxa"/>
            <w:vAlign w:val="bottom"/>
          </w:tcPr>
          <w:p>
            <w:pPr>
              <w:ind w:left="160"/>
              <w:spacing w:after="0"/>
              <w:rPr>
                <w:sz w:val="20"/>
                <w:szCs w:val="20"/>
                <w:color w:val="auto"/>
              </w:rPr>
            </w:pPr>
            <w:r>
              <w:rPr>
                <w:rFonts w:ascii="Arial" w:cs="Arial" w:eastAsia="Arial" w:hAnsi="Arial"/>
                <w:sz w:val="17"/>
                <w:szCs w:val="17"/>
                <w:color w:val="auto"/>
              </w:rPr>
              <w:t>CONSENTS AND APPROVALS</w:t>
            </w:r>
          </w:p>
        </w:tc>
        <w:tc>
          <w:tcPr>
            <w:tcW w:w="3320" w:type="dxa"/>
            <w:vAlign w:val="bottom"/>
          </w:tcPr>
          <w:p>
            <w:pPr>
              <w:ind w:left="2900"/>
              <w:spacing w:after="0"/>
              <w:rPr>
                <w:sz w:val="20"/>
                <w:szCs w:val="20"/>
                <w:color w:val="auto"/>
              </w:rPr>
            </w:pPr>
            <w:r>
              <w:rPr>
                <w:rFonts w:ascii="Arial" w:cs="Arial" w:eastAsia="Arial" w:hAnsi="Arial"/>
                <w:sz w:val="17"/>
                <w:szCs w:val="17"/>
                <w:color w:val="auto"/>
              </w:rPr>
              <w:t>38</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29.</w:t>
            </w:r>
          </w:p>
        </w:tc>
        <w:tc>
          <w:tcPr>
            <w:tcW w:w="7540" w:type="dxa"/>
            <w:vAlign w:val="bottom"/>
          </w:tcPr>
          <w:p>
            <w:pPr>
              <w:ind w:left="160"/>
              <w:spacing w:after="0"/>
              <w:rPr>
                <w:sz w:val="20"/>
                <w:szCs w:val="20"/>
                <w:color w:val="auto"/>
              </w:rPr>
            </w:pPr>
            <w:r>
              <w:rPr>
                <w:rFonts w:ascii="Arial" w:cs="Arial" w:eastAsia="Arial" w:hAnsi="Arial"/>
                <w:sz w:val="17"/>
                <w:szCs w:val="17"/>
                <w:color w:val="auto"/>
              </w:rPr>
              <w:t>BROKERS</w:t>
            </w:r>
          </w:p>
        </w:tc>
        <w:tc>
          <w:tcPr>
            <w:tcW w:w="3320" w:type="dxa"/>
            <w:vAlign w:val="bottom"/>
          </w:tcPr>
          <w:p>
            <w:pPr>
              <w:ind w:left="2900"/>
              <w:spacing w:after="0"/>
              <w:rPr>
                <w:sz w:val="20"/>
                <w:szCs w:val="20"/>
                <w:color w:val="auto"/>
              </w:rPr>
            </w:pPr>
            <w:r>
              <w:rPr>
                <w:rFonts w:ascii="Arial" w:cs="Arial" w:eastAsia="Arial" w:hAnsi="Arial"/>
                <w:sz w:val="17"/>
                <w:szCs w:val="17"/>
                <w:color w:val="auto"/>
              </w:rPr>
              <w:t>38</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30.</w:t>
            </w:r>
          </w:p>
        </w:tc>
        <w:tc>
          <w:tcPr>
            <w:tcW w:w="7540" w:type="dxa"/>
            <w:vAlign w:val="bottom"/>
          </w:tcPr>
          <w:p>
            <w:pPr>
              <w:ind w:left="160"/>
              <w:spacing w:after="0"/>
              <w:rPr>
                <w:sz w:val="20"/>
                <w:szCs w:val="20"/>
                <w:color w:val="auto"/>
              </w:rPr>
            </w:pPr>
            <w:r>
              <w:rPr>
                <w:rFonts w:ascii="Arial" w:cs="Arial" w:eastAsia="Arial" w:hAnsi="Arial"/>
                <w:sz w:val="17"/>
                <w:szCs w:val="17"/>
                <w:color w:val="auto"/>
              </w:rPr>
              <w:t>ENTIRE AGREEMENT</w:t>
            </w:r>
          </w:p>
        </w:tc>
        <w:tc>
          <w:tcPr>
            <w:tcW w:w="3320" w:type="dxa"/>
            <w:vAlign w:val="bottom"/>
          </w:tcPr>
          <w:p>
            <w:pPr>
              <w:ind w:left="2900"/>
              <w:spacing w:after="0"/>
              <w:rPr>
                <w:sz w:val="20"/>
                <w:szCs w:val="20"/>
                <w:color w:val="auto"/>
              </w:rPr>
            </w:pPr>
            <w:r>
              <w:rPr>
                <w:rFonts w:ascii="Arial" w:cs="Arial" w:eastAsia="Arial" w:hAnsi="Arial"/>
                <w:sz w:val="17"/>
                <w:szCs w:val="17"/>
                <w:color w:val="auto"/>
              </w:rPr>
              <w:t>39</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31.</w:t>
            </w:r>
          </w:p>
        </w:tc>
        <w:tc>
          <w:tcPr>
            <w:tcW w:w="7540" w:type="dxa"/>
            <w:vAlign w:val="bottom"/>
          </w:tcPr>
          <w:p>
            <w:pPr>
              <w:ind w:left="160"/>
              <w:spacing w:after="0"/>
              <w:rPr>
                <w:sz w:val="20"/>
                <w:szCs w:val="20"/>
                <w:color w:val="auto"/>
              </w:rPr>
            </w:pPr>
            <w:r>
              <w:rPr>
                <w:rFonts w:ascii="Arial" w:cs="Arial" w:eastAsia="Arial" w:hAnsi="Arial"/>
                <w:sz w:val="17"/>
                <w:szCs w:val="17"/>
                <w:color w:val="auto"/>
              </w:rPr>
              <w:t>MISCELLANEOUS</w:t>
            </w:r>
          </w:p>
        </w:tc>
        <w:tc>
          <w:tcPr>
            <w:tcW w:w="3320" w:type="dxa"/>
            <w:vAlign w:val="bottom"/>
          </w:tcPr>
          <w:p>
            <w:pPr>
              <w:ind w:left="2900"/>
              <w:spacing w:after="0"/>
              <w:rPr>
                <w:sz w:val="20"/>
                <w:szCs w:val="20"/>
                <w:color w:val="auto"/>
              </w:rPr>
            </w:pPr>
            <w:r>
              <w:rPr>
                <w:rFonts w:ascii="Arial" w:cs="Arial" w:eastAsia="Arial" w:hAnsi="Arial"/>
                <w:sz w:val="17"/>
                <w:szCs w:val="17"/>
                <w:color w:val="auto"/>
              </w:rPr>
              <w:t>39</w:t>
            </w:r>
          </w:p>
        </w:tc>
      </w:tr>
      <w:tr>
        <w:trPr>
          <w:trHeight w:val="202"/>
        </w:trPr>
        <w:tc>
          <w:tcPr>
            <w:tcW w:w="560" w:type="dxa"/>
            <w:vAlign w:val="bottom"/>
          </w:tcPr>
          <w:p>
            <w:pPr>
              <w:spacing w:after="0"/>
              <w:rPr>
                <w:sz w:val="20"/>
                <w:szCs w:val="20"/>
                <w:color w:val="auto"/>
              </w:rPr>
            </w:pPr>
            <w:r>
              <w:rPr>
                <w:rFonts w:ascii="Arial" w:cs="Arial" w:eastAsia="Arial" w:hAnsi="Arial"/>
                <w:sz w:val="17"/>
                <w:szCs w:val="17"/>
                <w:color w:val="auto"/>
              </w:rPr>
              <w:t>32.</w:t>
            </w:r>
          </w:p>
        </w:tc>
        <w:tc>
          <w:tcPr>
            <w:tcW w:w="7540" w:type="dxa"/>
            <w:vAlign w:val="bottom"/>
          </w:tcPr>
          <w:p>
            <w:pPr>
              <w:ind w:left="160"/>
              <w:spacing w:after="0"/>
              <w:rPr>
                <w:sz w:val="20"/>
                <w:szCs w:val="20"/>
                <w:color w:val="auto"/>
              </w:rPr>
            </w:pPr>
            <w:r>
              <w:rPr>
                <w:rFonts w:ascii="Arial" w:cs="Arial" w:eastAsia="Arial" w:hAnsi="Arial"/>
                <w:sz w:val="17"/>
                <w:szCs w:val="17"/>
                <w:color w:val="auto"/>
              </w:rPr>
              <w:t>AUTHORITY</w:t>
            </w:r>
          </w:p>
        </w:tc>
        <w:tc>
          <w:tcPr>
            <w:tcW w:w="3320" w:type="dxa"/>
            <w:vAlign w:val="bottom"/>
          </w:tcPr>
          <w:p>
            <w:pPr>
              <w:ind w:left="2900"/>
              <w:spacing w:after="0"/>
              <w:rPr>
                <w:sz w:val="20"/>
                <w:szCs w:val="20"/>
                <w:color w:val="auto"/>
              </w:rPr>
            </w:pPr>
            <w:r>
              <w:rPr>
                <w:rFonts w:ascii="Arial" w:cs="Arial" w:eastAsia="Arial" w:hAnsi="Arial"/>
                <w:sz w:val="17"/>
                <w:szCs w:val="17"/>
                <w:color w:val="auto"/>
              </w:rPr>
              <w:t>39</w:t>
            </w:r>
          </w:p>
        </w:tc>
      </w:tr>
      <w:tr>
        <w:trPr>
          <w:trHeight w:val="214"/>
        </w:trPr>
        <w:tc>
          <w:tcPr>
            <w:tcW w:w="560" w:type="dxa"/>
            <w:vAlign w:val="bottom"/>
          </w:tcPr>
          <w:p>
            <w:pPr>
              <w:spacing w:after="0"/>
              <w:rPr>
                <w:sz w:val="20"/>
                <w:szCs w:val="20"/>
                <w:color w:val="auto"/>
              </w:rPr>
            </w:pPr>
            <w:r>
              <w:rPr>
                <w:rFonts w:ascii="Arial" w:cs="Arial" w:eastAsia="Arial" w:hAnsi="Arial"/>
                <w:sz w:val="17"/>
                <w:szCs w:val="17"/>
                <w:color w:val="auto"/>
              </w:rPr>
              <w:t>33.</w:t>
            </w:r>
          </w:p>
        </w:tc>
        <w:tc>
          <w:tcPr>
            <w:tcW w:w="7540" w:type="dxa"/>
            <w:vAlign w:val="bottom"/>
          </w:tcPr>
          <w:p>
            <w:pPr>
              <w:ind w:left="160"/>
              <w:spacing w:after="0"/>
              <w:rPr>
                <w:sz w:val="20"/>
                <w:szCs w:val="20"/>
                <w:color w:val="auto"/>
              </w:rPr>
            </w:pPr>
            <w:r>
              <w:rPr>
                <w:rFonts w:ascii="Arial" w:cs="Arial" w:eastAsia="Arial" w:hAnsi="Arial"/>
                <w:sz w:val="17"/>
                <w:szCs w:val="17"/>
                <w:color w:val="auto"/>
              </w:rPr>
              <w:t>DUTY TO COOPERATE</w:t>
            </w:r>
          </w:p>
        </w:tc>
        <w:tc>
          <w:tcPr>
            <w:tcW w:w="3320" w:type="dxa"/>
            <w:vAlign w:val="bottom"/>
          </w:tcPr>
          <w:p>
            <w:pPr>
              <w:ind w:left="2900"/>
              <w:spacing w:after="0"/>
              <w:rPr>
                <w:sz w:val="20"/>
                <w:szCs w:val="20"/>
                <w:color w:val="auto"/>
              </w:rPr>
            </w:pPr>
            <w:r>
              <w:rPr>
                <w:rFonts w:ascii="Arial" w:cs="Arial" w:eastAsia="Arial" w:hAnsi="Arial"/>
                <w:sz w:val="17"/>
                <w:szCs w:val="17"/>
                <w:color w:val="auto"/>
              </w:rPr>
              <w:t>40</w:t>
            </w:r>
          </w:p>
        </w:tc>
      </w:tr>
      <w:tr>
        <w:trPr>
          <w:trHeight w:val="406"/>
        </w:trPr>
        <w:tc>
          <w:tcPr>
            <w:tcW w:w="5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3"/>
        </w:trPr>
        <w:tc>
          <w:tcPr>
            <w:tcW w:w="560" w:type="dxa"/>
            <w:vAlign w:val="bottom"/>
            <w:shd w:val="clear" w:color="auto" w:fill="000000"/>
          </w:tcPr>
          <w:p>
            <w:pPr>
              <w:spacing w:after="0"/>
              <w:rPr>
                <w:sz w:val="5"/>
                <w:szCs w:val="5"/>
                <w:color w:val="auto"/>
              </w:rPr>
            </w:pPr>
          </w:p>
        </w:tc>
        <w:tc>
          <w:tcPr>
            <w:tcW w:w="75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355"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0" w:type="dxa"/>
            <w:vAlign w:val="bottom"/>
          </w:tcPr>
          <w:p>
            <w:pPr>
              <w:jc w:val="right"/>
              <w:ind w:right="176"/>
              <w:spacing w:after="0"/>
              <w:rPr>
                <w:sz w:val="20"/>
                <w:szCs w:val="20"/>
                <w:color w:val="auto"/>
              </w:rPr>
            </w:pPr>
            <w:r>
              <w:rPr>
                <w:rFonts w:ascii="Arial" w:cs="Arial" w:eastAsia="Arial" w:hAnsi="Arial"/>
                <w:sz w:val="17"/>
                <w:szCs w:val="17"/>
                <w:color w:val="auto"/>
                <w:w w:val="84"/>
              </w:rPr>
              <w:t>34.</w:t>
            </w:r>
          </w:p>
        </w:tc>
        <w:tc>
          <w:tcPr>
            <w:tcW w:w="7920" w:type="dxa"/>
            <w:vAlign w:val="bottom"/>
          </w:tcPr>
          <w:p>
            <w:pPr>
              <w:ind w:left="280"/>
              <w:spacing w:after="0"/>
              <w:rPr>
                <w:sz w:val="20"/>
                <w:szCs w:val="20"/>
                <w:color w:val="auto"/>
              </w:rPr>
            </w:pPr>
            <w:r>
              <w:rPr>
                <w:rFonts w:ascii="Arial" w:cs="Arial" w:eastAsia="Arial" w:hAnsi="Arial"/>
                <w:sz w:val="17"/>
                <w:szCs w:val="17"/>
                <w:color w:val="auto"/>
              </w:rPr>
              <w:t>ACCESS FOR OPTION PROPERTY PARKING AREA</w:t>
            </w:r>
          </w:p>
        </w:tc>
        <w:tc>
          <w:tcPr>
            <w:tcW w:w="3020" w:type="dxa"/>
            <w:vAlign w:val="bottom"/>
          </w:tcPr>
          <w:p>
            <w:pPr>
              <w:jc w:val="right"/>
              <w:ind w:right="76"/>
              <w:spacing w:after="0"/>
              <w:rPr>
                <w:sz w:val="20"/>
                <w:szCs w:val="20"/>
                <w:color w:val="auto"/>
              </w:rPr>
            </w:pPr>
            <w:r>
              <w:rPr>
                <w:rFonts w:ascii="Arial" w:cs="Arial" w:eastAsia="Arial" w:hAnsi="Arial"/>
                <w:sz w:val="17"/>
                <w:szCs w:val="17"/>
                <w:color w:val="auto"/>
              </w:rPr>
              <w:t>41</w:t>
            </w:r>
          </w:p>
        </w:tc>
      </w:tr>
      <w:tr>
        <w:trPr>
          <w:trHeight w:val="202"/>
        </w:trPr>
        <w:tc>
          <w:tcPr>
            <w:tcW w:w="480" w:type="dxa"/>
            <w:vAlign w:val="bottom"/>
          </w:tcPr>
          <w:p>
            <w:pPr>
              <w:jc w:val="right"/>
              <w:ind w:right="176"/>
              <w:spacing w:after="0"/>
              <w:rPr>
                <w:sz w:val="20"/>
                <w:szCs w:val="20"/>
                <w:color w:val="auto"/>
              </w:rPr>
            </w:pPr>
            <w:r>
              <w:rPr>
                <w:rFonts w:ascii="Arial" w:cs="Arial" w:eastAsia="Arial" w:hAnsi="Arial"/>
                <w:sz w:val="17"/>
                <w:szCs w:val="17"/>
                <w:color w:val="auto"/>
                <w:w w:val="84"/>
              </w:rPr>
              <w:t>35.</w:t>
            </w:r>
          </w:p>
        </w:tc>
        <w:tc>
          <w:tcPr>
            <w:tcW w:w="7920" w:type="dxa"/>
            <w:vAlign w:val="bottom"/>
          </w:tcPr>
          <w:p>
            <w:pPr>
              <w:ind w:left="280"/>
              <w:spacing w:after="0"/>
              <w:rPr>
                <w:sz w:val="20"/>
                <w:szCs w:val="20"/>
                <w:color w:val="auto"/>
              </w:rPr>
            </w:pPr>
            <w:r>
              <w:rPr>
                <w:rFonts w:ascii="Arial" w:cs="Arial" w:eastAsia="Arial" w:hAnsi="Arial"/>
                <w:sz w:val="17"/>
                <w:szCs w:val="17"/>
                <w:color w:val="auto"/>
              </w:rPr>
              <w:t>TENANT'S RIGHT TO SELF MANAGE</w:t>
            </w:r>
          </w:p>
        </w:tc>
        <w:tc>
          <w:tcPr>
            <w:tcW w:w="3020" w:type="dxa"/>
            <w:vAlign w:val="bottom"/>
          </w:tcPr>
          <w:p>
            <w:pPr>
              <w:jc w:val="right"/>
              <w:ind w:right="76"/>
              <w:spacing w:after="0"/>
              <w:rPr>
                <w:sz w:val="20"/>
                <w:szCs w:val="20"/>
                <w:color w:val="auto"/>
              </w:rPr>
            </w:pPr>
            <w:r>
              <w:rPr>
                <w:rFonts w:ascii="Arial" w:cs="Arial" w:eastAsia="Arial" w:hAnsi="Arial"/>
                <w:sz w:val="17"/>
                <w:szCs w:val="17"/>
                <w:color w:val="auto"/>
              </w:rPr>
              <w:t>41</w:t>
            </w:r>
          </w:p>
        </w:tc>
      </w:tr>
      <w:tr>
        <w:trPr>
          <w:trHeight w:val="202"/>
        </w:trPr>
        <w:tc>
          <w:tcPr>
            <w:tcW w:w="480" w:type="dxa"/>
            <w:vAlign w:val="bottom"/>
          </w:tcPr>
          <w:p>
            <w:pPr>
              <w:jc w:val="right"/>
              <w:ind w:right="176"/>
              <w:spacing w:after="0"/>
              <w:rPr>
                <w:sz w:val="20"/>
                <w:szCs w:val="20"/>
                <w:color w:val="auto"/>
              </w:rPr>
            </w:pPr>
            <w:r>
              <w:rPr>
                <w:rFonts w:ascii="Arial" w:cs="Arial" w:eastAsia="Arial" w:hAnsi="Arial"/>
                <w:sz w:val="17"/>
                <w:szCs w:val="17"/>
                <w:color w:val="auto"/>
                <w:w w:val="84"/>
              </w:rPr>
              <w:t>36.</w:t>
            </w:r>
          </w:p>
        </w:tc>
        <w:tc>
          <w:tcPr>
            <w:tcW w:w="7920" w:type="dxa"/>
            <w:vAlign w:val="bottom"/>
          </w:tcPr>
          <w:p>
            <w:pPr>
              <w:ind w:left="280"/>
              <w:spacing w:after="0"/>
              <w:rPr>
                <w:sz w:val="20"/>
                <w:szCs w:val="20"/>
                <w:color w:val="auto"/>
              </w:rPr>
            </w:pPr>
            <w:r>
              <w:rPr>
                <w:rFonts w:ascii="Arial" w:cs="Arial" w:eastAsia="Arial" w:hAnsi="Arial"/>
                <w:sz w:val="17"/>
                <w:szCs w:val="17"/>
                <w:color w:val="auto"/>
              </w:rPr>
              <w:t>LIMITED GUARANTY</w:t>
            </w:r>
          </w:p>
        </w:tc>
        <w:tc>
          <w:tcPr>
            <w:tcW w:w="3020" w:type="dxa"/>
            <w:vAlign w:val="bottom"/>
          </w:tcPr>
          <w:p>
            <w:pPr>
              <w:jc w:val="right"/>
              <w:ind w:right="76"/>
              <w:spacing w:after="0"/>
              <w:rPr>
                <w:sz w:val="20"/>
                <w:szCs w:val="20"/>
                <w:color w:val="auto"/>
              </w:rPr>
            </w:pPr>
            <w:r>
              <w:rPr>
                <w:rFonts w:ascii="Arial" w:cs="Arial" w:eastAsia="Arial" w:hAnsi="Arial"/>
                <w:sz w:val="17"/>
                <w:szCs w:val="17"/>
                <w:color w:val="auto"/>
              </w:rPr>
              <w:t>42</w:t>
            </w:r>
          </w:p>
        </w:tc>
      </w:tr>
      <w:tr>
        <w:trPr>
          <w:trHeight w:val="202"/>
        </w:trPr>
        <w:tc>
          <w:tcPr>
            <w:tcW w:w="480" w:type="dxa"/>
            <w:vAlign w:val="bottom"/>
          </w:tcPr>
          <w:p>
            <w:pPr>
              <w:jc w:val="right"/>
              <w:ind w:right="176"/>
              <w:spacing w:after="0"/>
              <w:rPr>
                <w:sz w:val="20"/>
                <w:szCs w:val="20"/>
                <w:color w:val="auto"/>
              </w:rPr>
            </w:pPr>
            <w:r>
              <w:rPr>
                <w:rFonts w:ascii="Arial" w:cs="Arial" w:eastAsia="Arial" w:hAnsi="Arial"/>
                <w:sz w:val="17"/>
                <w:szCs w:val="17"/>
                <w:color w:val="auto"/>
                <w:w w:val="84"/>
              </w:rPr>
              <w:t>37.</w:t>
            </w:r>
          </w:p>
        </w:tc>
        <w:tc>
          <w:tcPr>
            <w:tcW w:w="7920" w:type="dxa"/>
            <w:vAlign w:val="bottom"/>
          </w:tcPr>
          <w:p>
            <w:pPr>
              <w:ind w:left="280"/>
              <w:spacing w:after="0"/>
              <w:rPr>
                <w:sz w:val="20"/>
                <w:szCs w:val="20"/>
                <w:color w:val="auto"/>
              </w:rPr>
            </w:pPr>
            <w:r>
              <w:rPr>
                <w:rFonts w:ascii="Arial" w:cs="Arial" w:eastAsia="Arial" w:hAnsi="Arial"/>
                <w:sz w:val="17"/>
                <w:szCs w:val="17"/>
                <w:color w:val="auto"/>
              </w:rPr>
              <w:t>CANCELLATION UPON RE-VESTING OR REPURCHASE BY CITY</w:t>
            </w:r>
          </w:p>
        </w:tc>
        <w:tc>
          <w:tcPr>
            <w:tcW w:w="3020" w:type="dxa"/>
            <w:vAlign w:val="bottom"/>
          </w:tcPr>
          <w:p>
            <w:pPr>
              <w:jc w:val="right"/>
              <w:ind w:right="76"/>
              <w:spacing w:after="0"/>
              <w:rPr>
                <w:sz w:val="20"/>
                <w:szCs w:val="20"/>
                <w:color w:val="auto"/>
              </w:rPr>
            </w:pPr>
            <w:r>
              <w:rPr>
                <w:rFonts w:ascii="Arial" w:cs="Arial" w:eastAsia="Arial" w:hAnsi="Arial"/>
                <w:sz w:val="17"/>
                <w:szCs w:val="17"/>
                <w:color w:val="auto"/>
              </w:rPr>
              <w:t>42</w:t>
            </w:r>
          </w:p>
        </w:tc>
      </w:tr>
      <w:tr>
        <w:trPr>
          <w:trHeight w:val="214"/>
        </w:trPr>
        <w:tc>
          <w:tcPr>
            <w:tcW w:w="480" w:type="dxa"/>
            <w:vAlign w:val="bottom"/>
          </w:tcPr>
          <w:p>
            <w:pPr>
              <w:jc w:val="right"/>
              <w:ind w:right="176"/>
              <w:spacing w:after="0"/>
              <w:rPr>
                <w:sz w:val="20"/>
                <w:szCs w:val="20"/>
                <w:color w:val="auto"/>
              </w:rPr>
            </w:pPr>
            <w:r>
              <w:rPr>
                <w:rFonts w:ascii="Arial" w:cs="Arial" w:eastAsia="Arial" w:hAnsi="Arial"/>
                <w:sz w:val="17"/>
                <w:szCs w:val="17"/>
                <w:color w:val="auto"/>
                <w:w w:val="84"/>
              </w:rPr>
              <w:t>38.</w:t>
            </w:r>
          </w:p>
        </w:tc>
        <w:tc>
          <w:tcPr>
            <w:tcW w:w="7920" w:type="dxa"/>
            <w:vAlign w:val="bottom"/>
          </w:tcPr>
          <w:p>
            <w:pPr>
              <w:ind w:left="280"/>
              <w:spacing w:after="0"/>
              <w:rPr>
                <w:sz w:val="20"/>
                <w:szCs w:val="20"/>
                <w:color w:val="auto"/>
              </w:rPr>
            </w:pPr>
            <w:r>
              <w:rPr>
                <w:rFonts w:ascii="Arial" w:cs="Arial" w:eastAsia="Arial" w:hAnsi="Arial"/>
                <w:sz w:val="17"/>
                <w:szCs w:val="17"/>
                <w:color w:val="auto"/>
              </w:rPr>
              <w:t>CONTINGENCY</w:t>
            </w:r>
          </w:p>
        </w:tc>
        <w:tc>
          <w:tcPr>
            <w:tcW w:w="3020" w:type="dxa"/>
            <w:vAlign w:val="bottom"/>
          </w:tcPr>
          <w:p>
            <w:pPr>
              <w:jc w:val="right"/>
              <w:ind w:right="76"/>
              <w:spacing w:after="0"/>
              <w:rPr>
                <w:sz w:val="20"/>
                <w:szCs w:val="20"/>
                <w:color w:val="auto"/>
              </w:rPr>
            </w:pPr>
            <w:r>
              <w:rPr>
                <w:rFonts w:ascii="Arial" w:cs="Arial" w:eastAsia="Arial" w:hAnsi="Arial"/>
                <w:sz w:val="17"/>
                <w:szCs w:val="17"/>
                <w:color w:val="auto"/>
              </w:rPr>
              <w:t>43</w:t>
            </w:r>
          </w:p>
        </w:tc>
      </w:tr>
      <w:tr>
        <w:trPr>
          <w:trHeight w:val="1620"/>
        </w:trPr>
        <w:tc>
          <w:tcPr>
            <w:tcW w:w="4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63"/>
        </w:trPr>
        <w:tc>
          <w:tcPr>
            <w:tcW w:w="480" w:type="dxa"/>
            <w:vAlign w:val="bottom"/>
            <w:shd w:val="clear" w:color="auto" w:fill="000000"/>
          </w:tcPr>
          <w:p>
            <w:pPr>
              <w:spacing w:after="0"/>
              <w:rPr>
                <w:sz w:val="5"/>
                <w:szCs w:val="5"/>
                <w:color w:val="auto"/>
              </w:rPr>
            </w:pPr>
          </w:p>
        </w:tc>
        <w:tc>
          <w:tcPr>
            <w:tcW w:w="7920" w:type="dxa"/>
            <w:vAlign w:val="bottom"/>
            <w:shd w:val="clear" w:color="auto" w:fill="000000"/>
          </w:tcPr>
          <w:p>
            <w:pPr>
              <w:spacing w:after="0"/>
              <w:rPr>
                <w:sz w:val="5"/>
                <w:szCs w:val="5"/>
                <w:color w:val="auto"/>
              </w:rPr>
            </w:pPr>
          </w:p>
        </w:tc>
        <w:tc>
          <w:tcPr>
            <w:tcW w:w="30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329" w:right="2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80" w:type="dxa"/>
            <w:vAlign w:val="bottom"/>
          </w:tcPr>
          <w:p>
            <w:pPr>
              <w:spacing w:after="0"/>
              <w:rPr>
                <w:sz w:val="20"/>
                <w:szCs w:val="20"/>
                <w:color w:val="auto"/>
              </w:rPr>
            </w:pPr>
            <w:r>
              <w:rPr>
                <w:rFonts w:ascii="Arial" w:cs="Arial" w:eastAsia="Arial" w:hAnsi="Arial"/>
                <w:sz w:val="17"/>
                <w:szCs w:val="17"/>
                <w:b w:val="1"/>
                <w:bCs w:val="1"/>
                <w:color w:val="auto"/>
              </w:rPr>
              <w:t>BASIC LEASE INFORMATION</w:t>
            </w: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7"/>
        </w:trPr>
        <w:tc>
          <w:tcPr>
            <w:tcW w:w="3780" w:type="dxa"/>
            <w:vAlign w:val="bottom"/>
          </w:tcPr>
          <w:p>
            <w:pPr>
              <w:spacing w:after="0"/>
              <w:rPr>
                <w:sz w:val="20"/>
                <w:szCs w:val="20"/>
                <w:color w:val="auto"/>
              </w:rPr>
            </w:pPr>
            <w:r>
              <w:rPr>
                <w:rFonts w:ascii="Arial" w:cs="Arial" w:eastAsia="Arial" w:hAnsi="Arial"/>
                <w:sz w:val="17"/>
                <w:szCs w:val="17"/>
                <w:b w:val="1"/>
                <w:bCs w:val="1"/>
                <w:color w:val="auto"/>
              </w:rPr>
              <w:t>Lease Date:</w:t>
            </w:r>
          </w:p>
        </w:tc>
        <w:tc>
          <w:tcPr>
            <w:tcW w:w="7640" w:type="dxa"/>
            <w:vAlign w:val="bottom"/>
            <w:gridSpan w:val="4"/>
          </w:tcPr>
          <w:p>
            <w:pPr>
              <w:spacing w:after="0"/>
              <w:rPr>
                <w:sz w:val="20"/>
                <w:szCs w:val="20"/>
                <w:color w:val="auto"/>
              </w:rPr>
            </w:pPr>
            <w:r>
              <w:rPr>
                <w:rFonts w:ascii="Arial" w:cs="Arial" w:eastAsia="Arial" w:hAnsi="Arial"/>
                <w:sz w:val="17"/>
                <w:szCs w:val="17"/>
                <w:color w:val="auto"/>
              </w:rPr>
              <w:t>For identification purposes only, the date of this Lease is October 1, 2007.</w:t>
            </w:r>
          </w:p>
        </w:tc>
        <w:tc>
          <w:tcPr>
            <w:tcW w:w="0" w:type="dxa"/>
            <w:vAlign w:val="bottom"/>
          </w:tcPr>
          <w:p>
            <w:pPr>
              <w:spacing w:after="0"/>
              <w:rPr>
                <w:sz w:val="1"/>
                <w:szCs w:val="1"/>
                <w:color w:val="auto"/>
              </w:rPr>
            </w:pPr>
          </w:p>
        </w:tc>
      </w:tr>
      <w:tr>
        <w:trPr>
          <w:trHeight w:val="405"/>
        </w:trPr>
        <w:tc>
          <w:tcPr>
            <w:tcW w:w="3780" w:type="dxa"/>
            <w:vAlign w:val="bottom"/>
          </w:tcPr>
          <w:p>
            <w:pPr>
              <w:spacing w:after="0"/>
              <w:rPr>
                <w:sz w:val="20"/>
                <w:szCs w:val="20"/>
                <w:color w:val="auto"/>
              </w:rPr>
            </w:pPr>
            <w:r>
              <w:rPr>
                <w:rFonts w:ascii="Arial" w:cs="Arial" w:eastAsia="Arial" w:hAnsi="Arial"/>
                <w:sz w:val="17"/>
                <w:szCs w:val="17"/>
                <w:b w:val="1"/>
                <w:bCs w:val="1"/>
                <w:color w:val="auto"/>
              </w:rPr>
              <w:t>Landlord:</w:t>
            </w:r>
          </w:p>
        </w:tc>
        <w:tc>
          <w:tcPr>
            <w:tcW w:w="7640" w:type="dxa"/>
            <w:vAlign w:val="bottom"/>
            <w:gridSpan w:val="4"/>
          </w:tcPr>
          <w:p>
            <w:pPr>
              <w:spacing w:after="0"/>
              <w:rPr>
                <w:sz w:val="20"/>
                <w:szCs w:val="20"/>
                <w:color w:val="auto"/>
              </w:rPr>
            </w:pPr>
            <w:r>
              <w:rPr>
                <w:rFonts w:ascii="Arial" w:cs="Arial" w:eastAsia="Arial" w:hAnsi="Arial"/>
                <w:sz w:val="17"/>
                <w:szCs w:val="17"/>
                <w:color w:val="auto"/>
              </w:rPr>
              <w:t>NEW BRIGHTON 14TH STREET LLC, a Minnesota limited liability company</w:t>
            </w:r>
          </w:p>
        </w:tc>
        <w:tc>
          <w:tcPr>
            <w:tcW w:w="0" w:type="dxa"/>
            <w:vAlign w:val="bottom"/>
          </w:tcPr>
          <w:p>
            <w:pPr>
              <w:spacing w:after="0"/>
              <w:rPr>
                <w:sz w:val="1"/>
                <w:szCs w:val="1"/>
                <w:color w:val="auto"/>
              </w:rPr>
            </w:pPr>
          </w:p>
        </w:tc>
      </w:tr>
      <w:tr>
        <w:trPr>
          <w:trHeight w:val="405"/>
        </w:trPr>
        <w:tc>
          <w:tcPr>
            <w:tcW w:w="3780" w:type="dxa"/>
            <w:vAlign w:val="bottom"/>
          </w:tcPr>
          <w:p>
            <w:pPr>
              <w:spacing w:after="0"/>
              <w:rPr>
                <w:sz w:val="20"/>
                <w:szCs w:val="20"/>
                <w:color w:val="auto"/>
              </w:rPr>
            </w:pPr>
            <w:r>
              <w:rPr>
                <w:rFonts w:ascii="Arial" w:cs="Arial" w:eastAsia="Arial" w:hAnsi="Arial"/>
                <w:sz w:val="17"/>
                <w:szCs w:val="17"/>
                <w:b w:val="1"/>
                <w:bCs w:val="1"/>
                <w:color w:val="auto"/>
              </w:rPr>
              <w:t>Tenant:</w:t>
            </w:r>
          </w:p>
        </w:tc>
        <w:tc>
          <w:tcPr>
            <w:tcW w:w="7640" w:type="dxa"/>
            <w:vAlign w:val="bottom"/>
            <w:gridSpan w:val="4"/>
          </w:tcPr>
          <w:p>
            <w:pPr>
              <w:spacing w:after="0"/>
              <w:rPr>
                <w:sz w:val="20"/>
                <w:szCs w:val="20"/>
                <w:color w:val="auto"/>
              </w:rPr>
            </w:pPr>
            <w:r>
              <w:rPr>
                <w:rFonts w:ascii="Arial" w:cs="Arial" w:eastAsia="Arial" w:hAnsi="Arial"/>
                <w:sz w:val="17"/>
                <w:szCs w:val="17"/>
                <w:color w:val="auto"/>
              </w:rPr>
              <w:t>TRANSOMA MEDICAL, INC., a Delaware corporation</w:t>
            </w:r>
          </w:p>
        </w:tc>
        <w:tc>
          <w:tcPr>
            <w:tcW w:w="0" w:type="dxa"/>
            <w:vAlign w:val="bottom"/>
          </w:tcPr>
          <w:p>
            <w:pPr>
              <w:spacing w:after="0"/>
              <w:rPr>
                <w:sz w:val="1"/>
                <w:szCs w:val="1"/>
                <w:color w:val="auto"/>
              </w:rPr>
            </w:pPr>
          </w:p>
        </w:tc>
      </w:tr>
      <w:tr>
        <w:trPr>
          <w:trHeight w:val="393"/>
        </w:trPr>
        <w:tc>
          <w:tcPr>
            <w:tcW w:w="3780" w:type="dxa"/>
            <w:vAlign w:val="bottom"/>
          </w:tcPr>
          <w:p>
            <w:pPr>
              <w:spacing w:after="0"/>
              <w:rPr>
                <w:sz w:val="20"/>
                <w:szCs w:val="20"/>
                <w:color w:val="auto"/>
              </w:rPr>
            </w:pPr>
            <w:r>
              <w:rPr>
                <w:rFonts w:ascii="Arial" w:cs="Arial" w:eastAsia="Arial" w:hAnsi="Arial"/>
                <w:sz w:val="17"/>
                <w:szCs w:val="17"/>
                <w:b w:val="1"/>
                <w:bCs w:val="1"/>
                <w:color w:val="auto"/>
              </w:rPr>
              <w:t>Premises:</w:t>
            </w:r>
          </w:p>
        </w:tc>
        <w:tc>
          <w:tcPr>
            <w:tcW w:w="7640" w:type="dxa"/>
            <w:vAlign w:val="bottom"/>
            <w:gridSpan w:val="4"/>
          </w:tcPr>
          <w:p>
            <w:pPr>
              <w:spacing w:after="0"/>
              <w:rPr>
                <w:sz w:val="20"/>
                <w:szCs w:val="20"/>
                <w:color w:val="auto"/>
              </w:rPr>
            </w:pPr>
            <w:r>
              <w:rPr>
                <w:rFonts w:ascii="Arial" w:cs="Arial" w:eastAsia="Arial" w:hAnsi="Arial"/>
                <w:sz w:val="17"/>
                <w:szCs w:val="17"/>
                <w:color w:val="auto"/>
                <w:w w:val="99"/>
              </w:rPr>
              <w:t>A two-story building to be built, consisting of approximately 115,849 square feet of Rentable Area, (the</w:t>
            </w:r>
          </w:p>
        </w:tc>
        <w:tc>
          <w:tcPr>
            <w:tcW w:w="0" w:type="dxa"/>
            <w:vAlign w:val="bottom"/>
          </w:tcPr>
          <w:p>
            <w:pPr>
              <w:spacing w:after="0"/>
              <w:rPr>
                <w:sz w:val="1"/>
                <w:szCs w:val="1"/>
                <w:color w:val="auto"/>
              </w:rPr>
            </w:pPr>
          </w:p>
        </w:tc>
      </w:tr>
      <w:tr>
        <w:trPr>
          <w:trHeight w:val="202"/>
        </w:trPr>
        <w:tc>
          <w:tcPr>
            <w:tcW w:w="3780" w:type="dxa"/>
            <w:vAlign w:val="bottom"/>
          </w:tcPr>
          <w:p>
            <w:pPr>
              <w:spacing w:after="0"/>
              <w:rPr>
                <w:sz w:val="17"/>
                <w:szCs w:val="17"/>
                <w:color w:val="auto"/>
              </w:rPr>
            </w:pPr>
          </w:p>
        </w:tc>
        <w:tc>
          <w:tcPr>
            <w:tcW w:w="7640" w:type="dxa"/>
            <w:vAlign w:val="bottom"/>
            <w:gridSpan w:val="4"/>
          </w:tcPr>
          <w:p>
            <w:pPr>
              <w:spacing w:after="0"/>
              <w:rPr>
                <w:sz w:val="20"/>
                <w:szCs w:val="20"/>
                <w:color w:val="auto"/>
              </w:rPr>
            </w:pPr>
            <w:r>
              <w:rPr>
                <w:rFonts w:ascii="Arial" w:cs="Arial" w:eastAsia="Arial" w:hAnsi="Arial"/>
                <w:sz w:val="17"/>
                <w:szCs w:val="17"/>
                <w:color w:val="auto"/>
                <w:w w:val="93"/>
              </w:rPr>
              <w:t>"Building") together with the adjacent driveways, parking areas, sidewalks, and landscape areas depicted on</w:t>
            </w:r>
          </w:p>
        </w:tc>
        <w:tc>
          <w:tcPr>
            <w:tcW w:w="0" w:type="dxa"/>
            <w:vAlign w:val="bottom"/>
          </w:tcPr>
          <w:p>
            <w:pPr>
              <w:spacing w:after="0"/>
              <w:rPr>
                <w:sz w:val="1"/>
                <w:szCs w:val="1"/>
                <w:color w:val="auto"/>
              </w:rPr>
            </w:pPr>
          </w:p>
        </w:tc>
      </w:tr>
      <w:tr>
        <w:trPr>
          <w:trHeight w:val="177"/>
        </w:trPr>
        <w:tc>
          <w:tcPr>
            <w:tcW w:w="3780" w:type="dxa"/>
            <w:vAlign w:val="bottom"/>
          </w:tcPr>
          <w:p>
            <w:pPr>
              <w:spacing w:after="0"/>
              <w:rPr>
                <w:sz w:val="15"/>
                <w:szCs w:val="15"/>
                <w:color w:val="auto"/>
              </w:rPr>
            </w:pPr>
          </w:p>
        </w:tc>
        <w:tc>
          <w:tcPr>
            <w:tcW w:w="1800" w:type="dxa"/>
            <w:vAlign w:val="bottom"/>
            <w:gridSpan w:val="2"/>
          </w:tcPr>
          <w:p>
            <w:pPr>
              <w:spacing w:after="0" w:line="177" w:lineRule="exact"/>
              <w:rPr>
                <w:sz w:val="20"/>
                <w:szCs w:val="20"/>
                <w:color w:val="auto"/>
              </w:rPr>
            </w:pPr>
            <w:r>
              <w:rPr>
                <w:rFonts w:ascii="Arial" w:cs="Arial" w:eastAsia="Arial" w:hAnsi="Arial"/>
                <w:sz w:val="17"/>
                <w:szCs w:val="17"/>
                <w:color w:val="auto"/>
                <w:w w:val="91"/>
              </w:rPr>
              <w:t>Exhibit A attached hereto.</w:t>
            </w:r>
          </w:p>
        </w:tc>
        <w:tc>
          <w:tcPr>
            <w:tcW w:w="4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2"/>
        </w:trPr>
        <w:tc>
          <w:tcPr>
            <w:tcW w:w="3780" w:type="dxa"/>
            <w:vAlign w:val="bottom"/>
          </w:tcPr>
          <w:p>
            <w:pPr>
              <w:spacing w:after="0"/>
              <w:rPr>
                <w:sz w:val="20"/>
                <w:szCs w:val="20"/>
                <w:color w:val="auto"/>
              </w:rPr>
            </w:pPr>
            <w:r>
              <w:rPr>
                <w:rFonts w:ascii="Arial" w:cs="Arial" w:eastAsia="Arial" w:hAnsi="Arial"/>
                <w:sz w:val="17"/>
                <w:szCs w:val="17"/>
                <w:b w:val="1"/>
                <w:bCs w:val="1"/>
                <w:color w:val="auto"/>
              </w:rPr>
              <w:t>Building Address:</w:t>
            </w: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TBD</w:t>
            </w:r>
          </w:p>
        </w:tc>
        <w:tc>
          <w:tcPr>
            <w:tcW w:w="1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80" w:type="dxa"/>
            <w:vAlign w:val="bottom"/>
            <w:vMerge w:val="restart"/>
          </w:tcPr>
          <w:p>
            <w:pPr>
              <w:spacing w:after="0"/>
              <w:rPr>
                <w:sz w:val="20"/>
                <w:szCs w:val="20"/>
                <w:color w:val="auto"/>
              </w:rPr>
            </w:pPr>
            <w:r>
              <w:rPr>
                <w:rFonts w:ascii="Arial" w:cs="Arial" w:eastAsia="Arial" w:hAnsi="Arial"/>
                <w:sz w:val="17"/>
                <w:szCs w:val="17"/>
                <w:b w:val="1"/>
                <w:bCs w:val="1"/>
                <w:color w:val="auto"/>
              </w:rPr>
              <w:t>Term:</w:t>
            </w: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3780" w:type="dxa"/>
            <w:vAlign w:val="bottom"/>
            <w:vMerge w:val="continue"/>
          </w:tcPr>
          <w:p>
            <w:pPr>
              <w:spacing w:after="0"/>
              <w:rPr>
                <w:sz w:val="24"/>
                <w:szCs w:val="24"/>
                <w:color w:val="auto"/>
              </w:rPr>
            </w:pPr>
          </w:p>
        </w:tc>
        <w:tc>
          <w:tcPr>
            <w:tcW w:w="7640" w:type="dxa"/>
            <w:vAlign w:val="bottom"/>
            <w:gridSpan w:val="4"/>
          </w:tcPr>
          <w:p>
            <w:pPr>
              <w:spacing w:after="0"/>
              <w:rPr>
                <w:sz w:val="20"/>
                <w:szCs w:val="20"/>
                <w:color w:val="auto"/>
              </w:rPr>
            </w:pPr>
            <w:r>
              <w:rPr>
                <w:rFonts w:ascii="Arial" w:cs="Arial" w:eastAsia="Arial" w:hAnsi="Arial"/>
                <w:sz w:val="17"/>
                <w:szCs w:val="17"/>
                <w:color w:val="auto"/>
              </w:rPr>
              <w:t>144 full calendar months (plus any partial month at the beginning of the Term)</w:t>
            </w:r>
          </w:p>
        </w:tc>
        <w:tc>
          <w:tcPr>
            <w:tcW w:w="0" w:type="dxa"/>
            <w:vAlign w:val="bottom"/>
          </w:tcPr>
          <w:p>
            <w:pPr>
              <w:spacing w:after="0"/>
              <w:rPr>
                <w:sz w:val="1"/>
                <w:szCs w:val="1"/>
                <w:color w:val="auto"/>
              </w:rPr>
            </w:pPr>
          </w:p>
        </w:tc>
      </w:tr>
      <w:tr>
        <w:trPr>
          <w:trHeight w:val="389"/>
        </w:trPr>
        <w:tc>
          <w:tcPr>
            <w:tcW w:w="3780" w:type="dxa"/>
            <w:vAlign w:val="bottom"/>
          </w:tcPr>
          <w:p>
            <w:pPr>
              <w:spacing w:after="0"/>
              <w:rPr>
                <w:sz w:val="20"/>
                <w:szCs w:val="20"/>
                <w:color w:val="auto"/>
              </w:rPr>
            </w:pPr>
            <w:r>
              <w:rPr>
                <w:rFonts w:ascii="Arial" w:cs="Arial" w:eastAsia="Arial" w:hAnsi="Arial"/>
                <w:sz w:val="17"/>
                <w:szCs w:val="17"/>
                <w:b w:val="1"/>
                <w:bCs w:val="1"/>
                <w:color w:val="auto"/>
              </w:rPr>
              <w:t>Scheduled</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780" w:type="dxa"/>
            <w:vAlign w:val="bottom"/>
          </w:tcPr>
          <w:p>
            <w:pPr>
              <w:spacing w:after="0"/>
              <w:rPr>
                <w:sz w:val="20"/>
                <w:szCs w:val="20"/>
                <w:color w:val="auto"/>
              </w:rPr>
            </w:pPr>
            <w:r>
              <w:rPr>
                <w:rFonts w:ascii="Arial" w:cs="Arial" w:eastAsia="Arial" w:hAnsi="Arial"/>
                <w:sz w:val="17"/>
                <w:szCs w:val="17"/>
                <w:b w:val="1"/>
                <w:bCs w:val="1"/>
                <w:color w:val="auto"/>
              </w:rPr>
              <w:t>Commencement Date:</w:t>
            </w:r>
          </w:p>
        </w:tc>
        <w:tc>
          <w:tcPr>
            <w:tcW w:w="1800" w:type="dxa"/>
            <w:vAlign w:val="bottom"/>
            <w:gridSpan w:val="2"/>
          </w:tcPr>
          <w:p>
            <w:pPr>
              <w:spacing w:after="0"/>
              <w:rPr>
                <w:sz w:val="20"/>
                <w:szCs w:val="20"/>
                <w:color w:val="auto"/>
              </w:rPr>
            </w:pPr>
            <w:r>
              <w:rPr>
                <w:rFonts w:ascii="Arial" w:cs="Arial" w:eastAsia="Arial" w:hAnsi="Arial"/>
                <w:sz w:val="17"/>
                <w:szCs w:val="17"/>
                <w:color w:val="auto"/>
              </w:rPr>
              <w:t>August 15, 2008</w:t>
            </w:r>
          </w:p>
        </w:tc>
        <w:tc>
          <w:tcPr>
            <w:tcW w:w="4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9"/>
        </w:trPr>
        <w:tc>
          <w:tcPr>
            <w:tcW w:w="3780" w:type="dxa"/>
            <w:vAlign w:val="bottom"/>
          </w:tcPr>
          <w:p>
            <w:pPr>
              <w:spacing w:after="0"/>
              <w:rPr>
                <w:sz w:val="20"/>
                <w:szCs w:val="20"/>
                <w:color w:val="auto"/>
              </w:rPr>
            </w:pPr>
            <w:r>
              <w:rPr>
                <w:rFonts w:ascii="Arial" w:cs="Arial" w:eastAsia="Arial" w:hAnsi="Arial"/>
                <w:sz w:val="17"/>
                <w:szCs w:val="17"/>
                <w:b w:val="1"/>
                <w:bCs w:val="1"/>
                <w:color w:val="auto"/>
              </w:rPr>
              <w:t>Expiration Date:</w:t>
            </w:r>
          </w:p>
        </w:tc>
        <w:tc>
          <w:tcPr>
            <w:tcW w:w="7640" w:type="dxa"/>
            <w:vAlign w:val="bottom"/>
            <w:gridSpan w:val="4"/>
          </w:tcPr>
          <w:p>
            <w:pPr>
              <w:spacing w:after="0"/>
              <w:rPr>
                <w:sz w:val="20"/>
                <w:szCs w:val="20"/>
                <w:color w:val="auto"/>
              </w:rPr>
            </w:pPr>
            <w:r>
              <w:rPr>
                <w:rFonts w:ascii="Arial" w:cs="Arial" w:eastAsia="Arial" w:hAnsi="Arial"/>
                <w:sz w:val="17"/>
                <w:szCs w:val="17"/>
                <w:color w:val="auto"/>
              </w:rPr>
              <w:t>The last day of the 144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full calendar month in the Term</w:t>
            </w:r>
          </w:p>
        </w:tc>
        <w:tc>
          <w:tcPr>
            <w:tcW w:w="0" w:type="dxa"/>
            <w:vAlign w:val="bottom"/>
          </w:tcPr>
          <w:p>
            <w:pPr>
              <w:spacing w:after="0"/>
              <w:rPr>
                <w:sz w:val="1"/>
                <w:szCs w:val="1"/>
                <w:color w:val="auto"/>
              </w:rPr>
            </w:pPr>
          </w:p>
        </w:tc>
      </w:tr>
      <w:tr>
        <w:trPr>
          <w:trHeight w:val="276"/>
        </w:trPr>
        <w:tc>
          <w:tcPr>
            <w:tcW w:w="3780" w:type="dxa"/>
            <w:vAlign w:val="bottom"/>
          </w:tcPr>
          <w:p>
            <w:pPr>
              <w:spacing w:after="0"/>
              <w:rPr>
                <w:sz w:val="20"/>
                <w:szCs w:val="20"/>
                <w:color w:val="auto"/>
              </w:rPr>
            </w:pPr>
            <w:r>
              <w:rPr>
                <w:rFonts w:ascii="Arial" w:cs="Arial" w:eastAsia="Arial" w:hAnsi="Arial"/>
                <w:sz w:val="17"/>
                <w:szCs w:val="17"/>
                <w:b w:val="1"/>
                <w:bCs w:val="1"/>
                <w:color w:val="auto"/>
              </w:rPr>
              <w:t>Base Rent:</w:t>
            </w:r>
          </w:p>
        </w:tc>
        <w:tc>
          <w:tcPr>
            <w:tcW w:w="7640" w:type="dxa"/>
            <w:vAlign w:val="bottom"/>
            <w:gridSpan w:val="4"/>
          </w:tcPr>
          <w:p>
            <w:pPr>
              <w:spacing w:after="0"/>
              <w:rPr>
                <w:sz w:val="20"/>
                <w:szCs w:val="20"/>
                <w:color w:val="auto"/>
              </w:rPr>
            </w:pPr>
            <w:r>
              <w:rPr>
                <w:rFonts w:ascii="Arial" w:cs="Arial" w:eastAsia="Arial" w:hAnsi="Arial"/>
                <w:sz w:val="17"/>
                <w:szCs w:val="17"/>
                <w:color w:val="auto"/>
              </w:rPr>
              <w:t>From the Commencement Date through the last Day of</w:t>
            </w:r>
          </w:p>
        </w:tc>
        <w:tc>
          <w:tcPr>
            <w:tcW w:w="0" w:type="dxa"/>
            <w:vAlign w:val="bottom"/>
          </w:tcPr>
          <w:p>
            <w:pPr>
              <w:spacing w:after="0"/>
              <w:rPr>
                <w:sz w:val="1"/>
                <w:szCs w:val="1"/>
                <w:color w:val="auto"/>
              </w:rPr>
            </w:pPr>
          </w:p>
        </w:tc>
      </w:tr>
      <w:tr>
        <w:trPr>
          <w:trHeight w:val="202"/>
        </w:trPr>
        <w:tc>
          <w:tcPr>
            <w:tcW w:w="378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7"/>
                <w:szCs w:val="17"/>
                <w:color w:val="auto"/>
              </w:rPr>
              <w:t>Month 12:</w:t>
            </w:r>
          </w:p>
        </w:tc>
        <w:tc>
          <w:tcPr>
            <w:tcW w:w="48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$14.50 per square foot of Rentable Area per Annum</w:t>
            </w:r>
          </w:p>
        </w:tc>
        <w:tc>
          <w:tcPr>
            <w:tcW w:w="0" w:type="dxa"/>
            <w:vAlign w:val="bottom"/>
          </w:tcPr>
          <w:p>
            <w:pPr>
              <w:spacing w:after="0"/>
              <w:rPr>
                <w:sz w:val="1"/>
                <w:szCs w:val="1"/>
                <w:color w:val="auto"/>
              </w:rPr>
            </w:pPr>
          </w:p>
        </w:tc>
      </w:tr>
      <w:tr>
        <w:trPr>
          <w:trHeight w:val="202"/>
        </w:trPr>
        <w:tc>
          <w:tcPr>
            <w:tcW w:w="378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7"/>
                <w:szCs w:val="17"/>
                <w:color w:val="auto"/>
              </w:rPr>
              <w:t>Months 13 - 24:</w:t>
            </w:r>
          </w:p>
        </w:tc>
        <w:tc>
          <w:tcPr>
            <w:tcW w:w="48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$14.79 per square foot of Rentable Area per Annum</w:t>
            </w:r>
          </w:p>
        </w:tc>
        <w:tc>
          <w:tcPr>
            <w:tcW w:w="0" w:type="dxa"/>
            <w:vAlign w:val="bottom"/>
          </w:tcPr>
          <w:p>
            <w:pPr>
              <w:spacing w:after="0"/>
              <w:rPr>
                <w:sz w:val="1"/>
                <w:szCs w:val="1"/>
                <w:color w:val="auto"/>
              </w:rPr>
            </w:pPr>
          </w:p>
        </w:tc>
      </w:tr>
      <w:tr>
        <w:trPr>
          <w:trHeight w:val="202"/>
        </w:trPr>
        <w:tc>
          <w:tcPr>
            <w:tcW w:w="378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7"/>
                <w:szCs w:val="17"/>
                <w:color w:val="auto"/>
              </w:rPr>
              <w:t>Months 25 - 36:</w:t>
            </w:r>
          </w:p>
        </w:tc>
        <w:tc>
          <w:tcPr>
            <w:tcW w:w="48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$15.09 per square foot of Rentable Area per Annum</w:t>
            </w:r>
          </w:p>
        </w:tc>
        <w:tc>
          <w:tcPr>
            <w:tcW w:w="0" w:type="dxa"/>
            <w:vAlign w:val="bottom"/>
          </w:tcPr>
          <w:p>
            <w:pPr>
              <w:spacing w:after="0"/>
              <w:rPr>
                <w:sz w:val="1"/>
                <w:szCs w:val="1"/>
                <w:color w:val="auto"/>
              </w:rPr>
            </w:pPr>
          </w:p>
        </w:tc>
      </w:tr>
      <w:tr>
        <w:trPr>
          <w:trHeight w:val="202"/>
        </w:trPr>
        <w:tc>
          <w:tcPr>
            <w:tcW w:w="378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7"/>
                <w:szCs w:val="17"/>
                <w:color w:val="auto"/>
              </w:rPr>
              <w:t>Months 37 - 48:</w:t>
            </w:r>
          </w:p>
        </w:tc>
        <w:tc>
          <w:tcPr>
            <w:tcW w:w="48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$15.39 per square foot of Rentable Area per Annum</w:t>
            </w:r>
          </w:p>
        </w:tc>
        <w:tc>
          <w:tcPr>
            <w:tcW w:w="0" w:type="dxa"/>
            <w:vAlign w:val="bottom"/>
          </w:tcPr>
          <w:p>
            <w:pPr>
              <w:spacing w:after="0"/>
              <w:rPr>
                <w:sz w:val="1"/>
                <w:szCs w:val="1"/>
                <w:color w:val="auto"/>
              </w:rPr>
            </w:pPr>
          </w:p>
        </w:tc>
      </w:tr>
      <w:tr>
        <w:trPr>
          <w:trHeight w:val="202"/>
        </w:trPr>
        <w:tc>
          <w:tcPr>
            <w:tcW w:w="378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7"/>
                <w:szCs w:val="17"/>
                <w:color w:val="auto"/>
              </w:rPr>
              <w:t>Months 49 - 60:</w:t>
            </w:r>
          </w:p>
        </w:tc>
        <w:tc>
          <w:tcPr>
            <w:tcW w:w="48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$15.70 per square foot of Rentable Area per Annum</w:t>
            </w:r>
          </w:p>
        </w:tc>
        <w:tc>
          <w:tcPr>
            <w:tcW w:w="0" w:type="dxa"/>
            <w:vAlign w:val="bottom"/>
          </w:tcPr>
          <w:p>
            <w:pPr>
              <w:spacing w:after="0"/>
              <w:rPr>
                <w:sz w:val="1"/>
                <w:szCs w:val="1"/>
                <w:color w:val="auto"/>
              </w:rPr>
            </w:pPr>
          </w:p>
        </w:tc>
      </w:tr>
      <w:tr>
        <w:trPr>
          <w:trHeight w:val="202"/>
        </w:trPr>
        <w:tc>
          <w:tcPr>
            <w:tcW w:w="378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7"/>
                <w:szCs w:val="17"/>
                <w:color w:val="auto"/>
              </w:rPr>
              <w:t>Months 61 - 72:</w:t>
            </w:r>
          </w:p>
        </w:tc>
        <w:tc>
          <w:tcPr>
            <w:tcW w:w="48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$16.01 per square foot of Rentable Area per Annum</w:t>
            </w:r>
          </w:p>
        </w:tc>
        <w:tc>
          <w:tcPr>
            <w:tcW w:w="0" w:type="dxa"/>
            <w:vAlign w:val="bottom"/>
          </w:tcPr>
          <w:p>
            <w:pPr>
              <w:spacing w:after="0"/>
              <w:rPr>
                <w:sz w:val="1"/>
                <w:szCs w:val="1"/>
                <w:color w:val="auto"/>
              </w:rPr>
            </w:pPr>
          </w:p>
        </w:tc>
      </w:tr>
      <w:tr>
        <w:trPr>
          <w:trHeight w:val="202"/>
        </w:trPr>
        <w:tc>
          <w:tcPr>
            <w:tcW w:w="378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7"/>
                <w:szCs w:val="17"/>
                <w:color w:val="auto"/>
              </w:rPr>
              <w:t>Months 73 - 84:</w:t>
            </w:r>
          </w:p>
        </w:tc>
        <w:tc>
          <w:tcPr>
            <w:tcW w:w="48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$16.33 per square foot of Rentable Area per Annum</w:t>
            </w:r>
          </w:p>
        </w:tc>
        <w:tc>
          <w:tcPr>
            <w:tcW w:w="0" w:type="dxa"/>
            <w:vAlign w:val="bottom"/>
          </w:tcPr>
          <w:p>
            <w:pPr>
              <w:spacing w:after="0"/>
              <w:rPr>
                <w:sz w:val="1"/>
                <w:szCs w:val="1"/>
                <w:color w:val="auto"/>
              </w:rPr>
            </w:pPr>
          </w:p>
        </w:tc>
      </w:tr>
      <w:tr>
        <w:trPr>
          <w:trHeight w:val="202"/>
        </w:trPr>
        <w:tc>
          <w:tcPr>
            <w:tcW w:w="378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7"/>
                <w:szCs w:val="17"/>
                <w:color w:val="auto"/>
              </w:rPr>
              <w:t>Months 85 - 96:</w:t>
            </w:r>
          </w:p>
        </w:tc>
        <w:tc>
          <w:tcPr>
            <w:tcW w:w="48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$16.66 per square foot of Rentable Area per Annum</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7"/>
                <w:szCs w:val="17"/>
                <w:color w:val="auto"/>
              </w:rPr>
              <w:t>Months 97 - 108:</w:t>
            </w:r>
          </w:p>
        </w:tc>
        <w:tc>
          <w:tcPr>
            <w:tcW w:w="4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$16.99 per square foot of Rentable Area per Annum</w:t>
            </w:r>
          </w:p>
        </w:tc>
        <w:tc>
          <w:tcPr>
            <w:tcW w:w="0" w:type="dxa"/>
            <w:vAlign w:val="bottom"/>
          </w:tcPr>
          <w:p>
            <w:pPr>
              <w:spacing w:after="0"/>
              <w:rPr>
                <w:sz w:val="1"/>
                <w:szCs w:val="1"/>
                <w:color w:val="auto"/>
              </w:rPr>
            </w:pPr>
          </w:p>
        </w:tc>
      </w:tr>
      <w:tr>
        <w:trPr>
          <w:trHeight w:val="608"/>
        </w:trPr>
        <w:tc>
          <w:tcPr>
            <w:tcW w:w="3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jc w:val="right"/>
              <w:ind w:right="156"/>
              <w:spacing w:after="0"/>
              <w:rPr>
                <w:sz w:val="20"/>
                <w:szCs w:val="20"/>
                <w:color w:val="auto"/>
              </w:rPr>
            </w:pPr>
            <w:r>
              <w:rPr>
                <w:rFonts w:ascii="Arial" w:cs="Arial" w:eastAsia="Arial" w:hAnsi="Arial"/>
                <w:sz w:val="17"/>
                <w:szCs w:val="17"/>
                <w:color w:val="auto"/>
              </w:rPr>
              <w:t>-1-</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378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53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5" w:right="239" w:bottom="1440"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Tenant's Share: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Deposit:</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Landlord's Address for Payment of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Hours: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Landlord's 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Tenant's 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Guarantor's 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Broker(s):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Manager:</w:t>
      </w:r>
    </w:p>
    <w:p>
      <w:pPr>
        <w:spacing w:after="0" w:line="20" w:lineRule="exact"/>
        <w:rPr>
          <w:sz w:val="20"/>
          <w:szCs w:val="20"/>
          <w:color w:val="auto"/>
        </w:rPr>
      </w:pPr>
      <w:r>
        <w:rPr>
          <w:sz w:val="20"/>
          <w:szCs w:val="20"/>
          <w:color w:val="auto"/>
        </w:rPr>
        <w:br w:type="column"/>
      </w:r>
    </w:p>
    <w:p>
      <w:pPr>
        <w:spacing w:after="0"/>
        <w:tabs>
          <w:tab w:leader="none" w:pos="2260" w:val="left"/>
        </w:tabs>
        <w:rPr>
          <w:sz w:val="20"/>
          <w:szCs w:val="20"/>
          <w:color w:val="auto"/>
        </w:rPr>
      </w:pPr>
      <w:r>
        <w:rPr>
          <w:rFonts w:ascii="Arial" w:cs="Arial" w:eastAsia="Arial" w:hAnsi="Arial"/>
          <w:sz w:val="17"/>
          <w:szCs w:val="17"/>
          <w:color w:val="auto"/>
        </w:rPr>
        <w:t>Months 109 - 120:</w:t>
      </w:r>
      <w:r>
        <w:rPr>
          <w:sz w:val="20"/>
          <w:szCs w:val="20"/>
          <w:color w:val="auto"/>
        </w:rPr>
        <w:tab/>
      </w:r>
      <w:r>
        <w:rPr>
          <w:rFonts w:ascii="Arial" w:cs="Arial" w:eastAsia="Arial" w:hAnsi="Arial"/>
          <w:sz w:val="15"/>
          <w:szCs w:val="15"/>
          <w:color w:val="auto"/>
        </w:rPr>
        <w:t>$17.33 per square foot of Rentable Area per Annum</w:t>
      </w:r>
    </w:p>
    <w:p>
      <w:pPr>
        <w:spacing w:after="0" w:line="19" w:lineRule="exact"/>
        <w:rPr>
          <w:sz w:val="20"/>
          <w:szCs w:val="20"/>
          <w:color w:val="auto"/>
        </w:rPr>
      </w:pPr>
    </w:p>
    <w:p>
      <w:pPr>
        <w:spacing w:after="0"/>
        <w:tabs>
          <w:tab w:leader="none" w:pos="2260" w:val="left"/>
        </w:tabs>
        <w:rPr>
          <w:sz w:val="20"/>
          <w:szCs w:val="20"/>
          <w:color w:val="auto"/>
        </w:rPr>
      </w:pPr>
      <w:r>
        <w:rPr>
          <w:rFonts w:ascii="Arial" w:cs="Arial" w:eastAsia="Arial" w:hAnsi="Arial"/>
          <w:sz w:val="17"/>
          <w:szCs w:val="17"/>
          <w:color w:val="auto"/>
        </w:rPr>
        <w:t>Months 121 - 132:</w:t>
      </w:r>
      <w:r>
        <w:rPr>
          <w:sz w:val="20"/>
          <w:szCs w:val="20"/>
          <w:color w:val="auto"/>
        </w:rPr>
        <w:tab/>
      </w:r>
      <w:r>
        <w:rPr>
          <w:rFonts w:ascii="Arial" w:cs="Arial" w:eastAsia="Arial" w:hAnsi="Arial"/>
          <w:sz w:val="15"/>
          <w:szCs w:val="15"/>
          <w:color w:val="auto"/>
        </w:rPr>
        <w:t>$17.68 per square foot of Rentable Area per Annum</w:t>
      </w:r>
    </w:p>
    <w:p>
      <w:pPr>
        <w:spacing w:after="0" w:line="7" w:lineRule="exact"/>
        <w:rPr>
          <w:sz w:val="20"/>
          <w:szCs w:val="20"/>
          <w:color w:val="auto"/>
        </w:rPr>
      </w:pPr>
    </w:p>
    <w:p>
      <w:pPr>
        <w:spacing w:after="0"/>
        <w:tabs>
          <w:tab w:leader="none" w:pos="2260" w:val="left"/>
        </w:tabs>
        <w:rPr>
          <w:sz w:val="20"/>
          <w:szCs w:val="20"/>
          <w:color w:val="auto"/>
        </w:rPr>
      </w:pPr>
      <w:r>
        <w:rPr>
          <w:rFonts w:ascii="Arial" w:cs="Arial" w:eastAsia="Arial" w:hAnsi="Arial"/>
          <w:sz w:val="17"/>
          <w:szCs w:val="17"/>
          <w:color w:val="auto"/>
        </w:rPr>
        <w:t>Months 133 - 144:</w:t>
      </w:r>
      <w:r>
        <w:rPr>
          <w:sz w:val="20"/>
          <w:szCs w:val="20"/>
          <w:color w:val="auto"/>
        </w:rPr>
        <w:tab/>
      </w:r>
      <w:r>
        <w:rPr>
          <w:rFonts w:ascii="Arial" w:cs="Arial" w:eastAsia="Arial" w:hAnsi="Arial"/>
          <w:sz w:val="15"/>
          <w:szCs w:val="15"/>
          <w:color w:val="auto"/>
        </w:rPr>
        <w:t>$18.03 per square foot of Rentable Area per Annum</w:t>
      </w:r>
    </w:p>
    <w:p>
      <w:pPr>
        <w:spacing w:after="0" w:line="7" w:lineRule="exact"/>
        <w:rPr>
          <w:sz w:val="20"/>
          <w:szCs w:val="20"/>
          <w:color w:val="auto"/>
        </w:rPr>
      </w:pPr>
    </w:p>
    <w:p>
      <w:pPr>
        <w:spacing w:after="0"/>
        <w:tabs>
          <w:tab w:leader="none" w:pos="2260" w:val="left"/>
        </w:tabs>
        <w:rPr>
          <w:sz w:val="20"/>
          <w:szCs w:val="20"/>
          <w:color w:val="auto"/>
        </w:rPr>
      </w:pPr>
      <w:r>
        <w:rPr>
          <w:rFonts w:ascii="Arial" w:cs="Arial" w:eastAsia="Arial" w:hAnsi="Arial"/>
          <w:sz w:val="17"/>
          <w:szCs w:val="17"/>
          <w:color w:val="auto"/>
        </w:rPr>
        <w:t>Option Periods</w:t>
      </w:r>
      <w:r>
        <w:rPr>
          <w:sz w:val="20"/>
          <w:szCs w:val="20"/>
          <w:color w:val="auto"/>
        </w:rPr>
        <w:tab/>
      </w:r>
      <w:r>
        <w:rPr>
          <w:rFonts w:ascii="Arial" w:cs="Arial" w:eastAsia="Arial" w:hAnsi="Arial"/>
          <w:sz w:val="15"/>
          <w:szCs w:val="15"/>
          <w:color w:val="auto"/>
        </w:rPr>
        <w:t>Market Rate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100%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See Section 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NEW BRIGHTON 14TH STREET LLC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c/o Ryan Companies US, Inc.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50 South Tenth Street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Suite 300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Minneapolis, MN 55403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NEW BRIGHTON 14TH STREET LLC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c/o Ryan Companies US, Inc.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50 South Tenth Street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Suite 300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Minneapolis, MN 55403</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Prior to Commencement: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Transoma Medical, Inc.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4211 Lexington Avenue North</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Suite 2244</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St. Paul, MN 55126</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Attn: Vice President Manufacturing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Following Commencement: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[Premises Address]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Ryan Companies US, Inc.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50 South Tenth Street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Suite 300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Minneapolis, MN 55403</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Keewaydin Group, Inc.</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Ryan Companies US, Inc.</w:t>
      </w:r>
    </w:p>
    <w:p>
      <w:pPr>
        <w:spacing w:after="0" w:line="200" w:lineRule="exact"/>
        <w:rPr>
          <w:sz w:val="20"/>
          <w:szCs w:val="20"/>
          <w:color w:val="auto"/>
        </w:rPr>
      </w:pPr>
    </w:p>
    <w:p>
      <w:pPr>
        <w:spacing w:after="0" w:line="212"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12065</wp:posOffset>
            </wp:positionV>
            <wp:extent cx="7255510"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2">
            <w:col w:w="3060" w:space="720"/>
            <w:col w:w="6439"/>
          </w:cols>
          <w:pgMar w:left="240" w:top="532"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8"/>
        </w:trPr>
        <w:tc>
          <w:tcPr>
            <w:tcW w:w="2700" w:type="dxa"/>
            <w:vAlign w:val="bottom"/>
            <w:gridSpan w:val="2"/>
          </w:tcPr>
          <w:p>
            <w:pPr>
              <w:spacing w:after="0"/>
              <w:rPr>
                <w:sz w:val="20"/>
                <w:szCs w:val="20"/>
                <w:color w:val="auto"/>
              </w:rPr>
            </w:pPr>
            <w:r>
              <w:rPr>
                <w:rFonts w:ascii="Arial" w:cs="Arial" w:eastAsia="Arial" w:hAnsi="Arial"/>
                <w:sz w:val="17"/>
                <w:szCs w:val="17"/>
                <w:b w:val="1"/>
                <w:bCs w:val="1"/>
                <w:color w:val="auto"/>
              </w:rPr>
              <w:t>Additional Provisions:</w:t>
            </w:r>
          </w:p>
        </w:tc>
        <w:tc>
          <w:tcPr>
            <w:tcW w:w="6000" w:type="dxa"/>
            <w:vAlign w:val="bottom"/>
          </w:tcPr>
          <w:p>
            <w:pPr>
              <w:ind w:left="1080"/>
              <w:spacing w:after="0"/>
              <w:rPr>
                <w:sz w:val="20"/>
                <w:szCs w:val="20"/>
                <w:color w:val="auto"/>
              </w:rPr>
            </w:pPr>
            <w:r>
              <w:rPr>
                <w:rFonts w:ascii="Arial" w:cs="Arial" w:eastAsia="Arial" w:hAnsi="Arial"/>
                <w:sz w:val="17"/>
                <w:szCs w:val="17"/>
                <w:color w:val="auto"/>
              </w:rPr>
              <w:t>None</w:t>
            </w:r>
          </w:p>
        </w:tc>
      </w:tr>
      <w:tr>
        <w:trPr>
          <w:trHeight w:val="368"/>
        </w:trPr>
        <w:tc>
          <w:tcPr>
            <w:tcW w:w="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3"/>
              </w:rPr>
              <w:t>Exhibits:</w:t>
            </w:r>
          </w:p>
        </w:tc>
        <w:tc>
          <w:tcPr>
            <w:tcW w:w="2080" w:type="dxa"/>
            <w:vAlign w:val="bottom"/>
          </w:tcPr>
          <w:p>
            <w:pPr>
              <w:spacing w:after="0"/>
              <w:rPr>
                <w:sz w:val="24"/>
                <w:szCs w:val="24"/>
                <w:color w:val="auto"/>
              </w:rPr>
            </w:pPr>
          </w:p>
        </w:tc>
        <w:tc>
          <w:tcPr>
            <w:tcW w:w="6000" w:type="dxa"/>
            <w:vAlign w:val="bottom"/>
          </w:tcPr>
          <w:p>
            <w:pPr>
              <w:ind w:left="1080"/>
              <w:spacing w:after="0"/>
              <w:rPr>
                <w:sz w:val="20"/>
                <w:szCs w:val="20"/>
                <w:color w:val="auto"/>
              </w:rPr>
            </w:pPr>
            <w:r>
              <w:rPr>
                <w:rFonts w:ascii="Arial" w:cs="Arial" w:eastAsia="Arial" w:hAnsi="Arial"/>
                <w:sz w:val="17"/>
                <w:szCs w:val="17"/>
                <w:color w:val="auto"/>
              </w:rPr>
              <w:t>The Premises</w:t>
            </w:r>
          </w:p>
        </w:tc>
      </w:tr>
      <w:tr>
        <w:trPr>
          <w:trHeight w:val="208"/>
        </w:trPr>
        <w:tc>
          <w:tcPr>
            <w:tcW w:w="2700" w:type="dxa"/>
            <w:vAlign w:val="bottom"/>
            <w:gridSpan w:val="2"/>
          </w:tcPr>
          <w:p>
            <w:pPr>
              <w:spacing w:after="0"/>
              <w:rPr>
                <w:sz w:val="20"/>
                <w:szCs w:val="20"/>
                <w:color w:val="auto"/>
              </w:rPr>
            </w:pPr>
            <w:r>
              <w:rPr>
                <w:rFonts w:ascii="Arial" w:cs="Arial" w:eastAsia="Arial" w:hAnsi="Arial"/>
                <w:sz w:val="17"/>
                <w:szCs w:val="17"/>
                <w:color w:val="auto"/>
              </w:rPr>
              <w:t>Exhibit A:</w:t>
            </w:r>
          </w:p>
        </w:tc>
        <w:tc>
          <w:tcPr>
            <w:tcW w:w="6000" w:type="dxa"/>
            <w:vAlign w:val="bottom"/>
          </w:tcPr>
          <w:p>
            <w:pPr>
              <w:ind w:left="1080"/>
              <w:spacing w:after="0"/>
              <w:rPr>
                <w:sz w:val="20"/>
                <w:szCs w:val="20"/>
                <w:color w:val="auto"/>
              </w:rPr>
            </w:pPr>
            <w:r>
              <w:rPr>
                <w:rFonts w:ascii="Arial" w:cs="Arial" w:eastAsia="Arial" w:hAnsi="Arial"/>
                <w:sz w:val="17"/>
                <w:szCs w:val="17"/>
                <w:color w:val="auto"/>
              </w:rPr>
              <w:t>Construction Rider</w:t>
            </w:r>
          </w:p>
        </w:tc>
      </w:tr>
      <w:tr>
        <w:trPr>
          <w:trHeight w:val="202"/>
        </w:trPr>
        <w:tc>
          <w:tcPr>
            <w:tcW w:w="2700" w:type="dxa"/>
            <w:vAlign w:val="bottom"/>
            <w:gridSpan w:val="2"/>
          </w:tcPr>
          <w:p>
            <w:pPr>
              <w:spacing w:after="0"/>
              <w:rPr>
                <w:sz w:val="20"/>
                <w:szCs w:val="20"/>
                <w:color w:val="auto"/>
              </w:rPr>
            </w:pPr>
            <w:r>
              <w:rPr>
                <w:rFonts w:ascii="Arial" w:cs="Arial" w:eastAsia="Arial" w:hAnsi="Arial"/>
                <w:sz w:val="17"/>
                <w:szCs w:val="17"/>
                <w:color w:val="auto"/>
              </w:rPr>
              <w:t>Exhibit B:</w:t>
            </w:r>
          </w:p>
        </w:tc>
        <w:tc>
          <w:tcPr>
            <w:tcW w:w="6000" w:type="dxa"/>
            <w:vAlign w:val="bottom"/>
          </w:tcPr>
          <w:p>
            <w:pPr>
              <w:ind w:left="1080"/>
              <w:spacing w:after="0"/>
              <w:rPr>
                <w:sz w:val="20"/>
                <w:szCs w:val="20"/>
                <w:color w:val="auto"/>
              </w:rPr>
            </w:pPr>
            <w:r>
              <w:rPr>
                <w:rFonts w:ascii="Arial" w:cs="Arial" w:eastAsia="Arial" w:hAnsi="Arial"/>
                <w:sz w:val="17"/>
                <w:szCs w:val="17"/>
                <w:color w:val="auto"/>
              </w:rPr>
              <w:t>Option Property Parking Area</w:t>
            </w:r>
          </w:p>
        </w:tc>
      </w:tr>
      <w:tr>
        <w:trPr>
          <w:trHeight w:val="202"/>
        </w:trPr>
        <w:tc>
          <w:tcPr>
            <w:tcW w:w="2700" w:type="dxa"/>
            <w:vAlign w:val="bottom"/>
            <w:gridSpan w:val="2"/>
          </w:tcPr>
          <w:p>
            <w:pPr>
              <w:spacing w:after="0"/>
              <w:rPr>
                <w:sz w:val="20"/>
                <w:szCs w:val="20"/>
                <w:color w:val="auto"/>
              </w:rPr>
            </w:pPr>
            <w:r>
              <w:rPr>
                <w:rFonts w:ascii="Arial" w:cs="Arial" w:eastAsia="Arial" w:hAnsi="Arial"/>
                <w:sz w:val="17"/>
                <w:szCs w:val="17"/>
                <w:color w:val="auto"/>
              </w:rPr>
              <w:t>Exhibit C:</w:t>
            </w:r>
          </w:p>
        </w:tc>
        <w:tc>
          <w:tcPr>
            <w:tcW w:w="6000" w:type="dxa"/>
            <w:vAlign w:val="bottom"/>
          </w:tcPr>
          <w:p>
            <w:pPr>
              <w:ind w:left="1080"/>
              <w:spacing w:after="0"/>
              <w:rPr>
                <w:sz w:val="20"/>
                <w:szCs w:val="20"/>
                <w:color w:val="auto"/>
              </w:rPr>
            </w:pPr>
            <w:r>
              <w:rPr>
                <w:rFonts w:ascii="Arial" w:cs="Arial" w:eastAsia="Arial" w:hAnsi="Arial"/>
                <w:sz w:val="17"/>
                <w:szCs w:val="17"/>
                <w:color w:val="auto"/>
                <w:w w:val="90"/>
              </w:rPr>
              <w:t>Form of Subordination, Non-disturbance and Attornment Agreement and</w:t>
            </w:r>
          </w:p>
        </w:tc>
      </w:tr>
      <w:tr>
        <w:trPr>
          <w:trHeight w:val="214"/>
        </w:trPr>
        <w:tc>
          <w:tcPr>
            <w:tcW w:w="2700" w:type="dxa"/>
            <w:vAlign w:val="bottom"/>
            <w:gridSpan w:val="2"/>
          </w:tcPr>
          <w:p>
            <w:pPr>
              <w:spacing w:after="0"/>
              <w:rPr>
                <w:sz w:val="20"/>
                <w:szCs w:val="20"/>
                <w:color w:val="auto"/>
              </w:rPr>
            </w:pPr>
            <w:r>
              <w:rPr>
                <w:rFonts w:ascii="Arial" w:cs="Arial" w:eastAsia="Arial" w:hAnsi="Arial"/>
                <w:sz w:val="17"/>
                <w:szCs w:val="17"/>
                <w:color w:val="auto"/>
              </w:rPr>
              <w:t>Exhibit D:</w:t>
            </w:r>
          </w:p>
        </w:tc>
        <w:tc>
          <w:tcPr>
            <w:tcW w:w="6000" w:type="dxa"/>
            <w:vAlign w:val="bottom"/>
          </w:tcPr>
          <w:p>
            <w:pPr>
              <w:ind w:left="1080"/>
              <w:spacing w:after="0"/>
              <w:rPr>
                <w:sz w:val="20"/>
                <w:szCs w:val="20"/>
                <w:color w:val="auto"/>
              </w:rPr>
            </w:pPr>
            <w:r>
              <w:rPr>
                <w:rFonts w:ascii="Arial" w:cs="Arial" w:eastAsia="Arial" w:hAnsi="Arial"/>
                <w:sz w:val="17"/>
                <w:szCs w:val="17"/>
                <w:color w:val="auto"/>
              </w:rPr>
              <w:t>Estoppel Certificate</w:t>
            </w:r>
          </w:p>
        </w:tc>
      </w:tr>
    </w:tbl>
    <w:p>
      <w:pPr>
        <w:spacing w:after="0" w:line="393"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The Basic Lease Information set forth above is part of the Lease. In the event of any conflict between any provision in the Basic Lease Information and the Lease, the Lease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00"/>
          </w:cols>
          <w:pgMar w:left="240" w:top="528" w:right="659" w:bottom="1440" w:gutter="0" w:footer="0" w:header="0"/>
        </w:sectPr>
      </w:pPr>
    </w:p>
    <w:bookmarkStart w:id="97" w:name="page98"/>
    <w:bookmarkEnd w:id="97"/>
    <w:p>
      <w:pPr>
        <w:ind w:right="380" w:firstLine="546"/>
        <w:spacing w:after="0" w:line="303" w:lineRule="auto"/>
        <w:rPr>
          <w:sz w:val="20"/>
          <w:szCs w:val="20"/>
          <w:color w:val="auto"/>
        </w:rPr>
      </w:pPr>
      <w:r>
        <w:rPr>
          <w:rFonts w:ascii="Arial" w:cs="Arial" w:eastAsia="Arial" w:hAnsi="Arial"/>
          <w:sz w:val="16"/>
          <w:szCs w:val="16"/>
          <w:color w:val="auto"/>
        </w:rPr>
        <w:t xml:space="preserve">THIS LEASE is made as of the Lease Date set forth in the Basic Lease Information, by and between the Landlord identified in the Basic Lease Information </w:t>
      </w:r>
      <w:r>
        <w:rPr>
          <w:rFonts w:ascii="Arial" w:cs="Arial" w:eastAsia="Arial" w:hAnsi="Arial"/>
          <w:sz w:val="16"/>
          <w:szCs w:val="16"/>
          <w:b w:val="1"/>
          <w:bCs w:val="1"/>
          <w:color w:val="auto"/>
        </w:rPr>
        <w:t xml:space="preserve">("Landlord"), </w:t>
      </w:r>
      <w:r>
        <w:rPr>
          <w:rFonts w:ascii="Arial" w:cs="Arial" w:eastAsia="Arial" w:hAnsi="Arial"/>
          <w:sz w:val="16"/>
          <w:szCs w:val="16"/>
          <w:color w:val="auto"/>
        </w:rPr>
        <w:t>and the Tenant identified in the Basic Lease Information</w:t>
      </w:r>
      <w:r>
        <w:rPr>
          <w:rFonts w:ascii="Arial" w:cs="Arial" w:eastAsia="Arial" w:hAnsi="Arial"/>
          <w:sz w:val="16"/>
          <w:szCs w:val="16"/>
          <w:b w:val="1"/>
          <w:bCs w:val="1"/>
          <w:color w:val="auto"/>
        </w:rPr>
        <w:t xml:space="preserve"> ("Tenant"). </w:t>
      </w:r>
      <w:r>
        <w:rPr>
          <w:rFonts w:ascii="Arial" w:cs="Arial" w:eastAsia="Arial" w:hAnsi="Arial"/>
          <w:sz w:val="16"/>
          <w:szCs w:val="16"/>
          <w:color w:val="auto"/>
        </w:rPr>
        <w:t>Landlord and Tenant hereby agree as follows:</w:t>
      </w:r>
    </w:p>
    <w:p>
      <w:pPr>
        <w:spacing w:after="0" w:line="143" w:lineRule="exact"/>
        <w:rPr>
          <w:sz w:val="20"/>
          <w:szCs w:val="20"/>
          <w:color w:val="auto"/>
        </w:rPr>
      </w:pPr>
    </w:p>
    <w:p>
      <w:pPr>
        <w:jc w:val="both"/>
        <w:ind w:right="180" w:firstLine="1"/>
        <w:spacing w:after="0" w:line="289" w:lineRule="auto"/>
        <w:tabs>
          <w:tab w:leader="none" w:pos="422" w:val="left"/>
        </w:tabs>
        <w:numPr>
          <w:ilvl w:val="0"/>
          <w:numId w:val="54"/>
        </w:numPr>
        <w:rPr>
          <w:rFonts w:ascii="Arial" w:cs="Arial" w:eastAsia="Arial" w:hAnsi="Arial"/>
          <w:sz w:val="15"/>
          <w:szCs w:val="15"/>
          <w:color w:val="auto"/>
        </w:rPr>
      </w:pPr>
      <w:r>
        <w:rPr>
          <w:rFonts w:ascii="Arial" w:cs="Arial" w:eastAsia="Arial" w:hAnsi="Arial"/>
          <w:sz w:val="15"/>
          <w:szCs w:val="15"/>
          <w:color w:val="auto"/>
        </w:rPr>
        <w:t xml:space="preserve">PREMISES. Landlord hereby leases to Tenant, and Tenant hereby leases from Landlord, upon the terms and subject to the conditions of this Lease, the Building located at the address specified in the Basic Lease Information (the </w:t>
      </w:r>
      <w:r>
        <w:rPr>
          <w:rFonts w:ascii="Arial" w:cs="Arial" w:eastAsia="Arial" w:hAnsi="Arial"/>
          <w:sz w:val="15"/>
          <w:szCs w:val="15"/>
          <w:b w:val="1"/>
          <w:bCs w:val="1"/>
          <w:color w:val="auto"/>
        </w:rPr>
        <w:t>"Building")</w:t>
      </w:r>
      <w:r>
        <w:rPr>
          <w:rFonts w:ascii="Arial" w:cs="Arial" w:eastAsia="Arial" w:hAnsi="Arial"/>
          <w:sz w:val="15"/>
          <w:szCs w:val="15"/>
          <w:color w:val="auto"/>
        </w:rPr>
        <w:t xml:space="preserve"> together with the adjacent driveways, parking areas (in size sufficient to yield at least</w:t>
      </w:r>
    </w:p>
    <w:p>
      <w:pPr>
        <w:spacing w:after="0" w:line="1" w:lineRule="exact"/>
        <w:rPr>
          <w:rFonts w:ascii="Arial" w:cs="Arial" w:eastAsia="Arial" w:hAnsi="Arial"/>
          <w:sz w:val="15"/>
          <w:szCs w:val="15"/>
          <w:color w:val="auto"/>
        </w:rPr>
      </w:pPr>
    </w:p>
    <w:p>
      <w:pPr>
        <w:ind w:right="20" w:firstLine="1"/>
        <w:spacing w:after="0" w:line="266" w:lineRule="auto"/>
        <w:tabs>
          <w:tab w:leader="none" w:pos="295"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parking spaces), sidewalks and landscape areas (collectively, the </w:t>
      </w:r>
      <w:r>
        <w:rPr>
          <w:rFonts w:ascii="Arial" w:cs="Arial" w:eastAsia="Arial" w:hAnsi="Arial"/>
          <w:sz w:val="16"/>
          <w:szCs w:val="16"/>
          <w:b w:val="1"/>
          <w:bCs w:val="1"/>
          <w:color w:val="auto"/>
        </w:rPr>
        <w:t>"Premises").</w:t>
      </w:r>
      <w:r>
        <w:rPr>
          <w:rFonts w:ascii="Arial" w:cs="Arial" w:eastAsia="Arial" w:hAnsi="Arial"/>
          <w:sz w:val="16"/>
          <w:szCs w:val="16"/>
          <w:color w:val="auto"/>
        </w:rPr>
        <w:t xml:space="preserve"> The approximate configuration and location of the Premises is shown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Landlord and Tenant agree that the rentable area of the Building for all purposes under this Lease shall be the Rentable Area specified in the Basic Lease Information, provided that within ninety (90) days from the Commencement Date, Tenant may have the Rentable Area of the Building verified by a CAD calculation performed by Landlord's architect. In the event that such verification reveals a discrepancy between the measured square footage of the Building as measured by Landlord's architect and the Rentable Area specified in the Basic Lease Information, and Landlord and Tenant are unable to agree upon the Rentable Area of the Premises, an independent architect acceptable to both parties (the cost of which shall be divided equally between Landlord and Tenant) shall measure the Premises in accordance with the standard herein provided. The square footage of the Building as determined by said independent architect shall be the Rentable Area of the Building, and within thirty days thereafter the parties shall execute an Addendum to this Lease confirming same and the Base Rent, Tenant's Share of Operating Costs and any other sums due hereunder based in whole or in part on the rentable square footage of the Building, and further any necessary payments or reimbursements shall be made by the appropriate party. The Rentable Area of the Building will be calculated in accordance with the American National Standard Method of Measuring Floor Area in Office Buildings, ANSI/BOMAA65.1-1996, except that the Rentable Area of the Building shall be computed as if the second floor of the Building extended through any atrium to the exterior wall, as if the atrium did not exist.</w:t>
      </w:r>
    </w:p>
    <w:p>
      <w:pPr>
        <w:spacing w:after="0" w:line="169"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 xml:space="preserve">2.1 TERM; POSSESSION. The term of this Lease (the </w:t>
      </w:r>
      <w:r>
        <w:rPr>
          <w:rFonts w:ascii="Arial" w:cs="Arial" w:eastAsia="Arial" w:hAnsi="Arial"/>
          <w:sz w:val="15"/>
          <w:szCs w:val="15"/>
          <w:b w:val="1"/>
          <w:bCs w:val="1"/>
          <w:color w:val="auto"/>
        </w:rPr>
        <w:t>"Term")</w:t>
      </w:r>
      <w:r>
        <w:rPr>
          <w:rFonts w:ascii="Arial" w:cs="Arial" w:eastAsia="Arial" w:hAnsi="Arial"/>
          <w:sz w:val="15"/>
          <w:szCs w:val="15"/>
          <w:color w:val="auto"/>
        </w:rPr>
        <w:t xml:space="preserve"> shall commence on the Commencement Date as described below and, unless sooner terminated, shall expire on the Expiration Date set forth in the Basic Lease Information (the </w:t>
      </w:r>
      <w:r>
        <w:rPr>
          <w:rFonts w:ascii="Arial" w:cs="Arial" w:eastAsia="Arial" w:hAnsi="Arial"/>
          <w:sz w:val="15"/>
          <w:szCs w:val="15"/>
          <w:b w:val="1"/>
          <w:bCs w:val="1"/>
          <w:color w:val="auto"/>
        </w:rPr>
        <w:t>"Expiration Date").</w:t>
      </w:r>
      <w:r>
        <w:rPr>
          <w:rFonts w:ascii="Arial" w:cs="Arial" w:eastAsia="Arial" w:hAnsi="Arial"/>
          <w:sz w:val="15"/>
          <w:szCs w:val="15"/>
          <w:color w:val="auto"/>
        </w:rPr>
        <w:t xml:space="preserve"> The </w:t>
      </w:r>
      <w:r>
        <w:rPr>
          <w:rFonts w:ascii="Arial" w:cs="Arial" w:eastAsia="Arial" w:hAnsi="Arial"/>
          <w:sz w:val="15"/>
          <w:szCs w:val="15"/>
          <w:b w:val="1"/>
          <w:bCs w:val="1"/>
          <w:color w:val="auto"/>
        </w:rPr>
        <w:t>"Commencement Date"</w:t>
      </w:r>
      <w:r>
        <w:rPr>
          <w:rFonts w:ascii="Arial" w:cs="Arial" w:eastAsia="Arial" w:hAnsi="Arial"/>
          <w:sz w:val="15"/>
          <w:szCs w:val="15"/>
          <w:color w:val="auto"/>
        </w:rPr>
        <w:t xml:space="preserve"> shall be the earlier of (a) the later of</w:t>
      </w:r>
    </w:p>
    <w:p>
      <w:pPr>
        <w:spacing w:after="0" w:line="1" w:lineRule="exact"/>
        <w:rPr>
          <w:sz w:val="20"/>
          <w:szCs w:val="20"/>
          <w:color w:val="auto"/>
        </w:rPr>
      </w:pPr>
    </w:p>
    <w:p>
      <w:pPr>
        <w:jc w:val="both"/>
        <w:ind w:right="60" w:firstLine="1"/>
        <w:spacing w:after="0" w:line="281" w:lineRule="auto"/>
        <w:tabs>
          <w:tab w:leader="none" w:pos="201" w:val="left"/>
        </w:tabs>
        <w:numPr>
          <w:ilvl w:val="0"/>
          <w:numId w:val="56"/>
        </w:numPr>
        <w:rPr>
          <w:rFonts w:ascii="Arial" w:cs="Arial" w:eastAsia="Arial" w:hAnsi="Arial"/>
          <w:sz w:val="15"/>
          <w:szCs w:val="15"/>
          <w:color w:val="auto"/>
        </w:rPr>
      </w:pPr>
      <w:r>
        <w:rPr>
          <w:rFonts w:ascii="Arial" w:cs="Arial" w:eastAsia="Arial" w:hAnsi="Arial"/>
          <w:sz w:val="15"/>
          <w:szCs w:val="15"/>
          <w:color w:val="auto"/>
        </w:rPr>
        <w:t xml:space="preserve">the date that is three hundred thirty (330) days after the date Landlord receives the Approvals (defined herein), or (ii) the date on which Landlord tenders possession of the Premises to Tenant, with all of Landlord's construction obligations, </w:t>
      </w:r>
      <w:r>
        <w:rPr>
          <w:rFonts w:ascii="Arial" w:cs="Arial" w:eastAsia="Arial" w:hAnsi="Arial"/>
          <w:sz w:val="15"/>
          <w:szCs w:val="15"/>
          <w:b w:val="1"/>
          <w:bCs w:val="1"/>
          <w:color w:val="auto"/>
        </w:rPr>
        <w:t>"Substantially Completed"</w:t>
      </w:r>
      <w:r>
        <w:rPr>
          <w:rFonts w:ascii="Arial" w:cs="Arial" w:eastAsia="Arial" w:hAnsi="Arial"/>
          <w:sz w:val="15"/>
          <w:szCs w:val="15"/>
          <w:color w:val="auto"/>
        </w:rPr>
        <w:t xml:space="preserve"> as provided in the Construction Rider attached as </w:t>
      </w:r>
      <w:r>
        <w:rPr>
          <w:rFonts w:ascii="Arial" w:cs="Arial" w:eastAsia="Arial" w:hAnsi="Arial"/>
          <w:sz w:val="15"/>
          <w:szCs w:val="15"/>
          <w:u w:val="single" w:color="auto"/>
          <w:color w:val="auto"/>
        </w:rPr>
        <w:t>Exhibit</w:t>
      </w:r>
      <w:r>
        <w:rPr>
          <w:rFonts w:ascii="Arial" w:cs="Arial" w:eastAsia="Arial" w:hAnsi="Arial"/>
          <w:sz w:val="15"/>
          <w:szCs w:val="15"/>
          <w:color w:val="auto"/>
        </w:rPr>
        <w:t xml:space="preserve"> B (the </w:t>
      </w:r>
      <w:r>
        <w:rPr>
          <w:rFonts w:ascii="Arial" w:cs="Arial" w:eastAsia="Arial" w:hAnsi="Arial"/>
          <w:sz w:val="15"/>
          <w:szCs w:val="15"/>
          <w:b w:val="1"/>
          <w:bCs w:val="1"/>
          <w:color w:val="auto"/>
        </w:rPr>
        <w:t xml:space="preserve">"Construction Rider") </w:t>
      </w:r>
      <w:r>
        <w:rPr>
          <w:rFonts w:ascii="Arial" w:cs="Arial" w:eastAsia="Arial" w:hAnsi="Arial"/>
          <w:sz w:val="15"/>
          <w:szCs w:val="15"/>
          <w:color w:val="auto"/>
        </w:rPr>
        <w:t>or, in the event of any</w:t>
      </w:r>
      <w:r>
        <w:rPr>
          <w:rFonts w:ascii="Arial" w:cs="Arial" w:eastAsia="Arial" w:hAnsi="Arial"/>
          <w:sz w:val="15"/>
          <w:szCs w:val="15"/>
          <w:b w:val="1"/>
          <w:bCs w:val="1"/>
          <w:color w:val="auto"/>
        </w:rPr>
        <w:t xml:space="preserve"> "Tenant Delay," </w:t>
      </w:r>
      <w:r>
        <w:rPr>
          <w:rFonts w:ascii="Arial" w:cs="Arial" w:eastAsia="Arial" w:hAnsi="Arial"/>
          <w:sz w:val="15"/>
          <w:szCs w:val="15"/>
          <w:color w:val="auto"/>
        </w:rPr>
        <w:t>as defined in the Construction Rider, the date on which Landlord could have done so had there been no</w:t>
      </w:r>
      <w:r>
        <w:rPr>
          <w:rFonts w:ascii="Arial" w:cs="Arial" w:eastAsia="Arial" w:hAnsi="Arial"/>
          <w:sz w:val="15"/>
          <w:szCs w:val="15"/>
          <w:b w:val="1"/>
          <w:bCs w:val="1"/>
          <w:color w:val="auto"/>
        </w:rPr>
        <w:t xml:space="preserve"> </w:t>
      </w:r>
      <w:r>
        <w:rPr>
          <w:rFonts w:ascii="Arial" w:cs="Arial" w:eastAsia="Arial" w:hAnsi="Arial"/>
          <w:sz w:val="15"/>
          <w:szCs w:val="15"/>
          <w:color w:val="auto"/>
        </w:rPr>
        <w:t>such Tenant Delay; or (b) the date upon which Tenant, with Landlord's written permission, actually occupies and conducts business in any portion of the Premises.</w:t>
      </w:r>
    </w:p>
    <w:p>
      <w:pPr>
        <w:spacing w:after="0" w:line="1" w:lineRule="exact"/>
        <w:rPr>
          <w:rFonts w:ascii="Arial" w:cs="Arial" w:eastAsia="Arial" w:hAnsi="Arial"/>
          <w:sz w:val="15"/>
          <w:szCs w:val="15"/>
          <w:color w:val="auto"/>
        </w:rPr>
      </w:pPr>
    </w:p>
    <w:p>
      <w:pPr>
        <w:ind w:right="80"/>
        <w:spacing w:after="0" w:line="250" w:lineRule="auto"/>
        <w:rPr>
          <w:rFonts w:ascii="Arial" w:cs="Arial" w:eastAsia="Arial" w:hAnsi="Arial"/>
          <w:sz w:val="15"/>
          <w:szCs w:val="15"/>
          <w:color w:val="auto"/>
        </w:rPr>
      </w:pPr>
      <w:r>
        <w:rPr>
          <w:rFonts w:ascii="Arial" w:cs="Arial" w:eastAsia="Arial" w:hAnsi="Arial"/>
          <w:sz w:val="17"/>
          <w:szCs w:val="17"/>
          <w:color w:val="auto"/>
        </w:rPr>
        <w:t xml:space="preserve">Landlord acknowledges that as of the date of Landlord's signature of this Lease, no Tenant Delay has occurred. The parties anticipate that the Commencement Date will occur on or about the Scheduled Commencement Date set forth in the Basic Lease Information (the </w:t>
      </w:r>
      <w:r>
        <w:rPr>
          <w:rFonts w:ascii="Arial" w:cs="Arial" w:eastAsia="Arial" w:hAnsi="Arial"/>
          <w:sz w:val="17"/>
          <w:szCs w:val="17"/>
          <w:b w:val="1"/>
          <w:bCs w:val="1"/>
          <w:color w:val="auto"/>
        </w:rPr>
        <w:t>"Scheduled Commencement Date");</w:t>
      </w:r>
      <w:r>
        <w:rPr>
          <w:rFonts w:ascii="Arial" w:cs="Arial" w:eastAsia="Arial" w:hAnsi="Arial"/>
          <w:sz w:val="17"/>
          <w:szCs w:val="17"/>
          <w:color w:val="auto"/>
        </w:rPr>
        <w:t xml:space="preserve"> provided, however, that Landlord shall not be liable for any claims, damages or liabilities except those specifically provided for in Section 2.1.1 if the Premises are not ready for occupancy by the Scheduled Commencement Date. When the Commencement Date has been established, Landlord and Tenant shall at the request of either party confirm the Commencement Date and Expiration Date in writing.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98" w:name="page99"/>
    <w:bookmarkEnd w:id="98"/>
    <w:p>
      <w:pPr>
        <w:spacing w:after="0" w:line="288" w:lineRule="auto"/>
        <w:rPr>
          <w:sz w:val="20"/>
          <w:szCs w:val="20"/>
          <w:color w:val="auto"/>
        </w:rPr>
      </w:pPr>
      <w:r>
        <w:rPr>
          <w:rFonts w:ascii="Arial" w:cs="Arial" w:eastAsia="Arial" w:hAnsi="Arial"/>
          <w:sz w:val="15"/>
          <w:szCs w:val="15"/>
          <w:color w:val="auto"/>
        </w:rPr>
        <w:t>Notwithstanding anything herein to the contrary, the parties acknowledge that Landlord has not received final approval of the Planned Unit Development for the Premises, and final approvals from the MPCA and watershed district with respect to the Premises (collectively, the "Approvals") and that to the extent that any delays in obtaining such Approvals delay Landlord's commencement or completion of construction of the Premises, then the time or deadline for all performances by Landlord set forth in this Lease and the Construction Rider (including without limitation, the Scheduled Commencement Date and the various deadlines set forth in Section 2.1.1) shall be extended one day for each day from and after September 15, 2007 through and including the date Landlord receives such Approvals. Landlord shall promptly notify Tenant in writing of the date Landlord obtains the Approvals and of any construction delays caused by delay in obtaining the Approvals. Upon request by either party, the parties agree to confirm the extension of any applicable time or deadline for performance by Landlord pursuant to a written Addendum to this Lease. Notwithstanding anything herein to the contrary, the parties hereby acknowledge and agree that if Landlord obtains the Approvals on October 5, 2007, then delays experienced by Landlord in obtaining the Approvals will cause the Scheduled Commencement Date to be delayed until September 5, 2008 and will similarly extend the time or deadlines for performance set forth in this Lease (including without limitation Section 2.1.1), by a period of twenty (20) days.</w:t>
      </w:r>
    </w:p>
    <w:p>
      <w:pPr>
        <w:spacing w:after="0" w:line="157" w:lineRule="exact"/>
        <w:rPr>
          <w:sz w:val="20"/>
          <w:szCs w:val="20"/>
          <w:color w:val="auto"/>
        </w:rPr>
      </w:pPr>
    </w:p>
    <w:p>
      <w:pPr>
        <w:ind w:right="140" w:firstLine="546"/>
        <w:spacing w:after="0" w:line="277" w:lineRule="auto"/>
        <w:rPr>
          <w:sz w:val="20"/>
          <w:szCs w:val="20"/>
          <w:color w:val="auto"/>
        </w:rPr>
      </w:pPr>
      <w:r>
        <w:rPr>
          <w:rFonts w:ascii="Arial" w:cs="Arial" w:eastAsia="Arial" w:hAnsi="Arial"/>
          <w:sz w:val="16"/>
          <w:szCs w:val="16"/>
          <w:color w:val="auto"/>
        </w:rPr>
        <w:t>2.1.1 In the event Landlord does not deliver possession of the Substantially Completed Premises to Tenant by August 15, 2008, and such failure is not caused by any of the events described in Section 26 — Force Majeure — or by Tenant Delay, Tenant shall receive a credit against Rent first coming due in an amount equal to one day's Rent for each day of delay. By way of example, if Landlord delivers possession of the Substantially Completed Premises to Tenant on August 20, 2008 (and such delay was not caused by a Force Majeure or Tenant Delay), Tenant's liability for Rent would commence on August 25, 2008.</w:t>
      </w:r>
    </w:p>
    <w:p>
      <w:pPr>
        <w:spacing w:after="0" w:line="16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Extended Term.</w:t>
      </w:r>
      <w:r>
        <w:rPr>
          <w:rFonts w:ascii="Arial" w:cs="Arial" w:eastAsia="Arial" w:hAnsi="Arial"/>
          <w:sz w:val="17"/>
          <w:szCs w:val="17"/>
          <w:color w:val="auto"/>
        </w:rPr>
        <w:t xml:space="preserve"> Landlord grants to Tenant the option to extend the Term of this Lease for two (2) additional periods of five (5) years each ("Extension Terms"), subject to and upon the following conditions:</w:t>
      </w:r>
    </w:p>
    <w:p>
      <w:pPr>
        <w:spacing w:after="0" w:line="166" w:lineRule="exact"/>
        <w:rPr>
          <w:sz w:val="20"/>
          <w:szCs w:val="20"/>
          <w:color w:val="auto"/>
        </w:rPr>
      </w:pPr>
    </w:p>
    <w:p>
      <w:pPr>
        <w:ind w:left="2020" w:hanging="865"/>
        <w:spacing w:after="0"/>
        <w:tabs>
          <w:tab w:leader="none" w:pos="20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Extension Terms will commence as of the expiration of the preceding Term of this Lease.</w:t>
      </w:r>
    </w:p>
    <w:p>
      <w:pPr>
        <w:spacing w:after="0" w:line="209" w:lineRule="exact"/>
        <w:rPr>
          <w:rFonts w:ascii="Arial" w:cs="Arial" w:eastAsia="Arial" w:hAnsi="Arial"/>
          <w:sz w:val="17"/>
          <w:szCs w:val="17"/>
          <w:color w:val="auto"/>
        </w:rPr>
      </w:pPr>
    </w:p>
    <w:p>
      <w:pPr>
        <w:ind w:right="460" w:firstLine="1155"/>
        <w:spacing w:after="0" w:line="271" w:lineRule="auto"/>
        <w:tabs>
          <w:tab w:leader="none" w:pos="1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Tenant will give written notice of exercise to Landlord not less than twelve (12) months prior to the commencement of the Extension Terms, time being of the essence.</w:t>
      </w:r>
    </w:p>
    <w:p>
      <w:pPr>
        <w:spacing w:after="0" w:line="165" w:lineRule="exact"/>
        <w:rPr>
          <w:rFonts w:ascii="Arial" w:cs="Arial" w:eastAsia="Arial" w:hAnsi="Arial"/>
          <w:sz w:val="17"/>
          <w:szCs w:val="17"/>
          <w:color w:val="auto"/>
        </w:rPr>
      </w:pPr>
    </w:p>
    <w:p>
      <w:pPr>
        <w:ind w:left="2020" w:hanging="865"/>
        <w:spacing w:after="0"/>
        <w:tabs>
          <w:tab w:leader="none" w:pos="20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Extension Terms will be upon all of the terms and conditions of this Lease, except that Base Rent will be equal to the Market Rate</w:t>
      </w:r>
    </w:p>
    <w:p>
      <w:pPr>
        <w:spacing w:after="0" w:line="42" w:lineRule="exact"/>
        <w:rPr>
          <w:sz w:val="20"/>
          <w:szCs w:val="20"/>
          <w:color w:val="auto"/>
        </w:rPr>
      </w:pPr>
    </w:p>
    <w:p>
      <w:pPr>
        <w:ind w:right="620"/>
        <w:spacing w:after="0" w:line="205" w:lineRule="auto"/>
        <w:rPr>
          <w:sz w:val="20"/>
          <w:szCs w:val="20"/>
          <w:color w:val="auto"/>
        </w:rPr>
      </w:pPr>
      <w:r>
        <w:rPr>
          <w:rFonts w:ascii="Arial" w:cs="Arial" w:eastAsia="Arial" w:hAnsi="Arial"/>
          <w:sz w:val="17"/>
          <w:szCs w:val="17"/>
          <w:color w:val="auto"/>
        </w:rPr>
        <w:t>for the Extension Tenn. If Landlord and Tenant cannot agree upon the Market Rate for the Extension Tern</w:t>
      </w:r>
      <w:r>
        <w:rPr>
          <w:rFonts w:ascii="Arial" w:cs="Arial" w:eastAsia="Arial" w:hAnsi="Arial"/>
          <w:sz w:val="28"/>
          <w:szCs w:val="28"/>
          <w:color w:val="auto"/>
          <w:vertAlign w:val="superscript"/>
        </w:rPr>
        <w:t>-</w:t>
      </w:r>
      <w:r>
        <w:rPr>
          <w:rFonts w:ascii="Arial" w:cs="Arial" w:eastAsia="Arial" w:hAnsi="Arial"/>
          <w:sz w:val="17"/>
          <w:szCs w:val="17"/>
          <w:color w:val="auto"/>
        </w:rPr>
        <w:t>is within the time frame set forth in Section 3.1.2, the determination of the Market Rate will be made in accordance with the terms of Section 3.1.2.</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329" w:right="259" w:bottom="1440" w:gutter="0" w:footer="0" w:header="0"/>
        </w:sectPr>
      </w:pPr>
    </w:p>
    <w:bookmarkStart w:id="99" w:name="page100"/>
    <w:bookmarkEnd w:id="99"/>
    <w:p>
      <w:pPr>
        <w:ind w:right="400" w:firstLine="1155"/>
        <w:spacing w:after="0" w:line="271" w:lineRule="auto"/>
        <w:tabs>
          <w:tab w:leader="none" w:pos="1643"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Lease must be in full force and effect and no Event of Default shall be in existence at either the time of exercise or at any time prior to commencement of the Extension Terms.</w:t>
      </w:r>
    </w:p>
    <w:p>
      <w:pPr>
        <w:spacing w:after="0" w:line="166"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Material Delay in Delivery.</w:t>
      </w:r>
      <w:r>
        <w:rPr>
          <w:rFonts w:ascii="Arial" w:cs="Arial" w:eastAsia="Arial" w:hAnsi="Arial"/>
          <w:sz w:val="15"/>
          <w:szCs w:val="15"/>
          <w:color w:val="auto"/>
        </w:rPr>
        <w:t xml:space="preserve"> Notwithstanding anything to the contrary contained in this Lease, if other than due to Force Majeure or Tenant Delays Landlord fails to cause the Premises to be Substantially Complete by January 15, 2009 (or fails, other than due to Tenant Delays, to cause the Premises to be Substantially Complete by June 15, 2009), then Tenant may, upon thirty (30) days prior written notice, terminate this Lease, provided that if Landlord shall cause the Premises to be Substantially Complete prior to the expiration of the thirty (30) day period, this Lease shall remain in full force and effect and the termination notice shall be deemed null and void.</w:t>
      </w:r>
    </w:p>
    <w:p>
      <w:pPr>
        <w:spacing w:after="0" w:line="147" w:lineRule="exact"/>
        <w:rPr>
          <w:sz w:val="20"/>
          <w:szCs w:val="20"/>
          <w:color w:val="auto"/>
        </w:rPr>
      </w:pPr>
    </w:p>
    <w:p>
      <w:pPr>
        <w:ind w:left="420" w:hanging="419"/>
        <w:spacing w:after="0"/>
        <w:tabs>
          <w:tab w:leader="none" w:pos="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RENT.</w:t>
      </w:r>
    </w:p>
    <w:p>
      <w:pPr>
        <w:spacing w:after="0" w:line="209" w:lineRule="exact"/>
        <w:rPr>
          <w:sz w:val="20"/>
          <w:szCs w:val="20"/>
          <w:color w:val="auto"/>
        </w:rPr>
      </w:pPr>
    </w:p>
    <w:p>
      <w:pPr>
        <w:jc w:val="both"/>
        <w:ind w:right="180" w:firstLine="546"/>
        <w:spacing w:after="0" w:line="26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Base Rent.</w:t>
      </w:r>
      <w:r>
        <w:rPr>
          <w:rFonts w:ascii="Arial" w:cs="Arial" w:eastAsia="Arial" w:hAnsi="Arial"/>
          <w:sz w:val="17"/>
          <w:szCs w:val="17"/>
          <w:color w:val="auto"/>
        </w:rPr>
        <w:t xml:space="preserve"> Tenant agrees to pay to Landlord the Base Rent set forth in the Basic Lease Information, without prior notice or demand, on the first day of each and every calendar month during the Term. Base Rent for any partial month at the beginning or end of the Term shall be prorated based on the actual number of days in the month.</w:t>
      </w:r>
    </w:p>
    <w:p>
      <w:pPr>
        <w:spacing w:after="0" w:line="17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Base Rent: Extension Term.</w:t>
      </w:r>
      <w:r>
        <w:rPr>
          <w:rFonts w:ascii="Arial" w:cs="Arial" w:eastAsia="Arial" w:hAnsi="Arial"/>
          <w:sz w:val="16"/>
          <w:szCs w:val="16"/>
          <w:color w:val="auto"/>
        </w:rPr>
        <w:t xml:space="preserve"> Tenant agrees to pay to Landlord Base Rent for the Extension Term at the market rate ("Market Rate").</w:t>
      </w:r>
    </w:p>
    <w:p>
      <w:pPr>
        <w:spacing w:after="0" w:line="221" w:lineRule="exact"/>
        <w:rPr>
          <w:sz w:val="20"/>
          <w:szCs w:val="20"/>
          <w:color w:val="auto"/>
        </w:rPr>
      </w:pPr>
    </w:p>
    <w:p>
      <w:pPr>
        <w:ind w:right="60" w:firstLine="1154"/>
        <w:spacing w:after="0" w:line="266" w:lineRule="auto"/>
        <w:rPr>
          <w:sz w:val="20"/>
          <w:szCs w:val="20"/>
          <w:color w:val="auto"/>
        </w:rPr>
      </w:pPr>
      <w:r>
        <w:rPr>
          <w:rFonts w:ascii="Arial" w:cs="Arial" w:eastAsia="Arial" w:hAnsi="Arial"/>
          <w:sz w:val="16"/>
          <w:szCs w:val="16"/>
          <w:color w:val="auto"/>
        </w:rPr>
        <w:t>Market Rate shall be set at a single annual dollar amount per square feet (but shall be payable monthly in accordance with the terms of this Lease), and shall be defined as what an arm's-length, non-expansion, non-equity tenant of comparable credit to Tenant would, as of the beginning of the term in question, pay for space of comparable size, quality, utility and location, taking into account the length of the term and all comparable allowances and concessions being offered in the market. The Market Rate shall be determined as follows: Within thirty (30) days after Landlord receives notice from Tenant of Tenant's election to exercise an Extension Option, Landlord will give notice to Tenant of its determination of the Market Rate for the Premises and Landlord's determination will constitute the Market Rate unless Tenant objects by notice to Landlord in writing within thirty (30) days after Tenant's receipt of Landlord's determination. Landlord's notice of determination shall include a statement in all capitalized, 12 point or larger type on the first page of the notice, stating: "THE DETERMINATION OF MARKET RENT SET FORTH HEREIN SHALL BE BINDING ON TENANT UNLESS TENANT SHALL OBJECT THERETO WITHIN 30 DAYS OF TENANT'S RECEIPT OF THIS NOTICE." If Tenant so objects, the parties shall meet within Fifteen (15) days after Tenant's objection and attempt to agree on the Market Rate. If the parties are unable to agree upon the Market Rate within such Fifteen (15) day period after the Tenant's objection, then at the request of either party, the Market Rate will be determined by appraisal, made by a board of appraisers consisting of three reputable real estate appraisers (each an "Expert"), each of whom has been actively involved in commercial real estate in Minneapolis, Minnesota no less than ten years prior to appointment. In addition, each such Expert shall have been active over the five (5) year period ending on the date of such appointment in the appraisal of comparable commercial properties in the Minneapolis-St. Paul metropolitan area. One Expert will be appointed by Tenant, and one Expert will be appointed by Landlord. Both Landlord and Tenant shall appoint their Expert within fifteen (15) days after the failure of Landlord and Tenant to agree on the Market Rate.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329" w:right="259" w:bottom="1440" w:gutter="0" w:footer="0" w:header="0"/>
        </w:sectPr>
      </w:pPr>
    </w:p>
    <w:bookmarkStart w:id="100" w:name="page101"/>
    <w:bookmarkEnd w:id="100"/>
    <w:p>
      <w:pPr>
        <w:spacing w:after="0" w:line="266" w:lineRule="auto"/>
        <w:rPr>
          <w:sz w:val="20"/>
          <w:szCs w:val="20"/>
          <w:color w:val="auto"/>
        </w:rPr>
      </w:pPr>
      <w:r>
        <w:rPr>
          <w:rFonts w:ascii="Arial" w:cs="Arial" w:eastAsia="Arial" w:hAnsi="Arial"/>
          <w:sz w:val="16"/>
          <w:szCs w:val="16"/>
          <w:color w:val="auto"/>
        </w:rPr>
        <w:t>The third Expert will be appointed by the first two Experts. If the first two Experts are unable to agree on a third Expert within ten (10) days after the appointment of the second Expert, or if either party refuses or neglects to appoint an Expert as herein provided within fifteen (15) days after the appointment of the first Expert, then the third Expert or the second Expert, whose appointment was not made as provided above, may be appointed by any active judge of the Hennepin County District Court. If determinations of at least two of the Experts are identical in amount, that amount will be determined to be the Market Rate. If the determinations of all three Experts are different in amount, the highest appraised value will be averaged with the middle value (that average being referred to as "Sum A"). The lowest appraised value will be averaged with the middle value (that average being referred to as "Sum B"), and the Market Rate will be determined as follows: (i) if neither Sum A nor Sum B differs from the middle appraised value by more than 10% of the middle appraised value, then the Market Rate will be the average of the three appraisals, (ii) if either Sum A or Sum B (but not both) differs from the middle appraised value by more than 10% of the middle appraised value, then the Market Rate will be the average of the middle appraised value and the appraised value closer in amount to the middle appraised value, and (iii) if both Sum A and Sum B differ from the middle appraised value by more than 10% of the middle appraised value, then the Market Rate will be equal to the middle appraised value. Written notice of the Market Rate as duly determined in accordance with this Section shall be promptly given to Landlord and Tenant and will be binding and conclusive on them. Each party will bear its own expenses in connection with the board proceeding, except that the fees of the Experts will be borne equally. If, for any reason, the Market Rate has not been determined at the time of the commencement of the Extension Term, then the Market Rate will be the amount set forth in Landlord's determination, and if the determination of the Experts as provided above indicates that a lesser or greater amount should have been paid than that which was actually paid, a proper adjustment will be made in a payment from Landlord to Tenant, or Tenant to Landlord, as the case may be, such payment to be made within thirty (30) days of the determination of the Market Rate.</w:t>
      </w:r>
    </w:p>
    <w:p>
      <w:pPr>
        <w:spacing w:after="0" w:line="179" w:lineRule="exact"/>
        <w:rPr>
          <w:sz w:val="20"/>
          <w:szCs w:val="20"/>
          <w:color w:val="auto"/>
        </w:rPr>
      </w:pPr>
    </w:p>
    <w:p>
      <w:pPr>
        <w:ind w:left="600"/>
        <w:spacing w:after="0"/>
        <w:tabs>
          <w:tab w:leader="none" w:pos="110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u w:val="single" w:color="auto"/>
          <w:color w:val="auto"/>
        </w:rPr>
        <w:t>Additional Rent: Increases in Operating Costs and Taxes.</w:t>
      </w:r>
    </w:p>
    <w:p>
      <w:pPr>
        <w:spacing w:after="0" w:line="209" w:lineRule="exact"/>
        <w:rPr>
          <w:sz w:val="20"/>
          <w:szCs w:val="20"/>
          <w:color w:val="auto"/>
        </w:rPr>
      </w:pPr>
    </w:p>
    <w:p>
      <w:pPr>
        <w:ind w:left="1640" w:hanging="485"/>
        <w:spacing w:after="0"/>
        <w:tabs>
          <w:tab w:leader="none" w:pos="164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Definitions.</w:t>
      </w:r>
    </w:p>
    <w:p>
      <w:pPr>
        <w:spacing w:after="0" w:line="205" w:lineRule="exact"/>
        <w:rPr>
          <w:rFonts w:ascii="Arial" w:cs="Arial" w:eastAsia="Arial" w:hAnsi="Arial"/>
          <w:sz w:val="17"/>
          <w:szCs w:val="17"/>
          <w:color w:val="auto"/>
        </w:rPr>
      </w:pPr>
    </w:p>
    <w:p>
      <w:pPr>
        <w:ind w:right="60" w:firstLine="1702"/>
        <w:spacing w:after="0" w:line="289" w:lineRule="auto"/>
        <w:tabs>
          <w:tab w:leader="none" w:pos="2192" w:val="left"/>
        </w:tabs>
        <w:numPr>
          <w:ilvl w:val="1"/>
          <w:numId w:val="6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Costs" </w:t>
      </w:r>
      <w:r>
        <w:rPr>
          <w:rFonts w:ascii="Arial" w:cs="Arial" w:eastAsia="Arial" w:hAnsi="Arial"/>
          <w:sz w:val="15"/>
          <w:szCs w:val="15"/>
          <w:color w:val="auto"/>
        </w:rPr>
        <w:t>means all costs of managing, operating, maintaining and repairing the Premises, including, but not limited to, all</w:t>
      </w:r>
      <w:r>
        <w:rPr>
          <w:rFonts w:ascii="Arial" w:cs="Arial" w:eastAsia="Arial" w:hAnsi="Arial"/>
          <w:sz w:val="15"/>
          <w:szCs w:val="15"/>
          <w:b w:val="1"/>
          <w:bCs w:val="1"/>
          <w:color w:val="auto"/>
        </w:rPr>
        <w:t xml:space="preserve"> </w:t>
      </w:r>
      <w:r>
        <w:rPr>
          <w:rFonts w:ascii="Arial" w:cs="Arial" w:eastAsia="Arial" w:hAnsi="Arial"/>
          <w:sz w:val="15"/>
          <w:szCs w:val="15"/>
          <w:color w:val="auto"/>
        </w:rPr>
        <w:t>costs, expenditures, fees and charges for: (A) operation, maintenance and repair of the Premises (including maintenance, repair and replacement of glass, the roof covering or membrane, parking lot (including, without limitation, sealcoating, sweeping, striping and patching), and landscaping); (B) utilities and services (including telecommunications facilities and equipment, recycling programs and trash removal), and associated supplies and materials; (C) compensation (including employment taxes and fringe benefits) for persons who perform duties in connection with the operation, management, maintenance and repair of the Building, such compensation to be appropriately allocated for persons who also perform duties unrelated to the Building; (D) property (excluding coverage for earthquake and flood if carried by Landlord), liability, rental income (not to exceed 12 months' coverage) and other insurance relating to the Premises, and, to the extent of any claim thereunder that is subject to a deductible or retention, the amount of any deductible or retention under any such policies (other than any deductible or retention under any liability insurance policy that Landlord may maintain in addition to the liability policy described in Section 11.1(a) below); (E) licenses,</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60"/>
          </w:cols>
          <w:pgMar w:left="240" w:top="329" w:right="299" w:bottom="1440" w:gutter="0" w:footer="0" w:header="0"/>
        </w:sectPr>
      </w:pPr>
    </w:p>
    <w:bookmarkStart w:id="101" w:name="page102"/>
    <w:bookmarkEnd w:id="101"/>
    <w:p>
      <w:pPr>
        <w:spacing w:after="0" w:line="288" w:lineRule="auto"/>
        <w:rPr>
          <w:sz w:val="20"/>
          <w:szCs w:val="20"/>
          <w:color w:val="auto"/>
        </w:rPr>
      </w:pPr>
      <w:r>
        <w:rPr>
          <w:rFonts w:ascii="Arial" w:cs="Arial" w:eastAsia="Arial" w:hAnsi="Arial"/>
          <w:sz w:val="15"/>
          <w:szCs w:val="15"/>
          <w:color w:val="auto"/>
        </w:rPr>
        <w:t>permits and inspections; (F) complying with the requirements of any law, statute, ordinance or governmental rule or regulation or any orders pursuant thereto (collectively "Laws"); (G) amortization over the useful life thereof of capital improvements required to comply with Laws, or which are intended to reduce Operating Costs (not to exceed the amount of such savings in any event) or installed (if such installation is approved by Tenant in its reasonable discretion) to improve the utility, efficiency or capacity of any Building System, with interest on the unamortized balance at the rate paid by Landlord on funds borrowed to finance such capital improvements (or, if Landlord finances such improvements out of Landlord's funds without borrowing, the rate that Landlord would have paid to borrow such funds, as reasonably determined by Landlord), over such useful life as Landlord shall reasonably determine; (H) property management fees (not to exceed 3% of gross rental); (I) accounting, legal and other professional services incurred in connection with the operation of the Premises and the calculation of Operating Costs and Taxes; (J) contesting (to the extent such contest is approved by Tenant in its reasonable discretion) the validity or applicability of any Laws that may affect the Premises; (K) the Building's share of any shared or common area maintenance fees and expenses (including costs and expenses of operating,</w:t>
      </w:r>
    </w:p>
    <w:p>
      <w:pPr>
        <w:spacing w:after="0" w:line="16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managing, owning and maintaining any common parking or other common areas within any project of which the Premises are a part and including costs payable to the City pursuant to the Developer's Agreement relative to maintenance of the storm sewer pond serving the Premises); (L) the Building's share (which shall be equal to fifty percent (50%) of total costs thereof) of maintenance and repair of any skyway between the Premises and the Expansion Property (defined in Section 33 herein); and (M) any other cost, expenditure, fee or charge, whether or not hereinbefore described, which in accordance with generally accepted property management practices would be considered an expense of managing, operating, maintaining and repairing the Premises (but excluding any such costs that may relate to the ownership or management of the asset as distinguished from the Premises itself).</w:t>
      </w:r>
    </w:p>
    <w:p>
      <w:pPr>
        <w:spacing w:after="0" w:line="17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Operating Costs shall not include (i) capital improvements (except as otherwise provided above); (ii) costs of special services rendered to individual tenants (including Tenant) for which a special charge is made; (iii) interest and principal payments on loans or indebtedness secured by the Building; (iv) costs of improvements for Tenant or other tenants of the Building; (v) costs of services or other benefits of a type which are not available to Tenant but which are available to other tenants or occupants, and costs for which Landlord is reimbursed by other tenants of the Building other than through payment of tenants' shares of increases in Operating Costs and Taxes; (vi) leasing commissions, attorneys' fees and other expenses incurred in connection with leasing space in the Building or enforcing such leases; (vii) depreciation or amortization, other than as specifically enumerated in the definition of Operating Costs above; and (viii) costs, fines or penalties incurred due to Landlord's violation of any Law.</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Operating Costs shall further not include:</w:t>
      </w:r>
    </w:p>
    <w:p>
      <w:pPr>
        <w:spacing w:after="0" w:line="209" w:lineRule="exact"/>
        <w:rPr>
          <w:sz w:val="20"/>
          <w:szCs w:val="20"/>
          <w:color w:val="auto"/>
        </w:rPr>
      </w:pPr>
    </w:p>
    <w:p>
      <w:pPr>
        <w:ind w:left="1360" w:hanging="751"/>
        <w:spacing w:after="0"/>
        <w:tabs>
          <w:tab w:leader="none" w:pos="13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Costs of correcting any violations of any Laws (including any fines or penalties and interest thereon) by Landlord or its employees, agents or</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contractors;</w:t>
      </w:r>
    </w:p>
    <w:p>
      <w:pPr>
        <w:spacing w:after="0" w:line="197" w:lineRule="exact"/>
        <w:rPr>
          <w:rFonts w:ascii="Arial" w:cs="Arial" w:eastAsia="Arial" w:hAnsi="Arial"/>
          <w:sz w:val="16"/>
          <w:szCs w:val="16"/>
          <w:color w:val="auto"/>
        </w:rPr>
      </w:pPr>
    </w:p>
    <w:p>
      <w:pPr>
        <w:ind w:right="880" w:firstLine="609"/>
        <w:spacing w:after="0" w:line="271" w:lineRule="auto"/>
        <w:tabs>
          <w:tab w:leader="none" w:pos="1352" w:val="left"/>
        </w:tabs>
        <w:numPr>
          <w:ilvl w:val="0"/>
          <w:numId w:val="61"/>
        </w:numPr>
        <w:rPr>
          <w:rFonts w:ascii="Arial" w:cs="Arial" w:eastAsia="Arial" w:hAnsi="Arial"/>
          <w:sz w:val="17"/>
          <w:szCs w:val="17"/>
          <w:color w:val="auto"/>
        </w:rPr>
      </w:pPr>
      <w:r>
        <w:rPr>
          <w:rFonts w:ascii="Arial" w:cs="Arial" w:eastAsia="Arial" w:hAnsi="Arial"/>
          <w:sz w:val="17"/>
          <w:szCs w:val="17"/>
          <w:color w:val="auto"/>
        </w:rPr>
        <w:t>Leasing commissions, costs and disbursements and any other cost or expense incurred in connection with negotiations or disputes with Building occupants, or prospective occupants of the Building;</w:t>
      </w: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40"/>
          </w:cols>
          <w:pgMar w:left="240" w:top="329" w:right="319" w:bottom="1440" w:gutter="0" w:footer="0" w:header="0"/>
        </w:sectPr>
      </w:pPr>
    </w:p>
    <w:bookmarkStart w:id="102" w:name="page103"/>
    <w:bookmarkEnd w:id="102"/>
    <w:p>
      <w:pPr>
        <w:ind w:left="-609" w:right="560" w:firstLine="609"/>
        <w:spacing w:after="0" w:line="271" w:lineRule="auto"/>
        <w:tabs>
          <w:tab w:leader="none" w:pos="743" w:val="left"/>
        </w:tabs>
        <w:numPr>
          <w:ilvl w:val="0"/>
          <w:numId w:val="62"/>
        </w:numPr>
        <w:rPr>
          <w:rFonts w:ascii="Arial" w:cs="Arial" w:eastAsia="Arial" w:hAnsi="Arial"/>
          <w:sz w:val="17"/>
          <w:szCs w:val="17"/>
          <w:color w:val="auto"/>
        </w:rPr>
      </w:pPr>
      <w:r>
        <w:rPr>
          <w:rFonts w:ascii="Arial" w:cs="Arial" w:eastAsia="Arial" w:hAnsi="Arial"/>
          <w:sz w:val="17"/>
          <w:szCs w:val="17"/>
          <w:color w:val="auto"/>
        </w:rPr>
        <w:t>Legal fees, costs and disbursements related to the initial development of the Premises or any sale or marketing of the property or the preparation of the Premises for sale;</w:t>
      </w:r>
    </w:p>
    <w:p>
      <w:pPr>
        <w:spacing w:after="0" w:line="165" w:lineRule="exact"/>
        <w:rPr>
          <w:rFonts w:ascii="Arial" w:cs="Arial" w:eastAsia="Arial" w:hAnsi="Arial"/>
          <w:sz w:val="17"/>
          <w:szCs w:val="17"/>
          <w:color w:val="auto"/>
        </w:rPr>
      </w:pPr>
    </w:p>
    <w:p>
      <w:pPr>
        <w:ind w:left="-609" w:right="80" w:firstLine="609"/>
        <w:spacing w:after="0" w:line="256" w:lineRule="auto"/>
        <w:tabs>
          <w:tab w:leader="none" w:pos="734"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special assessments or other taxes which are charged against the land or the Building to compensate any taxing authority for special assessments which were levied or pending on the Commencement Date and any special assessments which might be levied to compensate any taxing authority for the initial construction of any improvements and local infrastructure necessary for the use and operation of the Building to the extent incurred in connection with the initial construction of the Premises;</w:t>
      </w:r>
    </w:p>
    <w:p>
      <w:pPr>
        <w:spacing w:after="0" w:line="178" w:lineRule="exact"/>
        <w:rPr>
          <w:rFonts w:ascii="Arial" w:cs="Arial" w:eastAsia="Arial" w:hAnsi="Arial"/>
          <w:sz w:val="17"/>
          <w:szCs w:val="17"/>
          <w:color w:val="auto"/>
        </w:rPr>
      </w:pPr>
    </w:p>
    <w:p>
      <w:pPr>
        <w:ind w:left="-609" w:right="220" w:firstLine="609"/>
        <w:spacing w:after="0" w:line="283" w:lineRule="auto"/>
        <w:tabs>
          <w:tab w:leader="none" w:pos="743"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Costs of correcting defects in, or inadequacy of, the design or construction of the Building or the materials used in the construction of the Building or in the Building equipment or appurtenances thereto, except that, for the purposes of this paragraph, conditions (not occasioned by or related to design, materials or construction defects or inadequacies) resulting from ordinary wear and tear and use shall not be deemed defects;</w:t>
      </w:r>
    </w:p>
    <w:p>
      <w:pPr>
        <w:spacing w:after="0" w:line="158" w:lineRule="exact"/>
        <w:rPr>
          <w:rFonts w:ascii="Arial" w:cs="Arial" w:eastAsia="Arial" w:hAnsi="Arial"/>
          <w:sz w:val="16"/>
          <w:szCs w:val="16"/>
          <w:color w:val="auto"/>
        </w:rPr>
      </w:pPr>
    </w:p>
    <w:p>
      <w:pPr>
        <w:ind w:left="751" w:hanging="751"/>
        <w:spacing w:after="0"/>
        <w:tabs>
          <w:tab w:leader="none" w:pos="751" w:val="left"/>
        </w:tabs>
        <w:numPr>
          <w:ilvl w:val="0"/>
          <w:numId w:val="62"/>
        </w:numPr>
        <w:rPr>
          <w:rFonts w:ascii="Arial" w:cs="Arial" w:eastAsia="Arial" w:hAnsi="Arial"/>
          <w:sz w:val="17"/>
          <w:szCs w:val="17"/>
          <w:color w:val="auto"/>
        </w:rPr>
      </w:pPr>
      <w:r>
        <w:rPr>
          <w:rFonts w:ascii="Arial" w:cs="Arial" w:eastAsia="Arial" w:hAnsi="Arial"/>
          <w:sz w:val="17"/>
          <w:szCs w:val="17"/>
          <w:color w:val="auto"/>
        </w:rPr>
        <w:t>Depreciation and amortization, except as otherwise provided above;</w:t>
      </w:r>
    </w:p>
    <w:p>
      <w:pPr>
        <w:spacing w:after="0" w:line="209" w:lineRule="exact"/>
        <w:rPr>
          <w:rFonts w:ascii="Arial" w:cs="Arial" w:eastAsia="Arial" w:hAnsi="Arial"/>
          <w:sz w:val="17"/>
          <w:szCs w:val="17"/>
          <w:color w:val="auto"/>
        </w:rPr>
      </w:pPr>
    </w:p>
    <w:p>
      <w:pPr>
        <w:ind w:left="-609" w:right="420" w:firstLine="609"/>
        <w:spacing w:after="0" w:line="271" w:lineRule="auto"/>
        <w:tabs>
          <w:tab w:leader="none" w:pos="743"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Costs (and reserves therefor) of a capital nature irrespective of the amount thereof, including capital improvements, capital repairs and replacements and capital equipment, except as otherwise provided above;</w:t>
      </w:r>
    </w:p>
    <w:p>
      <w:pPr>
        <w:spacing w:after="0" w:line="165" w:lineRule="exact"/>
        <w:rPr>
          <w:rFonts w:ascii="Arial" w:cs="Arial" w:eastAsia="Arial" w:hAnsi="Arial"/>
          <w:sz w:val="17"/>
          <w:szCs w:val="17"/>
          <w:color w:val="auto"/>
        </w:rPr>
      </w:pPr>
    </w:p>
    <w:p>
      <w:pPr>
        <w:ind w:left="-609" w:right="100" w:firstLine="609"/>
        <w:spacing w:after="0" w:line="293" w:lineRule="auto"/>
        <w:tabs>
          <w:tab w:leader="none" w:pos="743" w:val="left"/>
        </w:tabs>
        <w:numPr>
          <w:ilvl w:val="0"/>
          <w:numId w:val="62"/>
        </w:numPr>
        <w:rPr>
          <w:rFonts w:ascii="Arial" w:cs="Arial" w:eastAsia="Arial" w:hAnsi="Arial"/>
          <w:sz w:val="15"/>
          <w:szCs w:val="15"/>
          <w:color w:val="auto"/>
        </w:rPr>
      </w:pPr>
      <w:r>
        <w:rPr>
          <w:rFonts w:ascii="Arial" w:cs="Arial" w:eastAsia="Arial" w:hAnsi="Arial"/>
          <w:sz w:val="15"/>
          <w:szCs w:val="15"/>
          <w:color w:val="auto"/>
        </w:rPr>
        <w:t>Fees or costs for management of the Building or management of the asset other than the approved management fee, including any property management fee paid to a property management company for the Building, or any fees, costs or expenses associated with any accounting, bill-paying or management activities (but fees or commissions paid to a third party risk manager, to a third party administrator of insurance claims pertaining to the Premises, and to an insurance broker or agent, to the extent fairly allocable to the Premises, may be included in Operating Costs). It is contemplated that there will be a single management fee, not to exceed 3% of the gross rent of the lease and no duplication of the fee, nor in the event that the Building has an asset manager as distinguished from a property manager, is it intended that any of the costs of that asset manager be borne by Tenant;</w:t>
      </w:r>
    </w:p>
    <w:p>
      <w:pPr>
        <w:spacing w:after="0" w:line="153" w:lineRule="exact"/>
        <w:rPr>
          <w:rFonts w:ascii="Arial" w:cs="Arial" w:eastAsia="Arial" w:hAnsi="Arial"/>
          <w:sz w:val="15"/>
          <w:szCs w:val="15"/>
          <w:color w:val="auto"/>
        </w:rPr>
      </w:pPr>
    </w:p>
    <w:p>
      <w:pPr>
        <w:ind w:left="-609" w:right="240" w:firstLine="609"/>
        <w:spacing w:after="0" w:line="260" w:lineRule="auto"/>
        <w:tabs>
          <w:tab w:leader="none" w:pos="734" w:val="left"/>
        </w:tabs>
        <w:numPr>
          <w:ilvl w:val="0"/>
          <w:numId w:val="62"/>
        </w:numPr>
        <w:rPr>
          <w:rFonts w:ascii="Arial" w:cs="Arial" w:eastAsia="Arial" w:hAnsi="Arial"/>
          <w:sz w:val="17"/>
          <w:szCs w:val="17"/>
          <w:color w:val="auto"/>
        </w:rPr>
      </w:pPr>
      <w:r>
        <w:rPr>
          <w:rFonts w:ascii="Arial" w:cs="Arial" w:eastAsia="Arial" w:hAnsi="Arial"/>
          <w:sz w:val="17"/>
          <w:szCs w:val="17"/>
          <w:color w:val="auto"/>
        </w:rPr>
        <w:t>Amounts which would otherwise be included in Operating Costs which are payable to affiliates of Landlord, for services on or to the Building or the Land to the extent that the costs of such services exceed average competitive costs for such services rendered by persons or entities of similar skill, competence and experience, other than an affiliate of Landlord;</w:t>
      </w:r>
    </w:p>
    <w:p>
      <w:pPr>
        <w:spacing w:after="0" w:line="174" w:lineRule="exact"/>
        <w:rPr>
          <w:rFonts w:ascii="Arial" w:cs="Arial" w:eastAsia="Arial" w:hAnsi="Arial"/>
          <w:sz w:val="17"/>
          <w:szCs w:val="17"/>
          <w:color w:val="auto"/>
        </w:rPr>
      </w:pPr>
    </w:p>
    <w:p>
      <w:pPr>
        <w:ind w:left="-609" w:firstLine="609"/>
        <w:spacing w:after="0" w:line="256" w:lineRule="auto"/>
        <w:tabs>
          <w:tab w:leader="none" w:pos="659"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Cost related to any damage or destruction of the property or the Tenant's improvements within the Premises to the extent that they would by be payable by an insurer if the Landlord would have purchased the type or the amount of insurance required by the terms of this Lease and the item damaged or destroyed would have been covered by such insurance (but the amount of deductibles or retentions, subject to the limitations set forth herein, may be included in Operating Costs);</w:t>
      </w:r>
    </w:p>
    <w:p>
      <w:pPr>
        <w:spacing w:after="0" w:line="381" w:lineRule="exact"/>
        <w:rPr>
          <w:sz w:val="20"/>
          <w:szCs w:val="20"/>
          <w:color w:val="auto"/>
        </w:rPr>
      </w:pPr>
    </w:p>
    <w:p>
      <w:pPr>
        <w:ind w:left="5011"/>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231"/>
          </w:cols>
          <w:pgMar w:left="849" w:top="329" w:right="819" w:bottom="1440" w:gutter="0" w:footer="0" w:header="0"/>
        </w:sectPr>
      </w:pPr>
    </w:p>
    <w:bookmarkStart w:id="103" w:name="page104"/>
    <w:bookmarkEnd w:id="103"/>
    <w:p>
      <w:pPr>
        <w:ind w:left="-608" w:right="180" w:firstLine="609"/>
        <w:spacing w:after="0" w:line="271" w:lineRule="auto"/>
        <w:tabs>
          <w:tab w:leader="none" w:pos="737" w:val="left"/>
        </w:tabs>
        <w:numPr>
          <w:ilvl w:val="0"/>
          <w:numId w:val="63"/>
        </w:numPr>
        <w:rPr>
          <w:rFonts w:ascii="Arial" w:cs="Arial" w:eastAsia="Arial" w:hAnsi="Arial"/>
          <w:sz w:val="17"/>
          <w:szCs w:val="17"/>
          <w:color w:val="auto"/>
        </w:rPr>
      </w:pPr>
      <w:r>
        <w:rPr>
          <w:rFonts w:ascii="Arial" w:cs="Arial" w:eastAsia="Arial" w:hAnsi="Arial"/>
          <w:sz w:val="17"/>
          <w:szCs w:val="17"/>
          <w:color w:val="auto"/>
        </w:rPr>
        <w:t>Financing and refinancing costs, interest on debt or amortization payments on any mortgage or mortgages, and rental under any ground or underlying leases or lease, together with all costs incidental to the items mentioned in this paragraph (11);</w:t>
      </w:r>
    </w:p>
    <w:p>
      <w:pPr>
        <w:spacing w:after="0" w:line="165" w:lineRule="exact"/>
        <w:rPr>
          <w:rFonts w:ascii="Arial" w:cs="Arial" w:eastAsia="Arial" w:hAnsi="Arial"/>
          <w:sz w:val="17"/>
          <w:szCs w:val="17"/>
          <w:color w:val="auto"/>
        </w:rPr>
      </w:pPr>
    </w:p>
    <w:p>
      <w:pPr>
        <w:jc w:val="both"/>
        <w:ind w:left="-608" w:right="180" w:firstLine="609"/>
        <w:spacing w:after="0" w:line="260" w:lineRule="auto"/>
        <w:tabs>
          <w:tab w:leader="none" w:pos="744"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Costs of Landlord's general corporate overhead and general administrative expenses (including personnel costs (but the cost of employees below the level of a building manager, to the extent fairly allocable to the Premises, may be included in Operating Costs) and costs and expenses paid to third parties to collect rents, prepare tax returns and accounting reports and obtain financing);</w:t>
      </w:r>
    </w:p>
    <w:p>
      <w:pPr>
        <w:spacing w:after="0" w:line="174" w:lineRule="exact"/>
        <w:rPr>
          <w:rFonts w:ascii="Arial" w:cs="Arial" w:eastAsia="Arial" w:hAnsi="Arial"/>
          <w:sz w:val="17"/>
          <w:szCs w:val="17"/>
          <w:color w:val="auto"/>
        </w:rPr>
      </w:pPr>
    </w:p>
    <w:p>
      <w:pPr>
        <w:ind w:left="-608" w:right="180" w:firstLine="609"/>
        <w:spacing w:after="0" w:line="283" w:lineRule="auto"/>
        <w:tabs>
          <w:tab w:leader="none" w:pos="744"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Rentals and other related costs, if any, incurred in leasing air conditioning, security; or other building operation or management systems, elevators or other equipment or facilities which, if purchased and owned by Landlord, would ordinarily be considered to be of a capital nature (except that the rental of equipment necessary to perform Landlord's maintenance and repair obligations may be included in Operating Costs);</w:t>
      </w:r>
    </w:p>
    <w:p>
      <w:pPr>
        <w:spacing w:after="0" w:line="158" w:lineRule="exact"/>
        <w:rPr>
          <w:rFonts w:ascii="Arial" w:cs="Arial" w:eastAsia="Arial" w:hAnsi="Arial"/>
          <w:sz w:val="16"/>
          <w:szCs w:val="16"/>
          <w:color w:val="auto"/>
        </w:rPr>
      </w:pPr>
    </w:p>
    <w:p>
      <w:pPr>
        <w:ind w:left="-608" w:firstLine="609"/>
        <w:spacing w:after="0" w:line="271" w:lineRule="auto"/>
        <w:tabs>
          <w:tab w:leader="none" w:pos="744"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Costs associated with items and services for which Tenant reimburses Landlord (other than through Tenant paying Tenant's Additional Rent) or for which Tenant pays or Landlord receives reimbursement from third persons;</w:t>
      </w:r>
    </w:p>
    <w:p>
      <w:pPr>
        <w:spacing w:after="0" w:line="165" w:lineRule="exact"/>
        <w:rPr>
          <w:rFonts w:ascii="Arial" w:cs="Arial" w:eastAsia="Arial" w:hAnsi="Arial"/>
          <w:sz w:val="17"/>
          <w:szCs w:val="17"/>
          <w:color w:val="auto"/>
        </w:rPr>
      </w:pPr>
    </w:p>
    <w:p>
      <w:pPr>
        <w:ind w:left="-608" w:right="180" w:firstLine="609"/>
        <w:spacing w:after="0" w:line="271" w:lineRule="auto"/>
        <w:tabs>
          <w:tab w:leader="none" w:pos="744"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Costs of entertaining current or prospective Building occupants, and costs incurred in advertising in respect of or for the Building or other marketing or promotional activity;</w:t>
      </w:r>
    </w:p>
    <w:p>
      <w:pPr>
        <w:spacing w:after="0" w:line="165" w:lineRule="exact"/>
        <w:rPr>
          <w:rFonts w:ascii="Arial" w:cs="Arial" w:eastAsia="Arial" w:hAnsi="Arial"/>
          <w:sz w:val="17"/>
          <w:szCs w:val="17"/>
          <w:color w:val="auto"/>
        </w:rPr>
      </w:pPr>
    </w:p>
    <w:p>
      <w:pPr>
        <w:ind w:left="752" w:hanging="751"/>
        <w:spacing w:after="0"/>
        <w:tabs>
          <w:tab w:leader="none" w:pos="752"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Costs resulting from the negligence or misconduct of Landlord or its employees, managers, agents or contractors;</w:t>
      </w:r>
    </w:p>
    <w:p>
      <w:pPr>
        <w:spacing w:after="0" w:line="209" w:lineRule="exact"/>
        <w:rPr>
          <w:rFonts w:ascii="Arial" w:cs="Arial" w:eastAsia="Arial" w:hAnsi="Arial"/>
          <w:sz w:val="17"/>
          <w:szCs w:val="17"/>
          <w:color w:val="auto"/>
        </w:rPr>
      </w:pPr>
    </w:p>
    <w:p>
      <w:pPr>
        <w:ind w:left="-608" w:right="80" w:firstLine="609"/>
        <w:spacing w:after="0" w:line="271" w:lineRule="auto"/>
        <w:tabs>
          <w:tab w:leader="none" w:pos="744"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Bad debt expenses or bad debt reserves, whether for rent or otherwise, or any fees or penalties charged to Landlord as a result of not paying any amount constituting costs or expenses when due;</w:t>
      </w:r>
    </w:p>
    <w:p>
      <w:pPr>
        <w:spacing w:after="0" w:line="165" w:lineRule="exact"/>
        <w:rPr>
          <w:rFonts w:ascii="Arial" w:cs="Arial" w:eastAsia="Arial" w:hAnsi="Arial"/>
          <w:sz w:val="17"/>
          <w:szCs w:val="17"/>
          <w:color w:val="auto"/>
        </w:rPr>
      </w:pPr>
    </w:p>
    <w:p>
      <w:pPr>
        <w:ind w:left="752" w:hanging="752"/>
        <w:spacing w:after="0"/>
        <w:tabs>
          <w:tab w:leader="none" w:pos="752"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Costs incurred in connection with or related in any manner to the initial construction of the Building;</w:t>
      </w:r>
    </w:p>
    <w:p>
      <w:pPr>
        <w:spacing w:after="0" w:line="209" w:lineRule="exact"/>
        <w:rPr>
          <w:rFonts w:ascii="Arial" w:cs="Arial" w:eastAsia="Arial" w:hAnsi="Arial"/>
          <w:sz w:val="17"/>
          <w:szCs w:val="17"/>
          <w:color w:val="auto"/>
        </w:rPr>
      </w:pPr>
    </w:p>
    <w:p>
      <w:pPr>
        <w:ind w:left="-608" w:right="20" w:firstLine="609"/>
        <w:spacing w:after="0" w:line="260" w:lineRule="auto"/>
        <w:tabs>
          <w:tab w:leader="none" w:pos="744"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Costs in any manner associated with Hazardous Materials, provided, however, the following may be included in Operating Costs: (i) routine fees for disposal of building standard fluorescent lamps and similar items, and (ii) costs associated with disposal of any Hazardous Materials brought onto the site (e.g. illegal dumping) by a third party after the Commencement Date of this Lease;</w:t>
      </w:r>
    </w:p>
    <w:p>
      <w:pPr>
        <w:spacing w:after="0" w:line="174" w:lineRule="exact"/>
        <w:rPr>
          <w:rFonts w:ascii="Arial" w:cs="Arial" w:eastAsia="Arial" w:hAnsi="Arial"/>
          <w:sz w:val="17"/>
          <w:szCs w:val="17"/>
          <w:color w:val="auto"/>
        </w:rPr>
      </w:pPr>
    </w:p>
    <w:p>
      <w:pPr>
        <w:ind w:left="-608" w:firstLine="609"/>
        <w:spacing w:after="0" w:line="301" w:lineRule="auto"/>
        <w:tabs>
          <w:tab w:leader="none" w:pos="744" w:val="left"/>
        </w:tabs>
        <w:numPr>
          <w:ilvl w:val="0"/>
          <w:numId w:val="63"/>
        </w:numPr>
        <w:rPr>
          <w:rFonts w:ascii="Arial" w:cs="Arial" w:eastAsia="Arial" w:hAnsi="Arial"/>
          <w:sz w:val="15"/>
          <w:szCs w:val="15"/>
          <w:color w:val="auto"/>
        </w:rPr>
      </w:pPr>
      <w:r>
        <w:rPr>
          <w:rFonts w:ascii="Arial" w:cs="Arial" w:eastAsia="Arial" w:hAnsi="Arial"/>
          <w:sz w:val="15"/>
          <w:szCs w:val="15"/>
          <w:color w:val="auto"/>
        </w:rPr>
        <w:t>Costs related to correction or remediation of Hazardous Materials existing on the Premises prior to or on the date of execution of this Lease due to the fact that it is a "brownfield site" it being understood that all such costs must be borne either by the seller of the land (The City of New Brighton (the "City")) or by Landlord (for clarity, the initial construction of the parking lot and greenspace shall be excluded from Operating Costs, however, maintenance and repair of the parking lot and greenspace may be included in Operating Costs subject to any other applicable limitations set forth in this Lease);</w:t>
      </w:r>
    </w:p>
    <w:p>
      <w:pPr>
        <w:spacing w:after="0" w:line="349" w:lineRule="exact"/>
        <w:rPr>
          <w:sz w:val="20"/>
          <w:szCs w:val="20"/>
          <w:color w:val="auto"/>
        </w:rPr>
      </w:pPr>
    </w:p>
    <w:p>
      <w:pPr>
        <w:ind w:left="4972"/>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232"/>
          </w:cols>
          <w:pgMar w:left="848" w:top="329" w:right="819" w:bottom="1440" w:gutter="0" w:footer="0" w:header="0"/>
        </w:sectPr>
      </w:pPr>
    </w:p>
    <w:bookmarkStart w:id="104" w:name="page105"/>
    <w:bookmarkEnd w:id="104"/>
    <w:p>
      <w:pPr>
        <w:ind w:left="-120" w:right="720" w:firstLine="609"/>
        <w:spacing w:after="0" w:line="271" w:lineRule="auto"/>
        <w:tabs>
          <w:tab w:leader="none" w:pos="1148" w:val="left"/>
        </w:tabs>
        <w:numPr>
          <w:ilvl w:val="0"/>
          <w:numId w:val="64"/>
        </w:numPr>
        <w:rPr>
          <w:rFonts w:ascii="Arial" w:cs="Arial" w:eastAsia="Arial" w:hAnsi="Arial"/>
          <w:sz w:val="17"/>
          <w:szCs w:val="17"/>
          <w:color w:val="auto"/>
        </w:rPr>
      </w:pPr>
      <w:r>
        <w:rPr>
          <w:rFonts w:ascii="Arial" w:cs="Arial" w:eastAsia="Arial" w:hAnsi="Arial"/>
          <w:sz w:val="17"/>
          <w:szCs w:val="17"/>
          <w:color w:val="auto"/>
        </w:rPr>
        <w:t>Capital costs and maintenance costs for sculpture, paintings or other art objects or other amenities on the Premises that are not specifically approved by Tenant;</w:t>
      </w:r>
    </w:p>
    <w:p>
      <w:pPr>
        <w:spacing w:after="0" w:line="165" w:lineRule="exact"/>
        <w:rPr>
          <w:rFonts w:ascii="Arial" w:cs="Arial" w:eastAsia="Arial" w:hAnsi="Arial"/>
          <w:sz w:val="17"/>
          <w:szCs w:val="17"/>
          <w:color w:val="auto"/>
        </w:rPr>
      </w:pPr>
    </w:p>
    <w:p>
      <w:pPr>
        <w:ind w:left="1140" w:hanging="651"/>
        <w:spacing w:after="0"/>
        <w:tabs>
          <w:tab w:leader="none" w:pos="11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Contributions to or memberships in any organizations, whether professional, political, civic or charitable;</w:t>
      </w:r>
    </w:p>
    <w:p>
      <w:pPr>
        <w:spacing w:after="0" w:line="209" w:lineRule="exact"/>
        <w:rPr>
          <w:rFonts w:ascii="Arial" w:cs="Arial" w:eastAsia="Arial" w:hAnsi="Arial"/>
          <w:sz w:val="17"/>
          <w:szCs w:val="17"/>
          <w:color w:val="auto"/>
        </w:rPr>
      </w:pPr>
    </w:p>
    <w:p>
      <w:pPr>
        <w:ind w:left="1140" w:hanging="651"/>
        <w:spacing w:after="0"/>
        <w:tabs>
          <w:tab w:leader="none" w:pos="11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Costs incurred in connection with any special events held on the Premises which are not approved by Tenant;</w:t>
      </w:r>
    </w:p>
    <w:p>
      <w:pPr>
        <w:spacing w:after="0" w:line="209" w:lineRule="exact"/>
        <w:rPr>
          <w:rFonts w:ascii="Arial" w:cs="Arial" w:eastAsia="Arial" w:hAnsi="Arial"/>
          <w:sz w:val="17"/>
          <w:szCs w:val="17"/>
          <w:color w:val="auto"/>
        </w:rPr>
      </w:pPr>
    </w:p>
    <w:p>
      <w:pPr>
        <w:ind w:left="-120" w:right="620" w:firstLine="609"/>
        <w:spacing w:after="0" w:line="303" w:lineRule="auto"/>
        <w:tabs>
          <w:tab w:leader="none" w:pos="1148"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Costs related to the Expansion Property (as defined in Section 33) other than the Building's share of maintenance of any skyway connecting the Expansion Property and the Premises and Tenant's share of the option payment due for years four and five of the option period.</w:t>
      </w:r>
    </w:p>
    <w:p>
      <w:pPr>
        <w:spacing w:after="0" w:line="142" w:lineRule="exact"/>
        <w:rPr>
          <w:rFonts w:ascii="Arial" w:cs="Arial" w:eastAsia="Arial" w:hAnsi="Arial"/>
          <w:sz w:val="16"/>
          <w:szCs w:val="16"/>
          <w:color w:val="auto"/>
        </w:rPr>
      </w:pPr>
    </w:p>
    <w:p>
      <w:pPr>
        <w:ind w:left="-120" w:right="840" w:firstLine="609"/>
        <w:spacing w:after="0" w:line="271" w:lineRule="auto"/>
        <w:tabs>
          <w:tab w:leader="none" w:pos="1148"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Premiums paid to perform work on the Building or Premises after hours, unless required by the terms of this Lease to be performed after hours or unless approved in advance in writing by Tenant (except as necessary in an emergency);</w:t>
      </w:r>
    </w:p>
    <w:p>
      <w:pPr>
        <w:spacing w:after="0" w:line="165" w:lineRule="exact"/>
        <w:rPr>
          <w:rFonts w:ascii="Arial" w:cs="Arial" w:eastAsia="Arial" w:hAnsi="Arial"/>
          <w:sz w:val="17"/>
          <w:szCs w:val="17"/>
          <w:color w:val="auto"/>
        </w:rPr>
      </w:pPr>
    </w:p>
    <w:p>
      <w:pPr>
        <w:ind w:left="1140" w:hanging="651"/>
        <w:spacing w:after="0"/>
        <w:tabs>
          <w:tab w:leader="none" w:pos="11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Travel, entertainment and related expenses incurred by Landlord, its building manager or its personnel;</w:t>
      </w:r>
    </w:p>
    <w:p>
      <w:pPr>
        <w:spacing w:after="0" w:line="209" w:lineRule="exact"/>
        <w:rPr>
          <w:rFonts w:ascii="Arial" w:cs="Arial" w:eastAsia="Arial" w:hAnsi="Arial"/>
          <w:sz w:val="17"/>
          <w:szCs w:val="17"/>
          <w:color w:val="auto"/>
        </w:rPr>
      </w:pPr>
    </w:p>
    <w:p>
      <w:pPr>
        <w:ind w:left="1140" w:hanging="651"/>
        <w:spacing w:after="0"/>
        <w:tabs>
          <w:tab w:leader="none" w:pos="11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Accountant and auditor's fees except to the extent that Tenant shall request audited reports of Operating Costs.</w:t>
      </w:r>
    </w:p>
    <w:p>
      <w:pPr>
        <w:spacing w:after="0" w:line="209" w:lineRule="exact"/>
        <w:rPr>
          <w:rFonts w:ascii="Arial" w:cs="Arial" w:eastAsia="Arial" w:hAnsi="Arial"/>
          <w:sz w:val="17"/>
          <w:szCs w:val="17"/>
          <w:color w:val="auto"/>
        </w:rPr>
      </w:pPr>
    </w:p>
    <w:p>
      <w:pPr>
        <w:jc w:val="both"/>
        <w:ind w:left="-120" w:right="1220" w:firstLine="609"/>
        <w:spacing w:after="0" w:line="310" w:lineRule="auto"/>
        <w:tabs>
          <w:tab w:leader="none" w:pos="1148" w:val="left"/>
        </w:tabs>
        <w:numPr>
          <w:ilvl w:val="0"/>
          <w:numId w:val="64"/>
        </w:numPr>
        <w:rPr>
          <w:rFonts w:ascii="Arial" w:cs="Arial" w:eastAsia="Arial" w:hAnsi="Arial"/>
          <w:sz w:val="15"/>
          <w:szCs w:val="15"/>
          <w:color w:val="auto"/>
        </w:rPr>
      </w:pPr>
      <w:r>
        <w:rPr>
          <w:rFonts w:ascii="Arial" w:cs="Arial" w:eastAsia="Arial" w:hAnsi="Arial"/>
          <w:sz w:val="15"/>
          <w:szCs w:val="15"/>
          <w:color w:val="auto"/>
        </w:rPr>
        <w:t>Major repairs or replacement of the roof or parking lot during the first sixty (60) months of the Term , unless the need for repair or replacement was caused by the acts or omissions of Tenant or its employees, agents or contractors. For purposes of this Section 28, "major" repairs or replacements are those that are capital in nature or are unusually large in cost or frequency in comparison to normal repairs for such items.</w:t>
      </w:r>
    </w:p>
    <w:p>
      <w:pPr>
        <w:spacing w:after="0" w:line="141" w:lineRule="exact"/>
        <w:rPr>
          <w:rFonts w:ascii="Arial" w:cs="Arial" w:eastAsia="Arial" w:hAnsi="Arial"/>
          <w:sz w:val="15"/>
          <w:szCs w:val="15"/>
          <w:color w:val="auto"/>
        </w:rPr>
      </w:pPr>
    </w:p>
    <w:p>
      <w:pPr>
        <w:ind w:left="-120" w:right="600" w:firstLine="609"/>
        <w:spacing w:after="0" w:line="271" w:lineRule="auto"/>
        <w:tabs>
          <w:tab w:leader="none" w:pos="1148" w:val="left"/>
        </w:tabs>
        <w:numPr>
          <w:ilvl w:val="0"/>
          <w:numId w:val="64"/>
        </w:numPr>
        <w:rPr>
          <w:rFonts w:ascii="Arial" w:cs="Arial" w:eastAsia="Arial" w:hAnsi="Arial"/>
          <w:sz w:val="17"/>
          <w:szCs w:val="17"/>
          <w:color w:val="auto"/>
        </w:rPr>
      </w:pPr>
      <w:r>
        <w:rPr>
          <w:rFonts w:ascii="Arial" w:cs="Arial" w:eastAsia="Arial" w:hAnsi="Arial"/>
          <w:sz w:val="17"/>
          <w:szCs w:val="17"/>
          <w:color w:val="auto"/>
        </w:rPr>
        <w:t>Extraordinary costs incurred in the maintenance or repair of the parking lot or greenspace attributable to remediation measures implemented as part of the RAPs (defined herein).</w:t>
      </w:r>
    </w:p>
    <w:p>
      <w:pPr>
        <w:spacing w:after="0" w:line="165" w:lineRule="exact"/>
        <w:rPr>
          <w:rFonts w:ascii="Arial" w:cs="Arial" w:eastAsia="Arial" w:hAnsi="Arial"/>
          <w:sz w:val="17"/>
          <w:szCs w:val="17"/>
          <w:color w:val="auto"/>
        </w:rPr>
      </w:pPr>
    </w:p>
    <w:p>
      <w:pPr>
        <w:ind w:left="1140" w:hanging="651"/>
        <w:spacing w:after="0"/>
        <w:tabs>
          <w:tab w:leader="none" w:pos="11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Costs of maintaining or repairing the venting systems that are part of the remediation measures implemented as part of the RAPs.</w:t>
      </w:r>
    </w:p>
    <w:p>
      <w:pPr>
        <w:spacing w:after="0" w:line="205" w:lineRule="exact"/>
        <w:rPr>
          <w:rFonts w:ascii="Arial" w:cs="Arial" w:eastAsia="Arial" w:hAnsi="Arial"/>
          <w:sz w:val="17"/>
          <w:szCs w:val="17"/>
          <w:color w:val="auto"/>
        </w:rPr>
      </w:pPr>
    </w:p>
    <w:p>
      <w:pPr>
        <w:ind w:left="-120" w:firstLine="1688"/>
        <w:spacing w:after="0" w:line="290" w:lineRule="auto"/>
        <w:tabs>
          <w:tab w:leader="none" w:pos="2059" w:val="left"/>
        </w:tabs>
        <w:numPr>
          <w:ilvl w:val="1"/>
          <w:numId w:val="6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Taxes</w:t>
      </w:r>
      <w:r>
        <w:rPr>
          <w:rFonts w:ascii="Arial" w:cs="Arial" w:eastAsia="Arial" w:hAnsi="Arial"/>
          <w:sz w:val="15"/>
          <w:szCs w:val="15"/>
          <w:color w:val="auto"/>
        </w:rPr>
        <w:t>" means: all real property taxes and general, special or district assessments or other governmental impositions, of whatever kind, nature or origin, imposed on the Premises that are due and payable during the term of this Lease, or imposed on Landlord by reason of the ownership, management or use of the Premises (but excluding income taxes); payments in lieu of taxes pursuant to the Developer's Agreement for any period the Premises is tax exempt (not to exceed $33,040.00 per year, but prorated for any partial year of the Term of this Lease); any Tax Increment Deficiency (as defined in the Developer's Agreement) required to be paid by Landlord; service payments in lieu of taxes and taxes and assessments of every kind and nature whatsoever levied or assessed in addition to, in lieu of or in substitution for existing or additional real or personal property taxes on the Premises or the personal property described above and that are due and payable during the term of this Lease; and the reasonable cost of contesting by appropriate proceedings the amount or validity of any taxes, assessments or charges described above, provided, however, that Tenant shall have the right in its reasonable discretion to approve or disapprove any tax protests and the costs related thereto in advance.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12065</wp:posOffset>
            </wp:positionV>
            <wp:extent cx="725551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200"/>
          </w:cols>
          <w:pgMar w:left="360" w:top="329" w:right="339" w:bottom="1440" w:gutter="0" w:footer="0" w:header="0"/>
        </w:sectPr>
      </w:pPr>
    </w:p>
    <w:bookmarkStart w:id="105" w:name="page106"/>
    <w:bookmarkEnd w:id="105"/>
    <w:p>
      <w:pPr>
        <w:ind w:left="2180" w:hanging="492"/>
        <w:spacing w:after="0"/>
        <w:tabs>
          <w:tab w:leader="none" w:pos="2180" w:val="left"/>
        </w:tabs>
        <w:numPr>
          <w:ilvl w:val="1"/>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"Tenant's Share" </w:t>
      </w:r>
      <w:r>
        <w:rPr>
          <w:rFonts w:ascii="Arial" w:cs="Arial" w:eastAsia="Arial" w:hAnsi="Arial"/>
          <w:sz w:val="17"/>
          <w:szCs w:val="17"/>
          <w:color w:val="auto"/>
        </w:rPr>
        <w:t>means one hundred percent (100%).</w:t>
      </w:r>
    </w:p>
    <w:p>
      <w:pPr>
        <w:spacing w:after="0" w:line="213" w:lineRule="exact"/>
        <w:rPr>
          <w:rFonts w:ascii="Arial" w:cs="Arial" w:eastAsia="Arial" w:hAnsi="Arial"/>
          <w:sz w:val="17"/>
          <w:szCs w:val="17"/>
          <w:color w:val="auto"/>
        </w:rPr>
      </w:pPr>
    </w:p>
    <w:p>
      <w:pPr>
        <w:ind w:left="1640" w:hanging="485"/>
        <w:spacing w:after="0"/>
        <w:tabs>
          <w:tab w:leader="none" w:pos="164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Additional Rent.</w:t>
      </w:r>
    </w:p>
    <w:p>
      <w:pPr>
        <w:spacing w:after="0" w:line="205" w:lineRule="exact"/>
        <w:rPr>
          <w:rFonts w:ascii="Arial" w:cs="Arial" w:eastAsia="Arial" w:hAnsi="Arial"/>
          <w:sz w:val="17"/>
          <w:szCs w:val="17"/>
          <w:color w:val="auto"/>
        </w:rPr>
      </w:pPr>
    </w:p>
    <w:p>
      <w:pPr>
        <w:ind w:left="2420" w:hanging="732"/>
        <w:spacing w:after="0"/>
        <w:tabs>
          <w:tab w:leader="none" w:pos="24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 xml:space="preserve">Tenant shall pay Landlord as </w:t>
      </w:r>
      <w:r>
        <w:rPr>
          <w:rFonts w:ascii="Arial" w:cs="Arial" w:eastAsia="Arial" w:hAnsi="Arial"/>
          <w:sz w:val="16"/>
          <w:szCs w:val="16"/>
          <w:b w:val="1"/>
          <w:bCs w:val="1"/>
          <w:color w:val="auto"/>
        </w:rPr>
        <w:t>"Additional Rent"</w:t>
      </w:r>
      <w:r>
        <w:rPr>
          <w:rFonts w:ascii="Arial" w:cs="Arial" w:eastAsia="Arial" w:hAnsi="Arial"/>
          <w:sz w:val="16"/>
          <w:szCs w:val="16"/>
          <w:color w:val="auto"/>
        </w:rPr>
        <w:t xml:space="preserve"> for each calendar year or portion thereof during the Term Tenant's Share of</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Operating Costs for such period.</w:t>
      </w:r>
    </w:p>
    <w:p>
      <w:pPr>
        <w:spacing w:after="0" w:line="197" w:lineRule="exact"/>
        <w:rPr>
          <w:rFonts w:ascii="Arial" w:cs="Arial" w:eastAsia="Arial" w:hAnsi="Arial"/>
          <w:sz w:val="16"/>
          <w:szCs w:val="16"/>
          <w:color w:val="auto"/>
        </w:rPr>
      </w:pPr>
    </w:p>
    <w:p>
      <w:pPr>
        <w:ind w:firstLine="1688"/>
        <w:spacing w:after="0" w:line="254" w:lineRule="auto"/>
        <w:tabs>
          <w:tab w:leader="none" w:pos="2432" w:val="left"/>
        </w:tabs>
        <w:numPr>
          <w:ilvl w:val="1"/>
          <w:numId w:val="66"/>
        </w:numPr>
        <w:rPr>
          <w:rFonts w:ascii="Arial" w:cs="Arial" w:eastAsia="Arial" w:hAnsi="Arial"/>
          <w:sz w:val="17"/>
          <w:szCs w:val="17"/>
          <w:color w:val="auto"/>
        </w:rPr>
      </w:pPr>
      <w:r>
        <w:rPr>
          <w:rFonts w:ascii="Arial" w:cs="Arial" w:eastAsia="Arial" w:hAnsi="Arial"/>
          <w:sz w:val="17"/>
          <w:szCs w:val="17"/>
          <w:color w:val="auto"/>
        </w:rPr>
        <w:t>Prior to the beginning of each calendar year, Landlord shall notify Tenant of Landlord's estimate of Operating Costs and Tenant's Additional Rent for the following calendar year. Commencing on the first day of January of each calendar year and continuing on the first day of every month thereafter in such year, Tenant shall pay to Landlord one-twelfth (1/12th) of the estimated Additional Rent. If Landlord thereafter estimates that Operating Costs or Taxes for such year will vary from Landlord's prior estimate, Landlord may, by notice to Tenant, revise the estimate for such year (and Additional Rent shall thereafter be payable based on the revised estimate).</w:t>
      </w:r>
    </w:p>
    <w:p>
      <w:pPr>
        <w:spacing w:after="0" w:line="180" w:lineRule="exact"/>
        <w:rPr>
          <w:rFonts w:ascii="Arial" w:cs="Arial" w:eastAsia="Arial" w:hAnsi="Arial"/>
          <w:sz w:val="17"/>
          <w:szCs w:val="17"/>
          <w:color w:val="auto"/>
        </w:rPr>
      </w:pPr>
    </w:p>
    <w:p>
      <w:pPr>
        <w:ind w:firstLine="1688"/>
        <w:spacing w:after="0" w:line="285" w:lineRule="auto"/>
        <w:tabs>
          <w:tab w:leader="none" w:pos="2422" w:val="left"/>
        </w:tabs>
        <w:numPr>
          <w:ilvl w:val="1"/>
          <w:numId w:val="66"/>
        </w:numPr>
        <w:rPr>
          <w:rFonts w:ascii="Arial" w:cs="Arial" w:eastAsia="Arial" w:hAnsi="Arial"/>
          <w:sz w:val="15"/>
          <w:szCs w:val="15"/>
          <w:color w:val="auto"/>
        </w:rPr>
      </w:pPr>
      <w:r>
        <w:rPr>
          <w:rFonts w:ascii="Arial" w:cs="Arial" w:eastAsia="Arial" w:hAnsi="Arial"/>
          <w:sz w:val="15"/>
          <w:szCs w:val="15"/>
          <w:color w:val="auto"/>
        </w:rPr>
        <w:t>As soon as reasonably practicable after the end of each calendar year (but not later than 120 days after the end of each calendar year, in any event), Landlord shall furnish Tenant a statement with respect to such year, showing Operating Costs and Additional Rent for the year, and the total payments made by Tenant with respect thereto. Except as otherwise provided herein, unless Tenant raises any objections to Landlord's statement within fifteen (15) months after receipt of the same, such statement shall conclusively be deemed correct and Tenant shall have no right thereafter to dispute such statement or any item therein or the computation of Additional Rent based thereon. If Tenant does object to such statement, then Landlord shall provide Tenant with reasonable verification of the figures shown on the statement and the parties shall negotiate in good faith to resolve any disputes. Any objection of Tenant to Landlord's statement and resolution of any dispute shall not postpone the time for payment of any amounts due Tenant or Landlord based on Landlord's statement, nor shall any failure of Landlord to deliver Landlord's statement in a timely manner relieve Tenant of Tenant's obligation to pay any amounts due Landlord based on Landlord's statement. Within fifteen (15) months after receipt of Landlord's annual reconciliation statement, Tenant shall have the right, during normal business hours and upon reasonable advance notice to Landlord, to review or audit Landlord's books and records pertaining to Operating Costs set forth in said reconciliation statement. Further, Tenant may only perform one such review or audit in each calendar year during the Term and any such review or audit shall be performed at the offices of Landlord or such other location in the Twin Cities that Landlord may reasonably select. In the event that Landlord's review or audit discloses that Landlord has overcharged Tenant, (i) Tenant may also review the prior year's reconciliation statement (notwithstanding the 15 month cut off for review of same described above), to the extent Tenant has not already performed an audit on same, and (ii) Landlord shall promptly reimburse Tenant for the excess amounts paid by Tenant. In the event that any such overage exceeds the amount actually owed by Tenant by more than five (5) percent (5%), Landlord shall promptly reimburse Tenant for the out of pocket cost of its audit (excluding, travel, meals and lodging) and if the dollar amount of the overcharge exceeds the amount actually owed by Tenant by more than five percent (5%), Landlord shall pay interest at the Interest Rate on any sums from July 1 of the calendar year with respect to which such overcharge occurred until payment is received by the Tenant.</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60"/>
          </w:cols>
          <w:pgMar w:left="240" w:top="325" w:right="299" w:bottom="1440" w:gutter="0" w:footer="0" w:header="0"/>
        </w:sectPr>
      </w:pPr>
    </w:p>
    <w:bookmarkStart w:id="106" w:name="page107"/>
    <w:bookmarkEnd w:id="106"/>
    <w:p>
      <w:pPr>
        <w:ind w:left="-60" w:right="120" w:firstLine="1688"/>
        <w:spacing w:after="0" w:line="269" w:lineRule="auto"/>
        <w:tabs>
          <w:tab w:leader="none" w:pos="2372"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Tenant's Additional Rent as finally determined for any calendar year exceeds the total payments made by Tenant on account thereof, Tenant shall pay Landlord the deficiency within thirty (30) days of Tenant's receipt of Landlord's statement. If the total payments made by Tenant on account thereof exceed Tenant's Additional Rent as finally determined for such year, Tenant's excess payment shall, at Tenant's option, either be credited toward the rent next due from Tenant under this Lease, or be refunded by Landlord in cash within thirty (30) days after notifying Landlord in writing of its election to receive such cash payment. For any partial calendar year at the beginning or end of the Term, Additional Rent shall be prorated on the basis of a 365-day year by computing Tenant's Share of Operating Costs and Taxes for the entire year and then prorating such amount for the number of days during such year included in the Term. Notwithstanding the termination of this Lease, Landlord shall pay to Tenant or Tenant shall pay to Landlord, as the case may be, within thirty (30) days after Tenant's receipt of Landlord's final statement for the calendar year in which this Lease terminates, the difference between Tenant's Additional Rent for that year, as finally determined by Landlord, and the total amount previously paid by Tenant on account thereof.</w:t>
      </w:r>
    </w:p>
    <w:p>
      <w:pPr>
        <w:spacing w:after="0" w:line="168" w:lineRule="exact"/>
        <w:rPr>
          <w:rFonts w:ascii="Arial" w:cs="Arial" w:eastAsia="Arial" w:hAnsi="Arial"/>
          <w:sz w:val="16"/>
          <w:szCs w:val="16"/>
          <w:color w:val="auto"/>
        </w:rPr>
      </w:pPr>
    </w:p>
    <w:p>
      <w:pPr>
        <w:ind w:left="1560" w:hanging="465"/>
        <w:spacing w:after="0"/>
        <w:tabs>
          <w:tab w:leader="none" w:pos="1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Additional Rent: Taxes</w:t>
      </w:r>
    </w:p>
    <w:p>
      <w:pPr>
        <w:spacing w:after="0" w:line="209" w:lineRule="exact"/>
        <w:rPr>
          <w:rFonts w:ascii="Arial" w:cs="Arial" w:eastAsia="Arial" w:hAnsi="Arial"/>
          <w:sz w:val="17"/>
          <w:szCs w:val="17"/>
          <w:color w:val="auto"/>
        </w:rPr>
      </w:pPr>
    </w:p>
    <w:p>
      <w:pPr>
        <w:ind w:left="-60" w:right="60" w:firstLine="1688"/>
        <w:spacing w:after="0" w:line="271" w:lineRule="auto"/>
        <w:tabs>
          <w:tab w:leader="none" w:pos="2369" w:val="left"/>
        </w:tabs>
        <w:numPr>
          <w:ilvl w:val="1"/>
          <w:numId w:val="68"/>
        </w:numPr>
        <w:rPr>
          <w:rFonts w:ascii="Arial" w:cs="Arial" w:eastAsia="Arial" w:hAnsi="Arial"/>
          <w:sz w:val="17"/>
          <w:szCs w:val="17"/>
          <w:color w:val="auto"/>
        </w:rPr>
      </w:pPr>
      <w:r>
        <w:rPr>
          <w:rFonts w:ascii="Arial" w:cs="Arial" w:eastAsia="Arial" w:hAnsi="Arial"/>
          <w:sz w:val="17"/>
          <w:szCs w:val="17"/>
          <w:color w:val="auto"/>
        </w:rPr>
        <w:t>Tenant shall pay Landlord as Additional Rent for each calendar year or portion thereof during the Term Tenant's share of Taxes that are due and payable during such period.</w:t>
      </w:r>
    </w:p>
    <w:p>
      <w:pPr>
        <w:spacing w:after="0" w:line="165" w:lineRule="exact"/>
        <w:rPr>
          <w:rFonts w:ascii="Arial" w:cs="Arial" w:eastAsia="Arial" w:hAnsi="Arial"/>
          <w:sz w:val="17"/>
          <w:szCs w:val="17"/>
          <w:color w:val="auto"/>
        </w:rPr>
      </w:pPr>
    </w:p>
    <w:p>
      <w:pPr>
        <w:ind w:left="-60" w:firstLine="1688"/>
        <w:spacing w:after="0" w:line="254" w:lineRule="auto"/>
        <w:tabs>
          <w:tab w:leader="none" w:pos="2372" w:val="left"/>
        </w:tabs>
        <w:numPr>
          <w:ilvl w:val="1"/>
          <w:numId w:val="68"/>
        </w:numPr>
        <w:rPr>
          <w:rFonts w:ascii="Arial" w:cs="Arial" w:eastAsia="Arial" w:hAnsi="Arial"/>
          <w:sz w:val="17"/>
          <w:szCs w:val="17"/>
          <w:color w:val="auto"/>
        </w:rPr>
      </w:pPr>
      <w:r>
        <w:rPr>
          <w:rFonts w:ascii="Arial" w:cs="Arial" w:eastAsia="Arial" w:hAnsi="Arial"/>
          <w:sz w:val="17"/>
          <w:szCs w:val="17"/>
          <w:color w:val="auto"/>
        </w:rPr>
        <w:t>Landlord shall furnish Tenant a statement showing the Taxes payable for the then current calendar year and Tenant's share of such Taxes. Tenant shall pay the same to Landlord, on or before the later of (i) the fifteenth business day following receipt of Landlord's statement or (ii) the day which is twenty calendar days prior to the latest date on which Taxes may be paid without incurring a penalty or late charge, provided that if any penalty, late charge or interest is imposed or payable on any Taxes solely by reason of Tenant's failure to pay Tenant's Share of Taxes within the time required, Tenant shall, upon demand, reimburse Landlord for such penalty, late charge or interest.</w:t>
      </w:r>
    </w:p>
    <w:p>
      <w:pPr>
        <w:spacing w:after="0" w:line="180" w:lineRule="exact"/>
        <w:rPr>
          <w:rFonts w:ascii="Arial" w:cs="Arial" w:eastAsia="Arial" w:hAnsi="Arial"/>
          <w:sz w:val="17"/>
          <w:szCs w:val="17"/>
          <w:color w:val="auto"/>
        </w:rPr>
      </w:pPr>
    </w:p>
    <w:p>
      <w:pPr>
        <w:ind w:left="-60" w:firstLine="1688"/>
        <w:spacing w:after="0" w:line="286" w:lineRule="auto"/>
        <w:tabs>
          <w:tab w:leader="none" w:pos="2372" w:val="left"/>
        </w:tabs>
        <w:numPr>
          <w:ilvl w:val="1"/>
          <w:numId w:val="68"/>
        </w:numPr>
        <w:rPr>
          <w:rFonts w:ascii="Arial" w:cs="Arial" w:eastAsia="Arial" w:hAnsi="Arial"/>
          <w:sz w:val="15"/>
          <w:szCs w:val="15"/>
          <w:color w:val="auto"/>
        </w:rPr>
      </w:pPr>
      <w:r>
        <w:rPr>
          <w:rFonts w:ascii="Arial" w:cs="Arial" w:eastAsia="Arial" w:hAnsi="Arial"/>
          <w:sz w:val="15"/>
          <w:szCs w:val="15"/>
          <w:color w:val="auto"/>
        </w:rPr>
        <w:t>If Tenant in the exercise of its reasonable judgment believes that Taxes are excessive because of improper valuations, tax rates or special assessments and should be contested, and Landlord is not contesting Taxes for such year, then Tenant shall have the right to contest with reasonable diligence the Taxes and to deduct all reasonable out of pocket costs relating to the contest from any refund obtained from such contest. Tenant shall be entitled to collect the entire refund, except to the extent that the refund applies to taxes attributable to a period that precedes or follows, in whole or in part, the Term, in which case the refund shall be pro rated accordingly. Tenant shall use reasonable diligence in pursuing any such tax contest, including any settlement thereof; provided, however, (a) Landlord and Tenant agree to consult with the other prior to commencing any such tax contest; and (b) neither Landlord nor Tenant shall settle any such tax contest without the approval of the other, which may be given or withheld in the approving party's reasonable discretion. Tenant acknowledges and agrees that the Developer's Agreement requires Landlord and Tenant to sign and deliver to the City and be bound by the terms of that certain Cost Certification attached to the Developer's Agreement as Exhibit M, which, among other things, certifies that the sum of all construction costs for the Premises (including land, building, development costs and tenant improvements, but not trade-specific fixtures or relocation costs), shall, upon issuance of a Certificate of Completion (defined in the Developer's Agreement), be $13,275,000 and further, requires the parties to agree not to assert certain factual matters more particularly set forth in the Cost Certification, all of which may have a bearing on the assessed value of the Premises and the outcome of any tax appeal.</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12065</wp:posOffset>
            </wp:positionV>
            <wp:extent cx="7255510"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00"/>
          </w:cols>
          <w:pgMar w:left="300" w:top="329" w:right="299" w:bottom="1440" w:gutter="0" w:footer="0" w:header="0"/>
        </w:sectPr>
      </w:pPr>
    </w:p>
    <w:bookmarkStart w:id="107" w:name="page108"/>
    <w:bookmarkEnd w:id="107"/>
    <w:p>
      <w:pPr>
        <w:ind w:firstLine="546"/>
        <w:spacing w:after="0" w:line="275"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Payment of Rent.</w:t>
      </w:r>
      <w:r>
        <w:rPr>
          <w:rFonts w:ascii="Arial" w:cs="Arial" w:eastAsia="Arial" w:hAnsi="Arial"/>
          <w:sz w:val="16"/>
          <w:szCs w:val="16"/>
          <w:color w:val="auto"/>
        </w:rPr>
        <w:t xml:space="preserve"> All amounts payable or reimbursable by Tenant under this Lease, including late charges and interest (collectively, </w:t>
      </w:r>
      <w:r>
        <w:rPr>
          <w:rFonts w:ascii="Arial" w:cs="Arial" w:eastAsia="Arial" w:hAnsi="Arial"/>
          <w:sz w:val="16"/>
          <w:szCs w:val="16"/>
          <w:b w:val="1"/>
          <w:bCs w:val="1"/>
          <w:color w:val="auto"/>
        </w:rPr>
        <w:t>"Rent"),</w:t>
      </w:r>
      <w:r>
        <w:rPr>
          <w:rFonts w:ascii="Arial" w:cs="Arial" w:eastAsia="Arial" w:hAnsi="Arial"/>
          <w:sz w:val="16"/>
          <w:szCs w:val="16"/>
          <w:color w:val="auto"/>
        </w:rPr>
        <w:t xml:space="preserve"> shall constitute rent and shall be payable and recoverable as rent in the manner provided in this Lease. All sums payable to Landlord on demand under the terms of this Lease shall be payable within thirty (30) days after notice from Landlord of the amounts due. All rent shall be paid without offset, recoupment or deduction except as otherwise provided in this Lease in lawful money of the United States of America to Landlord at Landlord's Address for Payment of Rent as set forth in the Basic Lease Information, or to such other person or at such other place as Landlord may from time to time designate.</w:t>
      </w:r>
    </w:p>
    <w:p>
      <w:pPr>
        <w:spacing w:after="0" w:line="161" w:lineRule="exact"/>
        <w:rPr>
          <w:sz w:val="20"/>
          <w:szCs w:val="20"/>
          <w:color w:val="auto"/>
        </w:rPr>
      </w:pPr>
    </w:p>
    <w:p>
      <w:pPr>
        <w:ind w:right="100" w:firstLine="1"/>
        <w:spacing w:after="0" w:line="292" w:lineRule="auto"/>
        <w:tabs>
          <w:tab w:leader="none" w:pos="422" w:val="left"/>
        </w:tabs>
        <w:numPr>
          <w:ilvl w:val="0"/>
          <w:numId w:val="69"/>
        </w:numPr>
        <w:rPr>
          <w:rFonts w:ascii="Arial" w:cs="Arial" w:eastAsia="Arial" w:hAnsi="Arial"/>
          <w:sz w:val="15"/>
          <w:szCs w:val="15"/>
          <w:color w:val="auto"/>
        </w:rPr>
      </w:pPr>
      <w:r>
        <w:rPr>
          <w:rFonts w:ascii="Arial" w:cs="Arial" w:eastAsia="Arial" w:hAnsi="Arial"/>
          <w:sz w:val="15"/>
          <w:szCs w:val="15"/>
          <w:color w:val="auto"/>
        </w:rPr>
        <w:t xml:space="preserve">SECURITY DEPOSIT. Within five (5) business days after execution of this Lease, Tenant shall deposit with Landlord the Security Deposit, (the </w:t>
      </w:r>
      <w:r>
        <w:rPr>
          <w:rFonts w:ascii="Arial" w:cs="Arial" w:eastAsia="Arial" w:hAnsi="Arial"/>
          <w:sz w:val="15"/>
          <w:szCs w:val="15"/>
          <w:b w:val="1"/>
          <w:bCs w:val="1"/>
          <w:color w:val="auto"/>
        </w:rPr>
        <w:t>"Security</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Deposit"), </w:t>
      </w:r>
      <w:r>
        <w:rPr>
          <w:rFonts w:ascii="Arial" w:cs="Arial" w:eastAsia="Arial" w:hAnsi="Arial"/>
          <w:sz w:val="15"/>
          <w:szCs w:val="15"/>
          <w:color w:val="auto"/>
        </w:rPr>
        <w:t>as security for the performance of Tenant's obligations under this Lease. Landlord may (but shall have no obligation to) use the Security Deposit or any</w:t>
      </w:r>
      <w:r>
        <w:rPr>
          <w:rFonts w:ascii="Arial" w:cs="Arial" w:eastAsia="Arial" w:hAnsi="Arial"/>
          <w:sz w:val="15"/>
          <w:szCs w:val="15"/>
          <w:b w:val="1"/>
          <w:bCs w:val="1"/>
          <w:color w:val="auto"/>
        </w:rPr>
        <w:t xml:space="preserve"> </w:t>
      </w:r>
      <w:r>
        <w:rPr>
          <w:rFonts w:ascii="Arial" w:cs="Arial" w:eastAsia="Arial" w:hAnsi="Arial"/>
          <w:sz w:val="15"/>
          <w:szCs w:val="15"/>
          <w:color w:val="auto"/>
        </w:rPr>
        <w:t>portion thereof to cure any Event of Default under this Lease or to compensate Landlord for any damage Landlord incurs as a result of Tenant's failure to perform any of Tenant's obligations hereunder. In such event Tenant shall pay to Landlord on demand an amount sufficient to replenish the Security Deposit. If Tenant is not in default at the expiration or termination of this Lease, Landlord shall return to Tenant the Security Deposit or the balance thereof then held by Landlord and not applied as provided above. The Security Deposit shall be in the form of an unconditional and irrevocable letter of credit issued by a National bank acceptable to Landlord. Landlord may draw against the letter of credit if it is not extended or replaced at least thirty (30) days prior to its expiration date.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amount of the Security Deposit shall be determined as follows:</w:t>
      </w:r>
    </w:p>
    <w:p>
      <w:pPr>
        <w:spacing w:after="0" w:line="209" w:lineRule="exact"/>
        <w:rPr>
          <w:sz w:val="20"/>
          <w:szCs w:val="20"/>
          <w:color w:val="auto"/>
        </w:rPr>
      </w:pPr>
    </w:p>
    <w:p>
      <w:pPr>
        <w:ind w:left="1040" w:hanging="492"/>
        <w:spacing w:after="0"/>
        <w:tabs>
          <w:tab w:leader="none" w:pos="10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Ryan will fund the entire $39 of Tenant Improvements and rent will remain at $14.50 (subject to the 2% escalation provided above).</w:t>
      </w:r>
    </w:p>
    <w:p>
      <w:pPr>
        <w:spacing w:after="0" w:line="209" w:lineRule="exact"/>
        <w:rPr>
          <w:rFonts w:ascii="Arial" w:cs="Arial" w:eastAsia="Arial" w:hAnsi="Arial"/>
          <w:sz w:val="17"/>
          <w:szCs w:val="17"/>
          <w:color w:val="auto"/>
        </w:rPr>
      </w:pPr>
    </w:p>
    <w:p>
      <w:pPr>
        <w:ind w:left="1040" w:hanging="492"/>
        <w:spacing w:after="0"/>
        <w:tabs>
          <w:tab w:leader="none" w:pos="10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Tenant will post a $2,000,000.00 letter of credit.</w:t>
      </w:r>
    </w:p>
    <w:p>
      <w:pPr>
        <w:spacing w:after="0" w:line="209" w:lineRule="exact"/>
        <w:rPr>
          <w:rFonts w:ascii="Arial" w:cs="Arial" w:eastAsia="Arial" w:hAnsi="Arial"/>
          <w:sz w:val="17"/>
          <w:szCs w:val="17"/>
          <w:color w:val="auto"/>
        </w:rPr>
      </w:pPr>
    </w:p>
    <w:p>
      <w:pPr>
        <w:ind w:left="1020" w:hanging="472"/>
        <w:spacing w:after="0"/>
        <w:tabs>
          <w:tab w:leader="none" w:pos="10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letter of credit will be reduced by $400,000 on each anniversary date of lease commencement provided that two conditions are met at that time:</w:t>
      </w:r>
    </w:p>
    <w:p>
      <w:pPr>
        <w:spacing w:after="0" w:line="232" w:lineRule="exact"/>
        <w:rPr>
          <w:rFonts w:ascii="Arial" w:cs="Arial" w:eastAsia="Arial" w:hAnsi="Arial"/>
          <w:sz w:val="15"/>
          <w:szCs w:val="15"/>
          <w:color w:val="auto"/>
        </w:rPr>
      </w:pPr>
    </w:p>
    <w:p>
      <w:pPr>
        <w:ind w:left="2020" w:hanging="865"/>
        <w:spacing w:after="0"/>
        <w:tabs>
          <w:tab w:leader="none" w:pos="202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Tenant is not then in default on any material financial matter under the Lease beyond the applicable cure period.</w:t>
      </w:r>
    </w:p>
    <w:p>
      <w:pPr>
        <w:spacing w:after="0" w:line="209" w:lineRule="exact"/>
        <w:rPr>
          <w:rFonts w:ascii="Arial" w:cs="Arial" w:eastAsia="Arial" w:hAnsi="Arial"/>
          <w:sz w:val="17"/>
          <w:szCs w:val="17"/>
          <w:color w:val="auto"/>
        </w:rPr>
      </w:pPr>
    </w:p>
    <w:p>
      <w:pPr>
        <w:ind w:left="2000" w:hanging="845"/>
        <w:spacing w:after="0"/>
        <w:tabs>
          <w:tab w:leader="none" w:pos="20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Tenant's market capitalization is at least $100,000,000.00.</w:t>
      </w:r>
    </w:p>
    <w:p>
      <w:pPr>
        <w:spacing w:after="0" w:line="209" w:lineRule="exact"/>
        <w:rPr>
          <w:rFonts w:ascii="Arial" w:cs="Arial" w:eastAsia="Arial" w:hAnsi="Arial"/>
          <w:sz w:val="17"/>
          <w:szCs w:val="17"/>
          <w:color w:val="auto"/>
        </w:rPr>
      </w:pPr>
    </w:p>
    <w:p>
      <w:pPr>
        <w:ind w:left="1040" w:hanging="492"/>
        <w:spacing w:after="0"/>
        <w:tabs>
          <w:tab w:leader="none" w:pos="10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Tenant's market capitalization value will be determined by the following:</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40"/>
          </w:cols>
          <w:pgMar w:left="240" w:top="325" w:right="319" w:bottom="1440" w:gutter="0" w:footer="0" w:header="0"/>
        </w:sectPr>
      </w:pPr>
    </w:p>
    <w:bookmarkStart w:id="108" w:name="page109"/>
    <w:bookmarkEnd w:id="108"/>
    <w:p>
      <w:pPr>
        <w:ind w:left="1700" w:right="740" w:hanging="545"/>
        <w:spacing w:after="0" w:line="271" w:lineRule="auto"/>
        <w:tabs>
          <w:tab w:leader="none" w:pos="1945" w:val="left"/>
        </w:tabs>
        <w:numPr>
          <w:ilvl w:val="2"/>
          <w:numId w:val="71"/>
        </w:numPr>
        <w:rPr>
          <w:rFonts w:ascii="Arial" w:cs="Arial" w:eastAsia="Arial" w:hAnsi="Arial"/>
          <w:sz w:val="17"/>
          <w:szCs w:val="17"/>
          <w:color w:val="auto"/>
        </w:rPr>
      </w:pPr>
      <w:r>
        <w:rPr>
          <w:rFonts w:ascii="Arial" w:cs="Arial" w:eastAsia="Arial" w:hAnsi="Arial"/>
          <w:sz w:val="17"/>
          <w:szCs w:val="17"/>
          <w:color w:val="auto"/>
        </w:rPr>
        <w:t>If Tenant is a publicly traded company: by multiplying the outstanding shares by the average market price for the 20 trading days immediately preceding the Lease anniversary.</w:t>
      </w:r>
    </w:p>
    <w:p>
      <w:pPr>
        <w:spacing w:after="0" w:line="165" w:lineRule="exact"/>
        <w:rPr>
          <w:rFonts w:ascii="Arial" w:cs="Arial" w:eastAsia="Arial" w:hAnsi="Arial"/>
          <w:sz w:val="17"/>
          <w:szCs w:val="17"/>
          <w:color w:val="auto"/>
        </w:rPr>
      </w:pPr>
    </w:p>
    <w:p>
      <w:pPr>
        <w:ind w:left="1700" w:right="360" w:hanging="545"/>
        <w:spacing w:after="0" w:line="271" w:lineRule="auto"/>
        <w:tabs>
          <w:tab w:leader="none" w:pos="1908" w:val="left"/>
        </w:tabs>
        <w:numPr>
          <w:ilvl w:val="2"/>
          <w:numId w:val="71"/>
        </w:numPr>
        <w:rPr>
          <w:rFonts w:ascii="Arial" w:cs="Arial" w:eastAsia="Arial" w:hAnsi="Arial"/>
          <w:sz w:val="17"/>
          <w:szCs w:val="17"/>
          <w:color w:val="auto"/>
        </w:rPr>
      </w:pPr>
      <w:r>
        <w:rPr>
          <w:rFonts w:ascii="Arial" w:cs="Arial" w:eastAsia="Arial" w:hAnsi="Arial"/>
          <w:sz w:val="17"/>
          <w:szCs w:val="17"/>
          <w:color w:val="auto"/>
        </w:rPr>
        <w:t>If Tenant is not publicly traded: by multiplying the number of outstanding shares times the issue price of the stock in the latest round of private equity sold.</w:t>
      </w:r>
    </w:p>
    <w:p>
      <w:pPr>
        <w:spacing w:after="0" w:line="165" w:lineRule="exact"/>
        <w:rPr>
          <w:rFonts w:ascii="Arial" w:cs="Arial" w:eastAsia="Arial" w:hAnsi="Arial"/>
          <w:sz w:val="17"/>
          <w:szCs w:val="17"/>
          <w:color w:val="auto"/>
        </w:rPr>
      </w:pPr>
    </w:p>
    <w:p>
      <w:pPr>
        <w:ind w:left="1020" w:hanging="472"/>
        <w:spacing w:after="0"/>
        <w:tabs>
          <w:tab w:leader="none" w:pos="1020" w:val="left"/>
        </w:tabs>
        <w:numPr>
          <w:ilvl w:val="1"/>
          <w:numId w:val="72"/>
        </w:numPr>
        <w:rPr>
          <w:rFonts w:ascii="Arial" w:cs="Arial" w:eastAsia="Arial" w:hAnsi="Arial"/>
          <w:sz w:val="17"/>
          <w:szCs w:val="17"/>
          <w:color w:val="auto"/>
        </w:rPr>
      </w:pPr>
      <w:r>
        <w:rPr>
          <w:rFonts w:ascii="Arial" w:cs="Arial" w:eastAsia="Arial" w:hAnsi="Arial"/>
          <w:sz w:val="17"/>
          <w:szCs w:val="17"/>
          <w:color w:val="auto"/>
        </w:rPr>
        <w:t>Tenant may reduce the amount of Tenant Improvements available by any amount by putting in cash.</w:t>
      </w:r>
    </w:p>
    <w:p>
      <w:pPr>
        <w:spacing w:after="0" w:line="209" w:lineRule="exact"/>
        <w:rPr>
          <w:rFonts w:ascii="Arial" w:cs="Arial" w:eastAsia="Arial" w:hAnsi="Arial"/>
          <w:sz w:val="17"/>
          <w:szCs w:val="17"/>
          <w:color w:val="auto"/>
        </w:rPr>
      </w:pPr>
    </w:p>
    <w:p>
      <w:pPr>
        <w:ind w:left="1940" w:hanging="785"/>
        <w:spacing w:after="0"/>
        <w:tabs>
          <w:tab w:leader="none" w:pos="1940" w:val="left"/>
        </w:tabs>
        <w:numPr>
          <w:ilvl w:val="2"/>
          <w:numId w:val="72"/>
        </w:numPr>
        <w:rPr>
          <w:rFonts w:ascii="Arial" w:cs="Arial" w:eastAsia="Arial" w:hAnsi="Arial"/>
          <w:sz w:val="17"/>
          <w:szCs w:val="17"/>
          <w:color w:val="auto"/>
        </w:rPr>
      </w:pPr>
      <w:r>
        <w:rPr>
          <w:rFonts w:ascii="Arial" w:cs="Arial" w:eastAsia="Arial" w:hAnsi="Arial"/>
          <w:sz w:val="17"/>
          <w:szCs w:val="17"/>
          <w:color w:val="auto"/>
        </w:rPr>
        <w:t>For every $1.00 per foot in improvements that the TI allowance is reduced the annual rent will be reduced by $0.0937.</w:t>
      </w:r>
    </w:p>
    <w:p>
      <w:pPr>
        <w:spacing w:after="0" w:line="209" w:lineRule="exact"/>
        <w:rPr>
          <w:rFonts w:ascii="Arial" w:cs="Arial" w:eastAsia="Arial" w:hAnsi="Arial"/>
          <w:sz w:val="17"/>
          <w:szCs w:val="17"/>
          <w:color w:val="auto"/>
        </w:rPr>
      </w:pPr>
    </w:p>
    <w:p>
      <w:pPr>
        <w:ind w:left="1700" w:right="660" w:hanging="545"/>
        <w:spacing w:after="0" w:line="271" w:lineRule="auto"/>
        <w:tabs>
          <w:tab w:leader="none" w:pos="1908" w:val="left"/>
        </w:tabs>
        <w:numPr>
          <w:ilvl w:val="2"/>
          <w:numId w:val="72"/>
        </w:numPr>
        <w:rPr>
          <w:rFonts w:ascii="Arial" w:cs="Arial" w:eastAsia="Arial" w:hAnsi="Arial"/>
          <w:sz w:val="17"/>
          <w:szCs w:val="17"/>
          <w:color w:val="auto"/>
        </w:rPr>
      </w:pPr>
      <w:r>
        <w:rPr>
          <w:rFonts w:ascii="Arial" w:cs="Arial" w:eastAsia="Arial" w:hAnsi="Arial"/>
          <w:sz w:val="17"/>
          <w:szCs w:val="17"/>
          <w:color w:val="auto"/>
        </w:rPr>
        <w:t>In other words, if Tenant were to reduce the improvement allowance by $10.00 per rentable foot ($1,140,000.00) the rent would be reduced by $0.937 per year, so the net rent would be $13.563 per foot. Or,</w:t>
      </w:r>
    </w:p>
    <w:p>
      <w:pPr>
        <w:spacing w:after="0" w:line="165" w:lineRule="exact"/>
        <w:rPr>
          <w:rFonts w:ascii="Arial" w:cs="Arial" w:eastAsia="Arial" w:hAnsi="Arial"/>
          <w:sz w:val="17"/>
          <w:szCs w:val="17"/>
          <w:color w:val="auto"/>
        </w:rPr>
      </w:pPr>
    </w:p>
    <w:p>
      <w:pPr>
        <w:ind w:left="1700" w:right="260" w:hanging="545"/>
        <w:spacing w:after="0" w:line="271" w:lineRule="auto"/>
        <w:tabs>
          <w:tab w:leader="none" w:pos="1870" w:val="left"/>
        </w:tabs>
        <w:numPr>
          <w:ilvl w:val="2"/>
          <w:numId w:val="72"/>
        </w:numPr>
        <w:rPr>
          <w:rFonts w:ascii="Arial" w:cs="Arial" w:eastAsia="Arial" w:hAnsi="Arial"/>
          <w:sz w:val="17"/>
          <w:szCs w:val="17"/>
          <w:color w:val="auto"/>
        </w:rPr>
      </w:pPr>
      <w:r>
        <w:rPr>
          <w:rFonts w:ascii="Arial" w:cs="Arial" w:eastAsia="Arial" w:hAnsi="Arial"/>
          <w:sz w:val="17"/>
          <w:szCs w:val="17"/>
          <w:color w:val="auto"/>
        </w:rPr>
        <w:t>If Tenant were to reduce the improvement allowance by $2,000,000.00, that would reduce the allowance by $17.544 per foot and the rent would be reduced by $1.644 per year for a net rent or $12.856 per foot.</w:t>
      </w:r>
    </w:p>
    <w:p>
      <w:pPr>
        <w:spacing w:after="0" w:line="165" w:lineRule="exact"/>
        <w:rPr>
          <w:rFonts w:ascii="Arial" w:cs="Arial" w:eastAsia="Arial" w:hAnsi="Arial"/>
          <w:sz w:val="17"/>
          <w:szCs w:val="17"/>
          <w:color w:val="auto"/>
        </w:rPr>
      </w:pPr>
    </w:p>
    <w:p>
      <w:pPr>
        <w:ind w:left="1000" w:hanging="452"/>
        <w:spacing w:after="0"/>
        <w:tabs>
          <w:tab w:leader="none" w:pos="10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Tenant may select a combination of the above.</w:t>
      </w:r>
    </w:p>
    <w:p>
      <w:pPr>
        <w:spacing w:after="0" w:line="209" w:lineRule="exact"/>
        <w:rPr>
          <w:rFonts w:ascii="Arial" w:cs="Arial" w:eastAsia="Arial" w:hAnsi="Arial"/>
          <w:sz w:val="17"/>
          <w:szCs w:val="17"/>
          <w:color w:val="auto"/>
        </w:rPr>
      </w:pPr>
    </w:p>
    <w:p>
      <w:pPr>
        <w:ind w:left="1640" w:right="300" w:hanging="487"/>
        <w:spacing w:after="0" w:line="271" w:lineRule="auto"/>
        <w:tabs>
          <w:tab w:leader="none" w:pos="1640" w:val="left"/>
        </w:tabs>
        <w:numPr>
          <w:ilvl w:val="2"/>
          <w:numId w:val="72"/>
        </w:numPr>
        <w:rPr>
          <w:rFonts w:ascii="Arial" w:cs="Arial" w:eastAsia="Arial" w:hAnsi="Arial"/>
          <w:sz w:val="17"/>
          <w:szCs w:val="17"/>
          <w:color w:val="auto"/>
        </w:rPr>
      </w:pPr>
      <w:r>
        <w:rPr>
          <w:rFonts w:ascii="Arial" w:cs="Arial" w:eastAsia="Arial" w:hAnsi="Arial"/>
          <w:sz w:val="17"/>
          <w:szCs w:val="17"/>
          <w:color w:val="auto"/>
        </w:rPr>
        <w:t>For example, Tenant could put in $1,000,000.00 in cash, with the appropriate rent reduction and a $1,000,000.00 letter of credit, 20% of that number would bum off at the end of each year.</w:t>
      </w:r>
    </w:p>
    <w:p>
      <w:pPr>
        <w:spacing w:after="0" w:line="165" w:lineRule="exact"/>
        <w:rPr>
          <w:rFonts w:ascii="Arial" w:cs="Arial" w:eastAsia="Arial" w:hAnsi="Arial"/>
          <w:sz w:val="17"/>
          <w:szCs w:val="17"/>
          <w:color w:val="auto"/>
        </w:rPr>
      </w:pPr>
    </w:p>
    <w:p>
      <w:pPr>
        <w:ind w:left="420" w:hanging="419"/>
        <w:spacing w:after="0"/>
        <w:tabs>
          <w:tab w:leader="none" w:pos="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USE AND COMPLIANCE WITH LAWS.</w:t>
      </w:r>
    </w:p>
    <w:p>
      <w:pPr>
        <w:spacing w:after="0" w:line="209" w:lineRule="exact"/>
        <w:rPr>
          <w:sz w:val="20"/>
          <w:szCs w:val="20"/>
          <w:color w:val="auto"/>
        </w:rPr>
      </w:pPr>
    </w:p>
    <w:p>
      <w:pPr>
        <w:ind w:firstLine="546"/>
        <w:spacing w:after="0" w:line="285"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Use</w:t>
      </w:r>
      <w:r>
        <w:rPr>
          <w:rFonts w:ascii="Arial" w:cs="Arial" w:eastAsia="Arial" w:hAnsi="Arial"/>
          <w:sz w:val="15"/>
          <w:szCs w:val="15"/>
          <w:color w:val="auto"/>
        </w:rPr>
        <w:t xml:space="preserve">. The Premises may be used for any purpose permitted by Laws, including, but not limited to, office purposes, light manufacturing or assembly, and product research and testing of medical devices, and other uses incidental to the foregoing, but subject to the terms, conditions and restrictions set forth in the Planned Unit Development Agreement, as modified by the City of New Brighton Resolution No. 07-103 and a Planned Unit Development Declaration executed by Landlord (as modified, the "PUD"), Contract for Private Redevelopment between the City of New Brighton and Landlord (the "Developer's Agreement) and the Declaration (defined in Section 5.2(a)(5) herein). Tenant shall comply with all present and future Laws, the PUD, and the Developer's Agreement relating to Tenant's use or occupancy of the Premises (and make any repairs, alterations or improvements as required to comply with all such Laws, provided that in no event shall Tenant be responsible for making any required repairs, alterations or improvements required by any Laws existing as of the Commencement Date unless due to Tenant's specific and unique use or occupancy of the Premises), and shall observe the "Building Rules" (as defined in Section 27 - </w:t>
      </w:r>
      <w:r>
        <w:rPr>
          <w:rFonts w:ascii="Arial" w:cs="Arial" w:eastAsia="Arial" w:hAnsi="Arial"/>
          <w:sz w:val="15"/>
          <w:szCs w:val="15"/>
          <w:i w:val="1"/>
          <w:iCs w:val="1"/>
          <w:color w:val="auto"/>
        </w:rPr>
        <w:t>Rules and Regulations).</w:t>
      </w:r>
      <w:r>
        <w:rPr>
          <w:rFonts w:ascii="Arial" w:cs="Arial" w:eastAsia="Arial" w:hAnsi="Arial"/>
          <w:sz w:val="15"/>
          <w:szCs w:val="15"/>
          <w:color w:val="auto"/>
        </w:rPr>
        <w:t xml:space="preserve"> Tenant shall not do, bring, keep or sell anything in or about the Premises that is prohibited by, or that will cause a cancellation of or an increase in the existing premium for, any insurance policy covering the Premises or any part thereof. Tenant shall not permit the Premises to be occupied or used in any manner that will constitute waste or a nuisance. Tenant shall not, without the prior consent of Landlord, (i) bring into the Building or the Premises anything that may cause substantial noise, odor or vibration, overload the floors in the Premises or the Building or any of the heating, ventilating and air-conditioning </w:t>
      </w:r>
      <w:r>
        <w:rPr>
          <w:rFonts w:ascii="Arial" w:cs="Arial" w:eastAsia="Arial" w:hAnsi="Arial"/>
          <w:sz w:val="15"/>
          <w:szCs w:val="15"/>
          <w:b w:val="1"/>
          <w:bCs w:val="1"/>
          <w:color w:val="auto"/>
        </w:rPr>
        <w:t>("HVAC"),</w:t>
      </w:r>
      <w:r>
        <w:rPr>
          <w:rFonts w:ascii="Arial" w:cs="Arial" w:eastAsia="Arial" w:hAnsi="Arial"/>
          <w:sz w:val="15"/>
          <w:szCs w:val="15"/>
          <w:color w:val="auto"/>
        </w:rPr>
        <w:t xml:space="preserve"> mechanical, elevator, plumbing, electrical, fire protection, life safety, security or other systems in the Building </w:t>
      </w:r>
      <w:r>
        <w:rPr>
          <w:rFonts w:ascii="Arial" w:cs="Arial" w:eastAsia="Arial" w:hAnsi="Arial"/>
          <w:sz w:val="15"/>
          <w:szCs w:val="15"/>
          <w:b w:val="1"/>
          <w:bCs w:val="1"/>
          <w:color w:val="auto"/>
        </w:rPr>
        <w:t>("Building Systems"),</w:t>
      </w:r>
      <w:r>
        <w:rPr>
          <w:rFonts w:ascii="Arial" w:cs="Arial" w:eastAsia="Arial" w:hAnsi="Arial"/>
          <w:sz w:val="15"/>
          <w:szCs w:val="15"/>
          <w:color w:val="auto"/>
        </w:rPr>
        <w:t xml:space="preserve"> or jeopardize the structural integrity of the Building or any part thereof; (ii) connect to the utility systems of the Building any apparatus, machinery or other equipment other than as contemplated in the second sentence of this Section 5.1; or (iii) connect to any electrical circuit in the Premises any equipment or other load with aggregate electrical power requirements in excess of 80% of the rated capacity of the circuit.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329" w:right="259" w:bottom="1440" w:gutter="0" w:footer="0" w:header="0"/>
        </w:sectPr>
      </w:pPr>
    </w:p>
    <w:bookmarkStart w:id="109" w:name="page110"/>
    <w:bookmarkEnd w:id="109"/>
    <w:p>
      <w:pPr>
        <w:ind w:left="540"/>
        <w:spacing w:after="0"/>
        <w:tabs>
          <w:tab w:leader="none" w:pos="104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5"/>
          <w:szCs w:val="15"/>
          <w:u w:val="single" w:color="auto"/>
          <w:color w:val="auto"/>
        </w:rPr>
        <w:t>Hazardous Materials.</w:t>
      </w:r>
    </w:p>
    <w:p>
      <w:pPr>
        <w:spacing w:after="0" w:line="209" w:lineRule="exact"/>
        <w:rPr>
          <w:sz w:val="20"/>
          <w:szCs w:val="20"/>
          <w:color w:val="auto"/>
        </w:rPr>
      </w:pPr>
    </w:p>
    <w:p>
      <w:pPr>
        <w:ind w:left="1580" w:hanging="485"/>
        <w:spacing w:after="0"/>
        <w:tabs>
          <w:tab w:leader="none" w:pos="158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Definitions.</w:t>
      </w:r>
    </w:p>
    <w:p>
      <w:pPr>
        <w:spacing w:after="0" w:line="205" w:lineRule="exact"/>
        <w:rPr>
          <w:rFonts w:ascii="Arial" w:cs="Arial" w:eastAsia="Arial" w:hAnsi="Arial"/>
          <w:sz w:val="17"/>
          <w:szCs w:val="17"/>
          <w:color w:val="auto"/>
        </w:rPr>
      </w:pPr>
    </w:p>
    <w:p>
      <w:pPr>
        <w:ind w:right="20" w:firstLine="1702"/>
        <w:spacing w:after="0" w:line="254" w:lineRule="auto"/>
        <w:tabs>
          <w:tab w:leader="none" w:pos="2445" w:val="left"/>
        </w:tabs>
        <w:numPr>
          <w:ilvl w:val="1"/>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"Hazardous Materials" </w:t>
      </w:r>
      <w:r>
        <w:rPr>
          <w:rFonts w:ascii="Arial" w:cs="Arial" w:eastAsia="Arial" w:hAnsi="Arial"/>
          <w:sz w:val="17"/>
          <w:szCs w:val="17"/>
          <w:color w:val="auto"/>
        </w:rPr>
        <w:t>shall mean any substance: (A) that now or in the future is regulated or governed by, requires investigation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remediation under, or is defined as a hazardous waste, hazardous substance, pollutant or contaminant under any governmental statute, code, ordinance, regulation, rule or order, and any amendment thereto, including the Comprehensive Environmental Response Compensation and Liability Act, 42 U.S.C. §9601 et </w:t>
      </w:r>
      <w:r>
        <w:rPr>
          <w:rFonts w:ascii="Arial" w:cs="Arial" w:eastAsia="Arial" w:hAnsi="Arial"/>
          <w:sz w:val="17"/>
          <w:szCs w:val="17"/>
          <w:u w:val="single" w:color="auto"/>
          <w:color w:val="auto"/>
        </w:rPr>
        <w:t>seq.,</w:t>
      </w:r>
      <w:r>
        <w:rPr>
          <w:rFonts w:ascii="Arial" w:cs="Arial" w:eastAsia="Arial" w:hAnsi="Arial"/>
          <w:sz w:val="17"/>
          <w:szCs w:val="17"/>
          <w:color w:val="auto"/>
        </w:rPr>
        <w:t xml:space="preserve"> and the Resource Conservation and Recovery Act, 42 U.S.C. §6901 et </w:t>
      </w:r>
      <w:r>
        <w:rPr>
          <w:rFonts w:ascii="Arial" w:cs="Arial" w:eastAsia="Arial" w:hAnsi="Arial"/>
          <w:sz w:val="17"/>
          <w:szCs w:val="17"/>
          <w:u w:val="single" w:color="auto"/>
          <w:color w:val="auto"/>
        </w:rPr>
        <w:t>seq.,</w:t>
      </w:r>
      <w:r>
        <w:rPr>
          <w:rFonts w:ascii="Arial" w:cs="Arial" w:eastAsia="Arial" w:hAnsi="Arial"/>
          <w:sz w:val="17"/>
          <w:szCs w:val="17"/>
          <w:color w:val="auto"/>
        </w:rPr>
        <w:t xml:space="preserve"> or </w:t>
      </w:r>
      <w:r>
        <w:rPr>
          <w:rFonts w:ascii="Arial" w:cs="Arial" w:eastAsia="Arial" w:hAnsi="Arial"/>
          <w:sz w:val="17"/>
          <w:szCs w:val="17"/>
          <w:b w:val="1"/>
          <w:bCs w:val="1"/>
          <w:color w:val="auto"/>
        </w:rPr>
        <w:t>(B)</w:t>
      </w:r>
      <w:r>
        <w:rPr>
          <w:rFonts w:ascii="Arial" w:cs="Arial" w:eastAsia="Arial" w:hAnsi="Arial"/>
          <w:sz w:val="17"/>
          <w:szCs w:val="17"/>
          <w:color w:val="auto"/>
        </w:rPr>
        <w:t xml:space="preserve"> that is toxic, explosive, corrosive, flammable, radioactive, carcinogenic, dangerous or otherwise hazardous, including gasoline, diesel fuel, petroleum hydrocarbons, polychlorinated biphenyls (PCBs), asbestos, radon and urea formaldehyde foam insulation.</w:t>
      </w:r>
    </w:p>
    <w:p>
      <w:pPr>
        <w:spacing w:after="0" w:line="175" w:lineRule="exact"/>
        <w:rPr>
          <w:rFonts w:ascii="Arial" w:cs="Arial" w:eastAsia="Arial" w:hAnsi="Arial"/>
          <w:sz w:val="17"/>
          <w:szCs w:val="17"/>
          <w:b w:val="1"/>
          <w:bCs w:val="1"/>
          <w:color w:val="auto"/>
        </w:rPr>
      </w:pPr>
    </w:p>
    <w:p>
      <w:pPr>
        <w:ind w:right="140" w:firstLine="1702"/>
        <w:spacing w:after="0" w:line="276" w:lineRule="auto"/>
        <w:tabs>
          <w:tab w:leader="none" w:pos="2445" w:val="left"/>
        </w:tabs>
        <w:numPr>
          <w:ilvl w:val="1"/>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"Environmental Requirements" </w:t>
      </w:r>
      <w:r>
        <w:rPr>
          <w:rFonts w:ascii="Arial" w:cs="Arial" w:eastAsia="Arial" w:hAnsi="Arial"/>
          <w:sz w:val="17"/>
          <w:szCs w:val="17"/>
          <w:color w:val="auto"/>
        </w:rPr>
        <w:t>shall mean all present and future Laws, orders, permits, licenses, approvals, authorizations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requirements of any kind applicable to Hazardous Materials, including without limitation the Declaration.</w:t>
      </w:r>
    </w:p>
    <w:p>
      <w:pPr>
        <w:spacing w:after="0" w:line="157" w:lineRule="exact"/>
        <w:rPr>
          <w:rFonts w:ascii="Arial" w:cs="Arial" w:eastAsia="Arial" w:hAnsi="Arial"/>
          <w:sz w:val="17"/>
          <w:szCs w:val="17"/>
          <w:b w:val="1"/>
          <w:bCs w:val="1"/>
          <w:color w:val="auto"/>
        </w:rPr>
      </w:pPr>
    </w:p>
    <w:p>
      <w:pPr>
        <w:ind w:right="160" w:firstLine="1702"/>
        <w:spacing w:after="0" w:line="257" w:lineRule="auto"/>
        <w:tabs>
          <w:tab w:leader="none" w:pos="2445" w:val="left"/>
        </w:tabs>
        <w:numPr>
          <w:ilvl w:val="1"/>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"Handled by Tenant" </w:t>
      </w:r>
      <w:r>
        <w:rPr>
          <w:rFonts w:ascii="Arial" w:cs="Arial" w:eastAsia="Arial" w:hAnsi="Arial"/>
          <w:sz w:val="17"/>
          <w:szCs w:val="17"/>
          <w:color w:val="auto"/>
        </w:rPr>
        <w:t>and</w:t>
      </w:r>
      <w:r>
        <w:rPr>
          <w:rFonts w:ascii="Arial" w:cs="Arial" w:eastAsia="Arial" w:hAnsi="Arial"/>
          <w:sz w:val="17"/>
          <w:szCs w:val="17"/>
          <w:b w:val="1"/>
          <w:bCs w:val="1"/>
          <w:color w:val="auto"/>
        </w:rPr>
        <w:t xml:space="preserve"> "Handling by Tenant" </w:t>
      </w:r>
      <w:r>
        <w:rPr>
          <w:rFonts w:ascii="Arial" w:cs="Arial" w:eastAsia="Arial" w:hAnsi="Arial"/>
          <w:sz w:val="17"/>
          <w:szCs w:val="17"/>
          <w:color w:val="auto"/>
        </w:rPr>
        <w:t>shall mean and refer to any installation, handling, generation, storage, use,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disposal, discharge, release, abatement, removal, transportation, or any other activity of any type by Tenant or its agents, employees, contractors, licensees, assignees, sublessees, transferees or representatives (collectively, </w:t>
      </w:r>
      <w:r>
        <w:rPr>
          <w:rFonts w:ascii="Arial" w:cs="Arial" w:eastAsia="Arial" w:hAnsi="Arial"/>
          <w:sz w:val="17"/>
          <w:szCs w:val="17"/>
          <w:b w:val="1"/>
          <w:bCs w:val="1"/>
          <w:color w:val="auto"/>
        </w:rPr>
        <w:t>"Representatives")</w:t>
      </w:r>
      <w:r>
        <w:rPr>
          <w:rFonts w:ascii="Arial" w:cs="Arial" w:eastAsia="Arial" w:hAnsi="Arial"/>
          <w:sz w:val="17"/>
          <w:szCs w:val="17"/>
          <w:color w:val="auto"/>
        </w:rPr>
        <w:t xml:space="preserve"> or its guests, customers, invitees, or visitors (collectively, </w:t>
      </w:r>
      <w:r>
        <w:rPr>
          <w:rFonts w:ascii="Arial" w:cs="Arial" w:eastAsia="Arial" w:hAnsi="Arial"/>
          <w:sz w:val="17"/>
          <w:szCs w:val="17"/>
          <w:b w:val="1"/>
          <w:bCs w:val="1"/>
          <w:color w:val="auto"/>
        </w:rPr>
        <w:t>"Visitors"),</w:t>
      </w:r>
      <w:r>
        <w:rPr>
          <w:rFonts w:ascii="Arial" w:cs="Arial" w:eastAsia="Arial" w:hAnsi="Arial"/>
          <w:sz w:val="17"/>
          <w:szCs w:val="17"/>
          <w:color w:val="auto"/>
        </w:rPr>
        <w:t xml:space="preserve"> at or about the Premises in connection with or involving Hazardous Materials.</w:t>
      </w:r>
    </w:p>
    <w:p>
      <w:pPr>
        <w:spacing w:after="0" w:line="174" w:lineRule="exact"/>
        <w:rPr>
          <w:rFonts w:ascii="Arial" w:cs="Arial" w:eastAsia="Arial" w:hAnsi="Arial"/>
          <w:sz w:val="17"/>
          <w:szCs w:val="17"/>
          <w:b w:val="1"/>
          <w:bCs w:val="1"/>
          <w:color w:val="auto"/>
        </w:rPr>
      </w:pPr>
    </w:p>
    <w:p>
      <w:pPr>
        <w:ind w:right="200" w:firstLine="1702"/>
        <w:spacing w:after="0" w:line="286" w:lineRule="auto"/>
        <w:tabs>
          <w:tab w:leader="none" w:pos="2445" w:val="left"/>
        </w:tabs>
        <w:numPr>
          <w:ilvl w:val="1"/>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Losses" shall mean all costs and expenses of any kind, damages, including foreseeable and unforeseeable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consequential damages, fines and penalties incurred in connection with any violation of and compliance with Environmental Requirements and all losses of any kind attributable to the diminution of value, loss of use or adverse effects on marketability or use of any portion of the Premises.</w:t>
      </w:r>
    </w:p>
    <w:p>
      <w:pPr>
        <w:spacing w:after="0" w:line="152" w:lineRule="exact"/>
        <w:rPr>
          <w:rFonts w:ascii="Arial" w:cs="Arial" w:eastAsia="Arial" w:hAnsi="Arial"/>
          <w:sz w:val="16"/>
          <w:szCs w:val="16"/>
          <w:b w:val="1"/>
          <w:bCs w:val="1"/>
          <w:color w:val="auto"/>
        </w:rPr>
      </w:pPr>
    </w:p>
    <w:p>
      <w:pPr>
        <w:ind w:firstLine="1702"/>
        <w:spacing w:after="0" w:line="269" w:lineRule="auto"/>
        <w:tabs>
          <w:tab w:leader="none" w:pos="2445" w:val="left"/>
        </w:tabs>
        <w:numPr>
          <w:ilvl w:val="1"/>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"Declaration". </w:t>
      </w:r>
      <w:r>
        <w:rPr>
          <w:rFonts w:ascii="Arial" w:cs="Arial" w:eastAsia="Arial" w:hAnsi="Arial"/>
          <w:sz w:val="16"/>
          <w:szCs w:val="16"/>
          <w:color w:val="auto"/>
        </w:rPr>
        <w:t>"Declaration" shall mean a Declaration of Restrictive Covenants required by the Minnesota Pollution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Agency </w:t>
      </w:r>
      <w:r>
        <w:rPr>
          <w:rFonts w:ascii="Arial" w:cs="Arial" w:eastAsia="Arial" w:hAnsi="Arial"/>
          <w:sz w:val="16"/>
          <w:szCs w:val="16"/>
          <w:b w:val="1"/>
          <w:bCs w:val="1"/>
          <w:color w:val="auto"/>
        </w:rPr>
        <w:t>("MPCA")</w:t>
      </w:r>
      <w:r>
        <w:rPr>
          <w:rFonts w:ascii="Arial" w:cs="Arial" w:eastAsia="Arial" w:hAnsi="Arial"/>
          <w:sz w:val="16"/>
          <w:szCs w:val="16"/>
          <w:color w:val="auto"/>
        </w:rPr>
        <w:t xml:space="preserve"> to be filed against the title to the Premises upon the completion of redevelopment of the Premises that will (i) give recorded notice of contamination of soil and groundwater by Hazardous Materials which contamination is allowed by the MPCA to remain on the Premises; (ii) prohibit use of the Premises as a residence, hotel, day care center, nursing home, hospital or recreational facility; (iii) prohibit installation of wells (except by MPCA) on the Premises; (iv) prohibit disturbance of soil without the approval of MPCA; (v) give MPCA access to the Premises to verify compliance with the Declaration; and (vi) require maintenance of the covers over contaminated soils allowed by MPCA to be left on the Premises. Landlord shall provide a copy of the proposed Declaration to Tenant prior to executing same and Tenant may provide to Landlord any suggestions or concerns Tenant may have concerning the terms of the Declaration, provided, however, neither this Lease nor any of Tenant's obligations hereunder are made contingent upon Tenant's review or approval of the form of the Declaration, or inclusion of provisions therein to address any of Tenant's suggestions or concerns.</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12065</wp:posOffset>
            </wp:positionV>
            <wp:extent cx="7255510" cy="40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40"/>
          </w:cols>
          <w:pgMar w:left="300" w:top="329" w:right="259" w:bottom="1440" w:gutter="0" w:footer="0" w:header="0"/>
        </w:sectPr>
      </w:pPr>
    </w:p>
    <w:bookmarkStart w:id="110" w:name="page111"/>
    <w:bookmarkEnd w:id="110"/>
    <w:p>
      <w:pPr>
        <w:ind w:left="-60" w:right="360" w:firstLine="1762"/>
        <w:spacing w:after="0" w:line="262" w:lineRule="auto"/>
        <w:tabs>
          <w:tab w:leader="none" w:pos="2193" w:val="left"/>
        </w:tabs>
        <w:numPr>
          <w:ilvl w:val="1"/>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"Response Action Plans" or "RAPs". </w:t>
      </w:r>
      <w:r>
        <w:rPr>
          <w:rFonts w:ascii="Arial" w:cs="Arial" w:eastAsia="Arial" w:hAnsi="Arial"/>
          <w:sz w:val="17"/>
          <w:szCs w:val="17"/>
          <w:color w:val="auto"/>
        </w:rPr>
        <w:t>"Response Action Plans" or "RAPs" shall mean plans required and to be pre-approved by</w:t>
      </w:r>
      <w:r>
        <w:rPr>
          <w:rFonts w:ascii="Arial" w:cs="Arial" w:eastAsia="Arial" w:hAnsi="Arial"/>
          <w:sz w:val="17"/>
          <w:szCs w:val="17"/>
          <w:b w:val="1"/>
          <w:bCs w:val="1"/>
          <w:color w:val="auto"/>
        </w:rPr>
        <w:t xml:space="preserve"> </w:t>
      </w:r>
      <w:r>
        <w:rPr>
          <w:rFonts w:ascii="Arial" w:cs="Arial" w:eastAsia="Arial" w:hAnsi="Arial"/>
          <w:sz w:val="17"/>
          <w:szCs w:val="17"/>
          <w:color w:val="auto"/>
        </w:rPr>
        <w:t>MPCA to protect human health and the environment and pursuant to which Landlord will address existing contamination on the Premises in the course of its redevelopment of the Premises.</w:t>
      </w:r>
    </w:p>
    <w:p>
      <w:pPr>
        <w:spacing w:after="0" w:line="173" w:lineRule="exact"/>
        <w:rPr>
          <w:rFonts w:ascii="Arial" w:cs="Arial" w:eastAsia="Arial" w:hAnsi="Arial"/>
          <w:sz w:val="17"/>
          <w:szCs w:val="17"/>
          <w:b w:val="1"/>
          <w:bCs w:val="1"/>
          <w:color w:val="auto"/>
        </w:rPr>
      </w:pPr>
    </w:p>
    <w:p>
      <w:pPr>
        <w:ind w:left="-60" w:firstLine="1155"/>
        <w:spacing w:after="0" w:line="288" w:lineRule="auto"/>
        <w:tabs>
          <w:tab w:leader="none" w:pos="1923" w:val="left"/>
        </w:tabs>
        <w:numPr>
          <w:ilvl w:val="0"/>
          <w:numId w:val="76"/>
        </w:numPr>
        <w:rPr>
          <w:rFonts w:ascii="Arial" w:cs="Arial" w:eastAsia="Arial" w:hAnsi="Arial"/>
          <w:sz w:val="15"/>
          <w:szCs w:val="15"/>
          <w:color w:val="auto"/>
        </w:rPr>
      </w:pPr>
      <w:r>
        <w:rPr>
          <w:rFonts w:ascii="Arial" w:cs="Arial" w:eastAsia="Arial" w:hAnsi="Arial"/>
          <w:sz w:val="15"/>
          <w:szCs w:val="15"/>
          <w:u w:val="single" w:color="auto"/>
          <w:color w:val="auto"/>
        </w:rPr>
        <w:t>Tenant's Covenants.</w:t>
      </w:r>
      <w:r>
        <w:rPr>
          <w:rFonts w:ascii="Arial" w:cs="Arial" w:eastAsia="Arial" w:hAnsi="Arial"/>
          <w:sz w:val="15"/>
          <w:szCs w:val="15"/>
          <w:color w:val="auto"/>
        </w:rPr>
        <w:t xml:space="preserve"> No Hazardous Materials shall be Handled by Tenant at or about the Premises without Landlord's prior written consent, which consent may be granted, denied, or conditioned upon compliance with Landlord's requirements, all in Landlord's absolute discretion. Notwithstanding the foregoing, normal quantities and use of those Hazardous Materials customarily used in the conduct of the activities described in the second sentence of Section 5.1 </w:t>
      </w:r>
      <w:r>
        <w:rPr>
          <w:rFonts w:ascii="Arial" w:cs="Arial" w:eastAsia="Arial" w:hAnsi="Arial"/>
          <w:sz w:val="15"/>
          <w:szCs w:val="15"/>
          <w:b w:val="1"/>
          <w:bCs w:val="1"/>
          <w:color w:val="auto"/>
        </w:rPr>
        <w:t xml:space="preserve">("Permitted Hazardous Materials") </w:t>
      </w:r>
      <w:r>
        <w:rPr>
          <w:rFonts w:ascii="Arial" w:cs="Arial" w:eastAsia="Arial" w:hAnsi="Arial"/>
          <w:sz w:val="15"/>
          <w:szCs w:val="15"/>
          <w:color w:val="auto"/>
        </w:rPr>
        <w:t>may be used and stored at the Premises without Landlord's prior written consent, provided that Tenant's activities at or about the</w:t>
      </w:r>
      <w:r>
        <w:rPr>
          <w:rFonts w:ascii="Arial" w:cs="Arial" w:eastAsia="Arial" w:hAnsi="Arial"/>
          <w:sz w:val="15"/>
          <w:szCs w:val="15"/>
          <w:b w:val="1"/>
          <w:bCs w:val="1"/>
          <w:color w:val="auto"/>
        </w:rPr>
        <w:t xml:space="preserve"> </w:t>
      </w:r>
      <w:r>
        <w:rPr>
          <w:rFonts w:ascii="Arial" w:cs="Arial" w:eastAsia="Arial" w:hAnsi="Arial"/>
          <w:sz w:val="15"/>
          <w:szCs w:val="15"/>
          <w:color w:val="auto"/>
        </w:rPr>
        <w:t>Premises and the Handling by Tenant of all Hazardous Materials shall comply at all times with all Environmental Requirements. Promptly after it is finalized, Landlord shall provide a copy of the Declaration to Tenant and Tenant agrees that, upon its receipt thereof, the Declaration shall be incorporated into and become a part of this Lease. At the expiration or termination of the Lease, Tenant shall promptly remove from the Premises all Hazardous Materials Handled by Tenant at the Premises. Tenant shall keep Landlord fully and promptly informed of all Handling by Tenant of Hazardous Materials other than Permitted Hazardous Materials. Tenant shall be responsible and liable for the compliance with all of the provisions of this Section by all of Tenant's Representatives and Visitors, and all of Tenant's obligations under this Section (including its indemnification obligations under paragraph (e) below) shall survive the expiration or termination of this Lease.</w:t>
      </w:r>
    </w:p>
    <w:p>
      <w:pPr>
        <w:spacing w:after="0" w:line="157" w:lineRule="exact"/>
        <w:rPr>
          <w:rFonts w:ascii="Arial" w:cs="Arial" w:eastAsia="Arial" w:hAnsi="Arial"/>
          <w:sz w:val="15"/>
          <w:szCs w:val="15"/>
          <w:color w:val="auto"/>
        </w:rPr>
      </w:pPr>
    </w:p>
    <w:p>
      <w:pPr>
        <w:ind w:left="-60" w:right="20" w:firstLine="1155"/>
        <w:spacing w:after="0" w:line="268" w:lineRule="auto"/>
        <w:tabs>
          <w:tab w:leader="none" w:pos="195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Tenant's Compliance.</w:t>
      </w:r>
      <w:r>
        <w:rPr>
          <w:rFonts w:ascii="Arial" w:cs="Arial" w:eastAsia="Arial" w:hAnsi="Arial"/>
          <w:sz w:val="16"/>
          <w:szCs w:val="16"/>
          <w:color w:val="auto"/>
        </w:rPr>
        <w:t xml:space="preserve"> Tenant shall at Tenant's expense promptly take all actions required by any governmental agency or entity in connection with or as a result of the Handling by Tenant of Hazardous Materials at or about the Premises, including inspection and testing, performing all cleanup, removal and remediation work required with respect to those Hazardous Materials, complying with all closure requirements and post-closure monitoring, and filing all required reports or plans. All of the foregoing work and all Handling by Tenant of all Hazardous Materials shall be performed in a good, safe and workmanlike manner by consultants qualified and licensed to undertake such work and in a manner that will not interfere with any other tenant's quiet enjoyment of the Premises or Landlord's use, operation, leasing and sale of the Premises. Tenant shall deliver to Landlord prior to delivery to any governmental agency, or promptly after receipt from any such agency, copies of all permits, manifests, closure or remedial action plans, notices, and all other documents relating to the Handling by Tenant of Hazardous Materials at or about the Premises. If any lien attaches to the Premises in connection with or as a result of the Handling by Tenant of Hazardous Materials, and Tenant does not cause the same to be released, by payment, bonding or otherwise, within ten (10) days after the attachment thereof, Landlord shall have the right but not the obligation to cause the same to be released and any sums expended by Landlord (plus Landlord's administrative costs) in connection therewith shall be payable by Tenant on demand.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12065</wp:posOffset>
            </wp:positionV>
            <wp:extent cx="7255510" cy="40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20"/>
          </w:cols>
          <w:pgMar w:left="300" w:top="325" w:right="279" w:bottom="1440" w:gutter="0" w:footer="0" w:header="0"/>
        </w:sectPr>
      </w:pPr>
    </w:p>
    <w:bookmarkStart w:id="111" w:name="page112"/>
    <w:bookmarkEnd w:id="111"/>
    <w:p>
      <w:pPr>
        <w:ind w:firstLine="1156"/>
        <w:spacing w:after="0" w:line="270" w:lineRule="auto"/>
        <w:tabs>
          <w:tab w:leader="none" w:pos="1898"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Landlord's Rights.</w:t>
      </w:r>
      <w:r>
        <w:rPr>
          <w:rFonts w:ascii="Arial" w:cs="Arial" w:eastAsia="Arial" w:hAnsi="Arial"/>
          <w:sz w:val="16"/>
          <w:szCs w:val="16"/>
          <w:color w:val="auto"/>
        </w:rPr>
        <w:t xml:space="preserve"> Landlord shall have the right, but not the obligation, to enter the Premises at any reasonable time upon not less than 24 hours prior notice (except in case of emergency) and only if accompanied by an authorized representative of Tenant (i) to confirm Tenant's compliance with the provisions of this Section 5.2, and (ii) to perform Tenant's obligations under this Section if Tenant has failed to do so after reasonable notice to Tenant. Landlord shall also have the right to engage qualified Hazardous Materials consultants to inspect the Premises and review the Handling by Tenant of Hazardous Materials, including review of all permits, reports, plans, and other documents regarding same. Tenant shall pay to Landlord on demand the costs of Landlord's consultants' fees and all costs incurred by Landlord in performing Tenant's obligations under this Section. Landlord shall use reasonable efforts to minimize any interference with Tenant's business caused by Landlord's entry into the Premises, but Landlord shall not be responsible for any interference caused thereby.</w:t>
      </w:r>
    </w:p>
    <w:p>
      <w:pPr>
        <w:spacing w:after="0" w:line="170" w:lineRule="exact"/>
        <w:rPr>
          <w:rFonts w:ascii="Arial" w:cs="Arial" w:eastAsia="Arial" w:hAnsi="Arial"/>
          <w:sz w:val="16"/>
          <w:szCs w:val="16"/>
          <w:color w:val="auto"/>
        </w:rPr>
      </w:pPr>
    </w:p>
    <w:p>
      <w:pPr>
        <w:ind w:right="280" w:firstLine="1156"/>
        <w:spacing w:after="0" w:line="254" w:lineRule="auto"/>
        <w:tabs>
          <w:tab w:leader="none" w:pos="1889"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Tenant's Indemnification.</w:t>
      </w:r>
      <w:r>
        <w:rPr>
          <w:rFonts w:ascii="Arial" w:cs="Arial" w:eastAsia="Arial" w:hAnsi="Arial"/>
          <w:sz w:val="17"/>
          <w:szCs w:val="17"/>
          <w:color w:val="auto"/>
        </w:rPr>
        <w:t xml:space="preserve"> Tenant agrees to indemnify, defend, protect and hold harmless Landlord and its partners or members and its or their partners, members, directors, officers, shareholders, employees and agents from all Environmental Losses and all other claims, actions, losses, damages, liabilities, costs and expenses of every kind, including reasonable attorneys', experts' and consultants' fees and costs, incurred at any time and arising from or in connection with the Handling by Tenant of Hazardous Materials at or about the Premises or Tenant's failure to comply in full with all Environmental Requirements with respect to the Premises.</w:t>
      </w:r>
    </w:p>
    <w:p>
      <w:pPr>
        <w:spacing w:after="0" w:line="180" w:lineRule="exact"/>
        <w:rPr>
          <w:rFonts w:ascii="Arial" w:cs="Arial" w:eastAsia="Arial" w:hAnsi="Arial"/>
          <w:sz w:val="17"/>
          <w:szCs w:val="17"/>
          <w:color w:val="auto"/>
        </w:rPr>
      </w:pPr>
    </w:p>
    <w:p>
      <w:pPr>
        <w:ind w:left="1920" w:hanging="764"/>
        <w:spacing w:after="0"/>
        <w:tabs>
          <w:tab w:leader="none" w:pos="192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Landlord's Compliance.</w:t>
      </w:r>
      <w:r>
        <w:rPr>
          <w:rFonts w:ascii="Arial" w:cs="Arial" w:eastAsia="Arial" w:hAnsi="Arial"/>
          <w:sz w:val="17"/>
          <w:szCs w:val="17"/>
          <w:color w:val="auto"/>
        </w:rPr>
        <w:t xml:space="preserve"> Landlord shall comply with all Environmental Requirements in completing Landlord's construction</w:t>
      </w:r>
    </w:p>
    <w:p>
      <w:pPr>
        <w:spacing w:after="0" w:line="19" w:lineRule="exact"/>
        <w:rPr>
          <w:sz w:val="20"/>
          <w:szCs w:val="20"/>
          <w:color w:val="auto"/>
        </w:rPr>
      </w:pPr>
    </w:p>
    <w:p>
      <w:pPr>
        <w:ind w:right="520"/>
        <w:spacing w:after="0" w:line="251" w:lineRule="auto"/>
        <w:rPr>
          <w:sz w:val="20"/>
          <w:szCs w:val="20"/>
          <w:color w:val="auto"/>
        </w:rPr>
      </w:pPr>
      <w:r>
        <w:rPr>
          <w:rFonts w:ascii="Arial" w:cs="Arial" w:eastAsia="Arial" w:hAnsi="Arial"/>
          <w:sz w:val="17"/>
          <w:szCs w:val="17"/>
          <w:color w:val="auto"/>
        </w:rPr>
        <w:t>obligations under this Lease, and shall incorporate no Hazardous Materials into the Premises other than those, if any, permitted by Environmental Requirements and customarily used in the construction of similar projects in the Twin Cities area. Landlord and Tenant acknowledge that the Premises is located on a so-called "brownfields" site, and in furtherance of the obligations set forth in the foregoing sentence, Landlord shall construct the improvements to the Premises in accordance with the RAPs.</w:t>
      </w:r>
    </w:p>
    <w:p>
      <w:pPr>
        <w:spacing w:after="0" w:line="183" w:lineRule="exact"/>
        <w:rPr>
          <w:sz w:val="20"/>
          <w:szCs w:val="20"/>
          <w:color w:val="auto"/>
        </w:rPr>
      </w:pPr>
    </w:p>
    <w:p>
      <w:pPr>
        <w:ind w:right="60" w:firstLine="1156"/>
        <w:spacing w:after="0" w:line="285" w:lineRule="auto"/>
        <w:tabs>
          <w:tab w:leader="none" w:pos="1898" w:val="left"/>
        </w:tabs>
        <w:numPr>
          <w:ilvl w:val="0"/>
          <w:numId w:val="78"/>
        </w:numPr>
        <w:rPr>
          <w:rFonts w:ascii="Arial" w:cs="Arial" w:eastAsia="Arial" w:hAnsi="Arial"/>
          <w:sz w:val="15"/>
          <w:szCs w:val="15"/>
          <w:color w:val="auto"/>
        </w:rPr>
      </w:pPr>
      <w:r>
        <w:rPr>
          <w:rFonts w:ascii="Arial" w:cs="Arial" w:eastAsia="Arial" w:hAnsi="Arial"/>
          <w:sz w:val="15"/>
          <w:szCs w:val="15"/>
          <w:u w:val="single" w:color="auto"/>
          <w:color w:val="auto"/>
        </w:rPr>
        <w:t>Tenant's Rights.</w:t>
      </w:r>
      <w:r>
        <w:rPr>
          <w:rFonts w:ascii="Arial" w:cs="Arial" w:eastAsia="Arial" w:hAnsi="Arial"/>
          <w:sz w:val="15"/>
          <w:szCs w:val="15"/>
          <w:color w:val="auto"/>
        </w:rPr>
        <w:t xml:space="preserve"> In the event that Tenant reasonably determines that any Hazardous Materials are present on the Premises (other than any Hazardous Materials that may have been introduced upon the Premises by Tenant, its Representatives or Visitors and other than any Hazardous Materials that are allowed by MPCA to remain in the soil and groundwater of the Premises pursuant to the RAPs and the Declaration, including any such allowable Hazardous Materials which have been exacerbated by the actions of Tenant, its Representative or Visitors and vapors other than those contemplated in the RAPs that entered the Premises subsequent to Landlord's completion of the actions required by the RAPs) and represent a material danger to persons or property on the Premises, Tenant shall notify Landlord of the same, and Landlord shall immediately take such steps as are required by MPCA with respect to such Hazardous Materials. If Landlord fails to do so within one hundred twenty (120) days after receipt of written notice from Tenant, Tenant, at its sole option, shall have the right to elect either of the following remedies by written notice to Landlord: (i) Tenant may take over such steps required by MPCA of Landlord, in which case Tenant shall have the right to recover from Landlord the reasonable costs incurred by Tenant to perform such steps required by MPCA, together with interest thereon at the Interest Rate, or (ii) Tenant may terminate this Lease, provided, however, to be effective, Tenant's written notice to Landlord stating Tenant's election either of said remedies in subparagraph (i) or (ii) above must be delivered to Landlord prior to Landlord's completion of the MPCA required work. Notwithstanding the foregoing provisions to the contrary, Tenant shall not have the option to terminate this Lease unless the MPCA (or, if the MPCA fails to provide a timely response to inquiry of Landlord or Tenant, an environmental consultant reasonably acceptable to both Landlord or Tenant) shall determine that occupancy of the Premises creates material risk of illness or injury from such Hazardous Materials. Notwithstanding the foregoing provisions to the contrary, provided that Landlord promptly commences and diligently proceeds with the steps required by MPCA, Landlord shall have such additional time as may be reasonably necessary to complete such steps so long as in the reasonable judgment of Tenant the occupants of the Premises are reasonably able to continue to occupy the Premises without material risk of illness or injury from such Hazardous Materials. Landlord shall use reasonable efforts to minimize any interference with Tenant's business caused by Landlord's entry into the Premises.</w:t>
      </w:r>
    </w:p>
    <w:p>
      <w:pPr>
        <w:spacing w:after="0" w:line="36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12065</wp:posOffset>
            </wp:positionV>
            <wp:extent cx="7255510" cy="4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60"/>
          </w:cols>
          <w:pgMar w:left="300" w:top="329" w:right="2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color w:val="auto"/>
        </w:rPr>
        <w:t>The obligations of Landlord and Tenant under subsections (e) and (f), respectively, shall survive the expiration or termination of this Lease.</w:t>
      </w:r>
    </w:p>
    <w:p>
      <w:pPr>
        <w:spacing w:after="0" w:line="209" w:lineRule="exact"/>
        <w:rPr>
          <w:sz w:val="20"/>
          <w:szCs w:val="20"/>
          <w:color w:val="auto"/>
        </w:rPr>
      </w:pPr>
    </w:p>
    <w:p>
      <w:pPr>
        <w:ind w:right="140" w:firstLine="546"/>
        <w:spacing w:after="0" w:line="260"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Americans With Disabilities Act.</w:t>
      </w:r>
      <w:r>
        <w:rPr>
          <w:rFonts w:ascii="Arial" w:cs="Arial" w:eastAsia="Arial" w:hAnsi="Arial"/>
          <w:sz w:val="17"/>
          <w:szCs w:val="17"/>
          <w:color w:val="auto"/>
        </w:rPr>
        <w:t xml:space="preserve"> The parties agree that the liabilities and obligations of that certain federal statute commonly known as the Americans With Disabilities Act as well as the regulations and accessibility guidelines promulgated thereunder as each of the foregoing is supplemented or amended from time to time (collectively, the "ADA") shall be the responsibility of Tenant.</w:t>
      </w:r>
    </w:p>
    <w:p>
      <w:pPr>
        <w:spacing w:after="0" w:line="174"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Prior to the Commencement Date, Landlord shall construct the Premises and the Tenant Improvements in a manner that, as of the Commencement Date, complies with all requirements of the ADA. From and after the Commencement Date, Tenant covenants and agrees to conduct its operations within the Premises in compliance with the ADA. If any of the Premises fails to comply with the ADA, as a result of Landlord's failure to meet the requirements of the first sentence of this paragraph, Landlord shall be responsible for correcting such non-compliance. If any portion of the Premises fails to comply with the ADA as a result of any change in the ADA after the Commencement Date, such nonconformity shall be promptly made to comply by Tenant to the extent so required under the ADA. In the event that Tenant elects to undertake any alterations to, for or within the Premises, Tenant agrees to cause such alterations to be performed in compliance with the ADA.</w:t>
      </w:r>
    </w:p>
    <w:p>
      <w:pPr>
        <w:spacing w:after="0" w:line="154" w:lineRule="exact"/>
        <w:rPr>
          <w:sz w:val="20"/>
          <w:szCs w:val="20"/>
          <w:color w:val="auto"/>
        </w:rPr>
      </w:pPr>
    </w:p>
    <w:p>
      <w:pPr>
        <w:ind w:left="420" w:hanging="419"/>
        <w:spacing w:after="0"/>
        <w:tabs>
          <w:tab w:leader="none" w:pos="4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TENANT IMPROVEMENTS &amp; ALTERATIONS.</w:t>
      </w:r>
    </w:p>
    <w:p>
      <w:pPr>
        <w:spacing w:after="0" w:line="209" w:lineRule="exact"/>
        <w:rPr>
          <w:sz w:val="20"/>
          <w:szCs w:val="20"/>
          <w:color w:val="auto"/>
        </w:rPr>
      </w:pPr>
    </w:p>
    <w:p>
      <w:pPr>
        <w:ind w:right="260" w:firstLine="546"/>
        <w:spacing w:after="0" w:line="260" w:lineRule="auto"/>
        <w:rPr>
          <w:sz w:val="20"/>
          <w:szCs w:val="20"/>
          <w:color w:val="auto"/>
        </w:rPr>
      </w:pPr>
      <w:r>
        <w:rPr>
          <w:rFonts w:ascii="Arial" w:cs="Arial" w:eastAsia="Arial" w:hAnsi="Arial"/>
          <w:sz w:val="17"/>
          <w:szCs w:val="17"/>
          <w:color w:val="auto"/>
        </w:rPr>
        <w:t xml:space="preserve">6.1 Landlord and Tenant shall perform their respective obligations with respect to design and construction of any improvements to be constructed and installed in the Premises (the </w:t>
      </w:r>
      <w:r>
        <w:rPr>
          <w:rFonts w:ascii="Arial" w:cs="Arial" w:eastAsia="Arial" w:hAnsi="Arial"/>
          <w:sz w:val="17"/>
          <w:szCs w:val="17"/>
          <w:b w:val="1"/>
          <w:bCs w:val="1"/>
          <w:color w:val="auto"/>
        </w:rPr>
        <w:t>"Tenant Improvements"),</w:t>
      </w:r>
      <w:r>
        <w:rPr>
          <w:rFonts w:ascii="Arial" w:cs="Arial" w:eastAsia="Arial" w:hAnsi="Arial"/>
          <w:sz w:val="17"/>
          <w:szCs w:val="17"/>
          <w:color w:val="auto"/>
        </w:rPr>
        <w:t xml:space="preserve"> as provided in the Construction Rider. Except for any Tenant Improvements to be constructed by Tenant as provided in the Construction Rider and except as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329" w:right="279" w:bottom="1440" w:gutter="0" w:footer="0" w:header="0"/>
        </w:sectPr>
      </w:pPr>
    </w:p>
    <w:bookmarkStart w:id="113" w:name="page114"/>
    <w:bookmarkEnd w:id="113"/>
    <w:p>
      <w:pPr>
        <w:spacing w:after="0" w:line="282" w:lineRule="auto"/>
        <w:rPr>
          <w:sz w:val="20"/>
          <w:szCs w:val="20"/>
          <w:color w:val="auto"/>
        </w:rPr>
      </w:pPr>
      <w:r>
        <w:rPr>
          <w:rFonts w:ascii="Arial" w:cs="Arial" w:eastAsia="Arial" w:hAnsi="Arial"/>
          <w:sz w:val="15"/>
          <w:szCs w:val="15"/>
          <w:color w:val="auto"/>
        </w:rPr>
        <w:t xml:space="preserve">otherwise provided below, Tenant shall not make any alterations, improvements or changes to the Premises, including installation of any security system or telephone or data communication wiring, </w:t>
      </w:r>
      <w:r>
        <w:rPr>
          <w:rFonts w:ascii="Arial" w:cs="Arial" w:eastAsia="Arial" w:hAnsi="Arial"/>
          <w:sz w:val="15"/>
          <w:szCs w:val="15"/>
          <w:b w:val="1"/>
          <w:bCs w:val="1"/>
          <w:color w:val="auto"/>
        </w:rPr>
        <w:t>("Alterations"),</w:t>
      </w:r>
      <w:r>
        <w:rPr>
          <w:rFonts w:ascii="Arial" w:cs="Arial" w:eastAsia="Arial" w:hAnsi="Arial"/>
          <w:sz w:val="15"/>
          <w:szCs w:val="15"/>
          <w:color w:val="auto"/>
        </w:rPr>
        <w:t xml:space="preserve"> without Landlord's prior written consent, which consent shall not be unreasonably withheld or delayed. Any such Alterations shall be completed by Tenant at Tenant's sole cost and expense: (i) with due diligence, in a good and workmanlike manner, using new materials and utilizing contractors approved by Landlord in its reasonable discretion; (ii) in compliance with plans and specifications approved by Landlord; (iii) in compliance with the construction rules and regulations promulgated by Landlord from time to time; and (iv) in accordance with the Declaration and all applicable Laws (including all work, whether structural or non-structural, inside or outside the Premises, required to comply fully with the Declaration and all applicable Laws and necessitated by Tenant's work). Landlord's right to review and approve (or withhold approval of) Tenant's plans, drawings, specifications, contractor(s) and other aspects of construction work proposed by Tenant is intended solely to ensure compliance with the Declaration and Laws and to reasonably protect Landlord's interest from any material diminution in value or material damage to the structure or the HVAC and Building Systems of the Building. No approval or consent by Landlord shall be deemed or construed to be a representation or warranty by Landlord as to the adequacy, sufficiency, fitness or suitability thereof or compliance thereof with the Declaration or applicable Laws or other requirements. Notwithstanding the foregoing provisions to the contrary, Tenant shall have the right, without Landlord's consent, to make non-structural Alterations such as painting, wall or window coverings, floor coverings, or installation or rearrangement of cubicles or other modular office dividers that do not violate the Declaration or otherwise disturb the parking lot or soil on the Premises and that do not affect the Building structure, HVAC or Building Systems </w:t>
      </w:r>
      <w:r>
        <w:rPr>
          <w:rFonts w:ascii="Arial" w:cs="Arial" w:eastAsia="Arial" w:hAnsi="Arial"/>
          <w:sz w:val="15"/>
          <w:szCs w:val="15"/>
          <w:b w:val="1"/>
          <w:bCs w:val="1"/>
          <w:color w:val="auto"/>
        </w:rPr>
        <w:t>("Minor Alterations"),</w:t>
      </w:r>
      <w:r>
        <w:rPr>
          <w:rFonts w:ascii="Arial" w:cs="Arial" w:eastAsia="Arial" w:hAnsi="Arial"/>
          <w:sz w:val="15"/>
          <w:szCs w:val="15"/>
          <w:color w:val="auto"/>
        </w:rPr>
        <w:t xml:space="preserve"> provided that Tenant gives Landlord not less than ten (10) days prior written notice of any such Minor Alterations and shall otherwise comply with the terms and provisions of this Lease. Except as otherwise provided in Landlord's consent (if applicable), and except as otherwise provided in Section 6.4 below, all Alterations shall upon installation become part of the realty and be the property of Landlord. Tenant shall have no obligation to remove any Minor Alterations or any other Alterations except to the extent that the same materially diminish the value of the Building in Landlord's reasonable determination or materially affect the Building's structure, HVAC or Building Systems, and then only to the extent that Landlord, at the time of giving its consent to any such Alteration, notified Tenant of the requirement that such Alteration be removed at the end of the Term. Whether or not Landlord's consent is required for any improvements, upon receipt of written notice of Tenant's intention to make any Alterations, Landlord may impose conditions upon Tenant's right to perform such work as Landlord may deem reasonably necessary to protect its interest in the Premises, including without limitation, requiring (a) insurance naming Landlord as additional insured, (b) Tenant to carry builder's risk insurance with limits of coverage adequate to cover the cost of construction and naming Landlord as additional insured (which insurance shall be maintained during periods of construction and shall be primary in the event of a casualty occurring on or about the Premises), (c) adequate financial security or assurances to ensure the contractor and all subcontractors will be paid for their work, (d) the right to have a representative of Landlord be present during the making of any Alterations or Minor Alterations, and</w:t>
      </w:r>
    </w:p>
    <w:p>
      <w:pPr>
        <w:spacing w:after="0" w:line="7" w:lineRule="exact"/>
        <w:rPr>
          <w:sz w:val="20"/>
          <w:szCs w:val="20"/>
          <w:color w:val="auto"/>
        </w:rPr>
      </w:pPr>
    </w:p>
    <w:p>
      <w:pPr>
        <w:ind w:right="20" w:firstLine="1"/>
        <w:spacing w:after="0" w:line="250" w:lineRule="auto"/>
        <w:tabs>
          <w:tab w:leader="none" w:pos="229"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right to inspect any Alterations or Minor Alterations during the course of construction. Notwithstanding anything herein to the contrary, during any period where Landlord is performing initial construction of the Premises, including without limitation, constructing or installing the Tenant Improvements (i.e. until Landlord is completely finished with its initial construction work of the Premises and any Tenant Improvements), Tenant must use union contractors recognized and approved by the Building Trades Council having jurisdiction over Minneapolis, Minnesota to construct or install any tenant improvements, Alterations, Minor Alterations or tenant trade fixtures, equipment, etc...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114" w:name="page115"/>
    <w:bookmarkEnd w:id="114"/>
    <w:p>
      <w:pPr>
        <w:ind w:right="20" w:firstLine="546"/>
        <w:spacing w:after="0" w:line="268" w:lineRule="auto"/>
        <w:rPr>
          <w:sz w:val="20"/>
          <w:szCs w:val="20"/>
          <w:color w:val="auto"/>
        </w:rPr>
      </w:pPr>
      <w:r>
        <w:rPr>
          <w:rFonts w:ascii="Arial" w:cs="Arial" w:eastAsia="Arial" w:hAnsi="Arial"/>
          <w:sz w:val="16"/>
          <w:szCs w:val="16"/>
          <w:color w:val="auto"/>
        </w:rPr>
        <w:t>6.2 Before making any Alterations (other than Minor Alterations), Tenant shall submit to Landlord for Landlord's prior approval reasonably detailed final plans and specifications prepared by a licensed architect or engineer, a copy of the construction contract, including the name of the contractor and all subcontractors proposed by Tenant to make the Alterations and, if required, a copy of the contractor's license. Tenant shall not be required to reimburse Landlord for any costs incurred by Landlord in connection with any Alterations made by Tenant except that Tenant shall reimburse Landlord within thirty (30) days after written request for payment for any reasonable out of pocket costs incurred by Landlord in connection with having a mechanical engineer or structural engineer reasonably review plans or inspect completed work for Alterations made or desired to be made by Tenant. Tenant shall obtain all applicable permits, authorizations and governmental approvals and deliver copies of the same to Landlord before commencement of any Alterations. Tenant shall also deliver to Landlord copies of inspection approvals and any certificate of occupancy issued upon completion of the Alterations (other than Minor Alterations), together with a sworn construction statement from the general contractor substantiating the total cost of the project (including the value of labor of materials) and identifying all subcontractors, and together with copies of full and final lien waivers or paid invoices from the general contractor and all subcontractors.</w:t>
      </w:r>
    </w:p>
    <w:p>
      <w:pPr>
        <w:spacing w:after="0" w:line="172" w:lineRule="exact"/>
        <w:rPr>
          <w:sz w:val="20"/>
          <w:szCs w:val="20"/>
          <w:color w:val="auto"/>
        </w:rPr>
      </w:pPr>
    </w:p>
    <w:p>
      <w:pPr>
        <w:ind w:right="80" w:firstLine="546"/>
        <w:spacing w:after="0" w:line="252" w:lineRule="auto"/>
        <w:rPr>
          <w:sz w:val="20"/>
          <w:szCs w:val="20"/>
          <w:color w:val="auto"/>
        </w:rPr>
      </w:pPr>
      <w:r>
        <w:rPr>
          <w:rFonts w:ascii="Arial" w:cs="Arial" w:eastAsia="Arial" w:hAnsi="Arial"/>
          <w:sz w:val="17"/>
          <w:szCs w:val="17"/>
          <w:color w:val="auto"/>
        </w:rPr>
        <w:t xml:space="preserve">6.3 Tenant shall keep the Premises free and clear of all liens arising out of any work performed, materials furnished or obligations incurred by Tenant. If any such lien attaches to the Premises, and Tenant does not cause the same to be released by payment, bonding or otherwise within thirty (30) days after the attachment thereof, Landlord shall have the right but not the obligation to cause the same to be released by payment of the lien or otherwise, and any sums expended by Landlord (plus Landlord's administrative costs) in connection therewith shall be payable by Tenant on demand with interest thereon from the date of expenditure by Landlord at the Interest Rate (as defined in Section 16.2 - </w:t>
      </w:r>
      <w:r>
        <w:rPr>
          <w:rFonts w:ascii="Arial" w:cs="Arial" w:eastAsia="Arial" w:hAnsi="Arial"/>
          <w:sz w:val="17"/>
          <w:szCs w:val="17"/>
          <w:i w:val="1"/>
          <w:iCs w:val="1"/>
          <w:color w:val="auto"/>
        </w:rPr>
        <w:t>Interest).</w:t>
      </w:r>
      <w:r>
        <w:rPr>
          <w:rFonts w:ascii="Arial" w:cs="Arial" w:eastAsia="Arial" w:hAnsi="Arial"/>
          <w:sz w:val="17"/>
          <w:szCs w:val="17"/>
          <w:color w:val="auto"/>
        </w:rPr>
        <w:t xml:space="preserve"> Tenant shall give Landlord at least ten (10) days' notice prior to the commencement of any Alterations (except in case of emergency when notice shall be given as soon as reasonably possible) and cooperate with Landlord in posting and maintaining notices of non-responsibility in connection therewith.</w:t>
      </w:r>
    </w:p>
    <w:p>
      <w:pPr>
        <w:spacing w:after="0" w:line="183" w:lineRule="exact"/>
        <w:rPr>
          <w:sz w:val="20"/>
          <w:szCs w:val="20"/>
          <w:color w:val="auto"/>
        </w:rPr>
      </w:pPr>
    </w:p>
    <w:p>
      <w:pPr>
        <w:ind w:right="320" w:firstLine="546"/>
        <w:spacing w:after="0" w:line="256" w:lineRule="auto"/>
        <w:rPr>
          <w:sz w:val="20"/>
          <w:szCs w:val="20"/>
          <w:color w:val="auto"/>
        </w:rPr>
      </w:pPr>
      <w:r>
        <w:rPr>
          <w:rFonts w:ascii="Arial" w:cs="Arial" w:eastAsia="Arial" w:hAnsi="Arial"/>
          <w:sz w:val="17"/>
          <w:szCs w:val="17"/>
          <w:color w:val="auto"/>
        </w:rPr>
        <w:t xml:space="preserve">6.4 Subject to the provisions of Section 5 - </w:t>
      </w:r>
      <w:r>
        <w:rPr>
          <w:rFonts w:ascii="Arial" w:cs="Arial" w:eastAsia="Arial" w:hAnsi="Arial"/>
          <w:sz w:val="17"/>
          <w:szCs w:val="17"/>
          <w:i w:val="1"/>
          <w:iCs w:val="1"/>
          <w:color w:val="auto"/>
        </w:rPr>
        <w:t>Use and Compliance with Laws</w:t>
      </w:r>
      <w:r>
        <w:rPr>
          <w:rFonts w:ascii="Arial" w:cs="Arial" w:eastAsia="Arial" w:hAnsi="Arial"/>
          <w:sz w:val="17"/>
          <w:szCs w:val="17"/>
          <w:color w:val="auto"/>
        </w:rPr>
        <w:t xml:space="preserve"> and the foregoing provisions of this Section, Tenant may install and maintain furnishings, equipment, movable partitions, business equipment and other trade fixtures ("Trade Fixtures") in the Premises, provided that the Trade Fixtures do not become an integral part of the Premises or the Building. Tenant shall promptly repair any damage to the Premises or the Building caused by any installation or removal of such Trade Fixtures.</w:t>
      </w:r>
    </w:p>
    <w:p>
      <w:pPr>
        <w:spacing w:after="0" w:line="178" w:lineRule="exact"/>
        <w:rPr>
          <w:sz w:val="20"/>
          <w:szCs w:val="20"/>
          <w:color w:val="auto"/>
        </w:rPr>
      </w:pPr>
    </w:p>
    <w:p>
      <w:pPr>
        <w:ind w:left="420" w:hanging="419"/>
        <w:spacing w:after="0"/>
        <w:tabs>
          <w:tab w:leader="none" w:pos="4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MAINTENANCE AND REPAIRS.</w:t>
      </w:r>
    </w:p>
    <w:p>
      <w:pPr>
        <w:spacing w:after="0" w:line="209" w:lineRule="exact"/>
        <w:rPr>
          <w:sz w:val="20"/>
          <w:szCs w:val="20"/>
          <w:color w:val="auto"/>
        </w:rPr>
      </w:pPr>
    </w:p>
    <w:p>
      <w:pPr>
        <w:ind w:firstLine="546"/>
        <w:spacing w:after="0" w:line="267" w:lineRule="auto"/>
        <w:rPr>
          <w:sz w:val="20"/>
          <w:szCs w:val="20"/>
          <w:color w:val="auto"/>
        </w:rPr>
      </w:pPr>
      <w:r>
        <w:rPr>
          <w:rFonts w:ascii="Arial" w:cs="Arial" w:eastAsia="Arial" w:hAnsi="Arial"/>
          <w:sz w:val="16"/>
          <w:szCs w:val="16"/>
          <w:color w:val="auto"/>
        </w:rPr>
        <w:t xml:space="preserve">7.1 At the time of lease commencement and prior to Tenant's possession of the Premises, Tenant and its architect and project manager shall prepare and deliver to Landlord a written punch list of then-known building deficiencies. Landlord shall correct all such deficiencies within thirty (30) days after receipt of said written punchlist, except if the nature of the deficiency is such that it cannot be corrected in thirty (30) days, then Landlord shall have an additional reasonable amount of time within which to correct the particular deficiency. If Landlord does not correct any deficiency within the time period permitted above, then Tenant shall have the right to do so and upon completion thereof and delivery to Landlord of written documentation substantiating costs incurred and payment thereof by Tenant, Landlord shall pay Tenant said costs (inclusive of an administrative cost of 10%) within thirty (30) days after receipt of same. If Landlord does not pay any amounts due under the preceding sentence within said thirty (30) day period, then Tenant may deduct the cost thereof from the next installment(s) of Rent payable under the Lease. Tenant's occupancy of the Premises or preparation of a punch list shall not reduce Landlord's obligation to construct the space in accordance with the Final Plans (defined in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B). Landlord agrees to cooperate with Tenant to enforce, at Tenant's sole cost and expense, any express warranties or guaranties of workmanship or materials given by subcontractors or materialmen that guarantee or warrant against defective workmanship or materials and to cooperate with Tenant in the enforcement, at Tenant's sole cost and expense, of any service contracts that provide service, repair or maintenance to any item incorporated in the Building; provided that Landlord will not charge Tenant for Landlord's employees' time in such cooperation.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115" w:name="page116"/>
    <w:bookmarkEnd w:id="115"/>
    <w:p>
      <w:pPr>
        <w:ind w:right="40" w:firstLine="546"/>
        <w:spacing w:after="0" w:line="254" w:lineRule="auto"/>
        <w:rPr>
          <w:sz w:val="20"/>
          <w:szCs w:val="20"/>
          <w:color w:val="auto"/>
        </w:rPr>
      </w:pPr>
      <w:r>
        <w:rPr>
          <w:rFonts w:ascii="Arial" w:cs="Arial" w:eastAsia="Arial" w:hAnsi="Arial"/>
          <w:sz w:val="17"/>
          <w:szCs w:val="17"/>
          <w:color w:val="auto"/>
        </w:rPr>
        <w:t>7.2 During the Term, Tenant at Tenant's expense but under the direction of Landlord, shall repair and maintain Tenant's signage and the interior of the Premises, including, without limitation, the interior walls, floor coverings, ceiling (ceiling tiles and grid), Tenant Improvements, Alterations, Minor Alterations, fire extinguishers, outlets and fixtures, plate glass, doors, door locks and door hardware, security systems, telecommunications systems, and plumbing fixtures, and any appliances (including dishwashers, hot water heaters and garbage disposers) in the Premises, in a first class condition, and keep the Premises and the parking areas in a clean, safe and orderly condition.</w:t>
      </w:r>
    </w:p>
    <w:p>
      <w:pPr>
        <w:spacing w:after="0" w:line="180" w:lineRule="exact"/>
        <w:rPr>
          <w:sz w:val="20"/>
          <w:szCs w:val="20"/>
          <w:color w:val="auto"/>
        </w:rPr>
      </w:pPr>
    </w:p>
    <w:p>
      <w:pPr>
        <w:ind w:firstLine="546"/>
        <w:spacing w:after="0" w:line="268" w:lineRule="auto"/>
        <w:rPr>
          <w:sz w:val="20"/>
          <w:szCs w:val="20"/>
          <w:color w:val="auto"/>
        </w:rPr>
      </w:pPr>
      <w:r>
        <w:rPr>
          <w:rFonts w:ascii="Arial" w:cs="Arial" w:eastAsia="Arial" w:hAnsi="Arial"/>
          <w:sz w:val="16"/>
          <w:szCs w:val="16"/>
          <w:color w:val="auto"/>
        </w:rPr>
        <w:t>7.3 Landlord shall maintain or cause to be maintained in reasonably good order, condition and repair, (i) the exterior of the Building and all other exterior improvements constructed upon the Premises, including, but not limited to, roof (including without limitation flashing and drainage systems), lawn care and landscaping, snow removal, parking areas (other than routine maintenance such as debris and rubbish removal which shall be performed by Tenant), and (ii) the following portions of the Premises: fire sprinkler system, utility lines up to connection points with the building, HVAC and other Building Systems, foundations, floor slab (but not floor coverings) and exterior walls of the Building. All costs incurred by Landlord in performing such maintenance and repair shall be included within the definition of Operating Costs pursuant to the terms of this Lease (except as otherwise provided in this Lease), provided, however, that Tenant shall pay directly the cost of repairs for any damage occasioned by Tenant's use of the Premises or any act or omission of Tenant or Tenant's Representatives or Visitors, to the extent (if any) not covered by the property insurance in the form required to be maintained by Landlord pursuant to this Lease (or if covered by insurance, then to the extent of any deductible). Notwithstanding anything herein to the contrary, Landlord shall also maintain or cause to be maintained, at its sole cost, the structural portions of the Premises. Landlord shall be under no obligation to inspect the Premises. Tenant shall promptly report in writing to Landlord any defective condition known to Tenant which Landlord is required to repair.</w:t>
      </w:r>
    </w:p>
    <w:p>
      <w:pPr>
        <w:spacing w:after="0" w:line="169" w:lineRule="exact"/>
        <w:rPr>
          <w:sz w:val="20"/>
          <w:szCs w:val="20"/>
          <w:color w:val="auto"/>
        </w:rPr>
      </w:pPr>
    </w:p>
    <w:p>
      <w:pPr>
        <w:ind w:right="340" w:firstLine="546"/>
        <w:spacing w:after="0" w:line="260" w:lineRule="auto"/>
        <w:rPr>
          <w:sz w:val="20"/>
          <w:szCs w:val="20"/>
          <w:color w:val="auto"/>
        </w:rPr>
      </w:pPr>
      <w:r>
        <w:rPr>
          <w:rFonts w:ascii="Arial" w:cs="Arial" w:eastAsia="Arial" w:hAnsi="Arial"/>
          <w:sz w:val="17"/>
          <w:szCs w:val="17"/>
          <w:color w:val="auto"/>
        </w:rPr>
        <w:t xml:space="preserve">7.4 If any governmental authority promulgates or revises any Law or imposes mandatory controls on Landlord or the Premises relating to the use or conservation of energy or utilities or the reduction of automobile or other emissions or reduction or management of traffic or parking on the Premises (collectively </w:t>
      </w:r>
      <w:r>
        <w:rPr>
          <w:rFonts w:ascii="Arial" w:cs="Arial" w:eastAsia="Arial" w:hAnsi="Arial"/>
          <w:sz w:val="17"/>
          <w:szCs w:val="17"/>
          <w:b w:val="1"/>
          <w:bCs w:val="1"/>
          <w:color w:val="auto"/>
        </w:rPr>
        <w:t xml:space="preserve">"Controls"), </w:t>
      </w:r>
      <w:r>
        <w:rPr>
          <w:rFonts w:ascii="Arial" w:cs="Arial" w:eastAsia="Arial" w:hAnsi="Arial"/>
          <w:sz w:val="17"/>
          <w:szCs w:val="17"/>
          <w:color w:val="auto"/>
        </w:rPr>
        <w:t>Tenant shall comply with such Controls or make any required alterations to the Premises related thereto.</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00"/>
          </w:cols>
          <w:pgMar w:left="240" w:top="329" w:right="359" w:bottom="1440" w:gutter="0" w:footer="0" w:header="0"/>
        </w:sectPr>
      </w:pPr>
    </w:p>
    <w:bookmarkStart w:id="116" w:name="page117"/>
    <w:bookmarkEnd w:id="116"/>
    <w:p>
      <w:pPr>
        <w:ind w:firstLine="546"/>
        <w:spacing w:after="0" w:line="294" w:lineRule="auto"/>
        <w:rPr>
          <w:sz w:val="20"/>
          <w:szCs w:val="20"/>
          <w:color w:val="auto"/>
        </w:rPr>
      </w:pPr>
      <w:r>
        <w:rPr>
          <w:rFonts w:ascii="Arial" w:cs="Arial" w:eastAsia="Arial" w:hAnsi="Arial"/>
          <w:sz w:val="15"/>
          <w:szCs w:val="15"/>
          <w:color w:val="auto"/>
        </w:rPr>
        <w:t>7.5 Tenant shall have the exclusive right, subject to approval by the City, to place two large lighted signs on the exterior or on the top of the Building and one monument sign in front or on the side of the Building. Tenant shall also have the right to post signs in the parking area, including signs identifying visitors, reserved and/or other parking designations or limitations. All such signage and Tenant's right to install same shall be subject to and installed in compliance with applicable Laws. The cost of all signage is the responsibility of the Tenant. Landlord shall have the right to approve the design of such signage provided such approval shall not be unreasonably withheld or delayed. It is intended that Tenant shall have the right to place on the Building two large signs with its logotype and its colors, subject to Landlord's reasonable approval. Tenant shall be obligated to maintain the building-mounted signage. Tenant shall not be obligated to remove the Building mounted sign and restore the Building exterior surface to its original condition unless the Lease shall be involuntarily terminated earlier than the end of the 144</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month of the Term.</w:t>
      </w:r>
    </w:p>
    <w:p>
      <w:pPr>
        <w:spacing w:after="0" w:line="38" w:lineRule="exact"/>
        <w:rPr>
          <w:sz w:val="20"/>
          <w:szCs w:val="20"/>
          <w:color w:val="auto"/>
        </w:rPr>
      </w:pPr>
    </w:p>
    <w:p>
      <w:pPr>
        <w:ind w:right="60" w:firstLine="546"/>
        <w:spacing w:after="0" w:line="251"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Right to Install Antennas.</w:t>
      </w:r>
      <w:r>
        <w:rPr>
          <w:rFonts w:ascii="Arial" w:cs="Arial" w:eastAsia="Arial" w:hAnsi="Arial"/>
          <w:sz w:val="17"/>
          <w:szCs w:val="17"/>
          <w:color w:val="auto"/>
        </w:rPr>
        <w:t xml:space="preserve"> In addition to the other rights granted by this Lease, Tenant shall have the exclusive right during the Term to install, maintain and operate satellite dish and/or whip antennae or similar rooftop antenna (the "Antennas") on the Building's roof. Tenant shall pay no additional charge for such right during the Term. Tenant shall install and maintain the Antennas and related cabling at its sole expense. Tenant shall fully comply with the requirements of any roof warranty. The installation of the Antennas shall be completed in a workmanlike manner and in accordance with all applicable laws. Tenant shall install the Antennas using non-penetrating roof mounts. Tenant shall comply with all floor load limitations. At the termination of this Lease Tenant shall, at Tenant's sole cost and expense, remove the Antennas and restore the Antenna site to the condition it was prior to the installation of the Antennas, reasonable wear and tear and damage due to fire or other casualty excepted. Tenant shall be responsible for obtaining, if required, any licenses or permits required by any governmental agency having jurisdiction over the Building.</w:t>
      </w:r>
    </w:p>
    <w:p>
      <w:pPr>
        <w:spacing w:after="0" w:line="187" w:lineRule="exact"/>
        <w:rPr>
          <w:sz w:val="20"/>
          <w:szCs w:val="20"/>
          <w:color w:val="auto"/>
        </w:rPr>
      </w:pPr>
    </w:p>
    <w:p>
      <w:pPr>
        <w:ind w:right="160" w:firstLine="1"/>
        <w:spacing w:after="0" w:line="256" w:lineRule="auto"/>
        <w:tabs>
          <w:tab w:leader="none" w:pos="419"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TAXES. Tenant shall pay all rental, excise, sales or transaction privilege taxes arising out of this Lease (excluding, however, state and federal personal or corporate income taxes measured by the income of Landlord from all sources) imposed by any taxing authority upon Landlord or upon Landlord's receipt of any rent payable by Tenant pursuant to the terms of this Lease </w:t>
      </w:r>
      <w:r>
        <w:rPr>
          <w:rFonts w:ascii="Arial" w:cs="Arial" w:eastAsia="Arial" w:hAnsi="Arial"/>
          <w:sz w:val="17"/>
          <w:szCs w:val="17"/>
          <w:b w:val="1"/>
          <w:bCs w:val="1"/>
          <w:color w:val="auto"/>
        </w:rPr>
        <w:t>("Rental Tax").</w:t>
      </w:r>
      <w:r>
        <w:rPr>
          <w:rFonts w:ascii="Arial" w:cs="Arial" w:eastAsia="Arial" w:hAnsi="Arial"/>
          <w:sz w:val="17"/>
          <w:szCs w:val="17"/>
          <w:color w:val="auto"/>
        </w:rPr>
        <w:t xml:space="preserve"> Tenant shall pay any Rental Tax to Landlord in addition to and at the same time as Base Rent is payable under this Lease.</w:t>
      </w:r>
    </w:p>
    <w:p>
      <w:pPr>
        <w:spacing w:after="0" w:line="178" w:lineRule="exact"/>
        <w:rPr>
          <w:rFonts w:ascii="Arial" w:cs="Arial" w:eastAsia="Arial" w:hAnsi="Arial"/>
          <w:sz w:val="17"/>
          <w:szCs w:val="17"/>
          <w:color w:val="auto"/>
        </w:rPr>
      </w:pPr>
    </w:p>
    <w:p>
      <w:pPr>
        <w:ind w:left="420" w:hanging="419"/>
        <w:spacing w:after="0"/>
        <w:tabs>
          <w:tab w:leader="none" w:pos="4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UTILITIES AND SERVICES.</w:t>
      </w:r>
    </w:p>
    <w:p>
      <w:pPr>
        <w:spacing w:after="0" w:line="209" w:lineRule="exact"/>
        <w:rPr>
          <w:sz w:val="20"/>
          <w:szCs w:val="20"/>
          <w:color w:val="auto"/>
        </w:rPr>
      </w:pPr>
    </w:p>
    <w:p>
      <w:pPr>
        <w:ind w:right="140" w:firstLine="546"/>
        <w:spacing w:after="0" w:line="301" w:lineRule="auto"/>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Description of Services.</w:t>
      </w:r>
      <w:r>
        <w:rPr>
          <w:rFonts w:ascii="Arial" w:cs="Arial" w:eastAsia="Arial" w:hAnsi="Arial"/>
          <w:sz w:val="15"/>
          <w:szCs w:val="15"/>
          <w:color w:val="auto"/>
        </w:rPr>
        <w:t xml:space="preserve"> Landlord shall install utilities and HVAC equipment to serve the Premises, all in accordance with the specifications set forth in the Final Plans (defined in </w:t>
      </w:r>
      <w:r>
        <w:rPr>
          <w:rFonts w:ascii="Arial" w:cs="Arial" w:eastAsia="Arial" w:hAnsi="Arial"/>
          <w:sz w:val="15"/>
          <w:szCs w:val="15"/>
          <w:u w:val="single" w:color="auto"/>
          <w:color w:val="auto"/>
        </w:rPr>
        <w:t>Exhibit</w:t>
      </w:r>
      <w:r>
        <w:rPr>
          <w:rFonts w:ascii="Arial" w:cs="Arial" w:eastAsia="Arial" w:hAnsi="Arial"/>
          <w:sz w:val="15"/>
          <w:szCs w:val="15"/>
          <w:color w:val="auto"/>
        </w:rPr>
        <w:t xml:space="preserve"> B).Landlord shall also provide the Building with janitorial services five days a week (except public holidays), normal fluorescent lamp replacement, window washing, elevator service, and common area toilet room supplies. All electrical, water, sewer, and natural gas services will be paid by the Tenant directly to the utility providers, and any such sums so paid shall not constitute Rent for the purpose of calculating Landlord's management fee (if applicable).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329" w:right="259" w:bottom="1440" w:gutter="0" w:footer="0" w:header="0"/>
        </w:sectPr>
      </w:pPr>
    </w:p>
    <w:bookmarkStart w:id="117" w:name="page118"/>
    <w:bookmarkEnd w:id="117"/>
    <w:p>
      <w:pPr>
        <w:ind w:firstLine="607"/>
        <w:spacing w:after="0" w:line="26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Interruption of Services.</w:t>
      </w:r>
      <w:r>
        <w:rPr>
          <w:rFonts w:ascii="Arial" w:cs="Arial" w:eastAsia="Arial" w:hAnsi="Arial"/>
          <w:sz w:val="16"/>
          <w:szCs w:val="16"/>
          <w:color w:val="auto"/>
        </w:rPr>
        <w:t xml:space="preserve"> In the event of an interruption in or failure or inability to provide any services or utilities to the Premises for any reason (a </w:t>
      </w:r>
      <w:r>
        <w:rPr>
          <w:rFonts w:ascii="Arial" w:cs="Arial" w:eastAsia="Arial" w:hAnsi="Arial"/>
          <w:sz w:val="16"/>
          <w:szCs w:val="16"/>
          <w:b w:val="1"/>
          <w:bCs w:val="1"/>
          <w:color w:val="auto"/>
        </w:rPr>
        <w:t xml:space="preserve">"Service Failure"), </w:t>
      </w:r>
      <w:r>
        <w:rPr>
          <w:rFonts w:ascii="Arial" w:cs="Arial" w:eastAsia="Arial" w:hAnsi="Arial"/>
          <w:sz w:val="16"/>
          <w:szCs w:val="16"/>
          <w:color w:val="auto"/>
        </w:rPr>
        <w:t>such Service Failure shall not, regardless of its duration, impose upon Landlord any liability whatsoever, constitute an eviction of Tenant,</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constructive or otherwise, entitle Tenant to an abatement of rent or to terminate this Lease or otherwise release Tenant from any of Tenant's obligations under this Lease. Notwithstanding the foregoing provisions to the contrary, in the event of any utility service interruption that is caused by Landlord's acts and materially interferes with Tenant's use and enjoyment of the Premises, and Landlord fails to take all commercially reasonable steps to restore such utility service as soon as reasonably possible and said interruption continues for at least five (5) consecutive days, then Tenant shall have the right to abate Rent in proportion to the area of the Premises which Tenant's use and enjoyment has been materially interfered with commencing on the sixth (6) day after service was interrupted and ending on the day the applicable utility service is restored to the Premises, provided, however, (i) a condition precedent to Tenant's right of abatement is that Tenant shall cooperate with Landlord and provide such information or certifications reasonably required in order to submit a claim for such rent loss insurance, and (ii) the abatement shall only apply to the extent the type of utility interrupted is either gas, electric, water or sewer.</w:t>
      </w:r>
    </w:p>
    <w:p>
      <w:pPr>
        <w:spacing w:after="0" w:line="172" w:lineRule="exact"/>
        <w:rPr>
          <w:sz w:val="20"/>
          <w:szCs w:val="20"/>
          <w:color w:val="auto"/>
        </w:rPr>
      </w:pPr>
    </w:p>
    <w:p>
      <w:pPr>
        <w:ind w:left="500" w:hanging="499"/>
        <w:spacing w:after="0"/>
        <w:tabs>
          <w:tab w:leader="none" w:pos="5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EXCULPATION AND INDEMNIFICATION.</w:t>
      </w:r>
    </w:p>
    <w:p>
      <w:pPr>
        <w:spacing w:after="0" w:line="209" w:lineRule="exact"/>
        <w:rPr>
          <w:sz w:val="20"/>
          <w:szCs w:val="20"/>
          <w:color w:val="auto"/>
        </w:rPr>
      </w:pPr>
    </w:p>
    <w:p>
      <w:pPr>
        <w:ind w:right="240" w:firstLine="607"/>
        <w:spacing w:after="0" w:line="277"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Landlord's Indemnification of Tenant.</w:t>
      </w:r>
      <w:r>
        <w:rPr>
          <w:rFonts w:ascii="Arial" w:cs="Arial" w:eastAsia="Arial" w:hAnsi="Arial"/>
          <w:sz w:val="16"/>
          <w:szCs w:val="16"/>
          <w:color w:val="auto"/>
        </w:rPr>
        <w:t xml:space="preserve"> Subject to Section 11.3 and Section 28, Landlord shall indemnify, protect, defend and hold Tenant harmless from and against any claims, actions, liabilities, damages, costs or expenses, including reasonable attorneys' fees and costs incurred in defending against the same </w:t>
      </w:r>
      <w:r>
        <w:rPr>
          <w:rFonts w:ascii="Arial" w:cs="Arial" w:eastAsia="Arial" w:hAnsi="Arial"/>
          <w:sz w:val="16"/>
          <w:szCs w:val="16"/>
          <w:b w:val="1"/>
          <w:bCs w:val="1"/>
          <w:color w:val="auto"/>
        </w:rPr>
        <w:t xml:space="preserve">("Claims") </w:t>
      </w:r>
      <w:r>
        <w:rPr>
          <w:rFonts w:ascii="Arial" w:cs="Arial" w:eastAsia="Arial" w:hAnsi="Arial"/>
          <w:sz w:val="16"/>
          <w:szCs w:val="16"/>
          <w:color w:val="auto"/>
        </w:rPr>
        <w:t>asserted by any third party against Tenant for loss, injury or damage, to the extent such loss, injury or damage is caused by the Landlord's breach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Lease or by the willful misconduct or negligent acts or omissions of Landlord or its authorized representatives.</w:t>
      </w:r>
    </w:p>
    <w:p>
      <w:pPr>
        <w:spacing w:after="0" w:line="163" w:lineRule="exact"/>
        <w:rPr>
          <w:sz w:val="20"/>
          <w:szCs w:val="20"/>
          <w:color w:val="auto"/>
        </w:rPr>
      </w:pPr>
    </w:p>
    <w:p>
      <w:pPr>
        <w:ind w:right="240" w:firstLine="607"/>
        <w:spacing w:after="0" w:line="253"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Tenant's Indemnification of Landlord.</w:t>
      </w:r>
      <w:r>
        <w:rPr>
          <w:rFonts w:ascii="Arial" w:cs="Arial" w:eastAsia="Arial" w:hAnsi="Arial"/>
          <w:sz w:val="17"/>
          <w:szCs w:val="17"/>
          <w:color w:val="auto"/>
        </w:rPr>
        <w:t xml:space="preserve"> Subject to Section 11.3, Tenant shall indemnify, protect, defend and hold Landlord and Landlord's authorized representatives harmless from and against Claims arising from (a) the negligent acts or omissions or willful misconduct of Tenant or Tenant's Representatives or Visitors in or about the Premises, or (b) any construction or other work undertaken by Tenant on the Premises (including any design defects), or (c) any breach or default under this Lease by Tenant, or (d) any loss, injury or damage, howsoever and by whomsoever caused, to any person or property, occurring in or about the Premises during the Term, excepting only Claims described in this clause (d) to the extent they are caused by the willful misconduct or negligent acts or omissions of Landlord or its authorized representatives.</w:t>
      </w:r>
    </w:p>
    <w:p>
      <w:pPr>
        <w:spacing w:after="0" w:line="181" w:lineRule="exact"/>
        <w:rPr>
          <w:sz w:val="20"/>
          <w:szCs w:val="20"/>
          <w:color w:val="auto"/>
        </w:rPr>
      </w:pPr>
    </w:p>
    <w:p>
      <w:pPr>
        <w:ind w:right="220" w:firstLine="607"/>
        <w:spacing w:after="0" w:line="296" w:lineRule="auto"/>
        <w:rPr>
          <w:sz w:val="20"/>
          <w:szCs w:val="20"/>
          <w:color w:val="auto"/>
        </w:rPr>
      </w:pPr>
      <w:r>
        <w:rPr>
          <w:rFonts w:ascii="Arial" w:cs="Arial" w:eastAsia="Arial" w:hAnsi="Arial"/>
          <w:sz w:val="15"/>
          <w:szCs w:val="15"/>
          <w:color w:val="auto"/>
        </w:rPr>
        <w:t xml:space="preserve">10.3 </w:t>
      </w:r>
      <w:r>
        <w:rPr>
          <w:rFonts w:ascii="Arial" w:cs="Arial" w:eastAsia="Arial" w:hAnsi="Arial"/>
          <w:sz w:val="15"/>
          <w:szCs w:val="15"/>
          <w:u w:val="single" w:color="auto"/>
          <w:color w:val="auto"/>
        </w:rPr>
        <w:t>Damage to Tenant's Property.</w:t>
      </w:r>
      <w:r>
        <w:rPr>
          <w:rFonts w:ascii="Arial" w:cs="Arial" w:eastAsia="Arial" w:hAnsi="Arial"/>
          <w:sz w:val="15"/>
          <w:szCs w:val="15"/>
          <w:color w:val="auto"/>
        </w:rPr>
        <w:t xml:space="preserve"> Landlord shall not be liable to Tenant for any loss, injury or other damage to Tenant's property in or about the Premises from any cause (including defects in the Premises or in any equipment in the Premises; fire, explosion or other casualty; bursting, rupture, leakage or overflow of any plumbing or other pipes or lines, sprinklers, tanks, drains, drinking fountains or washstands in, above, or about the Premises; or acts of other tenants in the Premises) unless caused by Landlord's negligence (unless waived pursuant to Section 11.3) or willful misconduct. Except as provided in the preceding sentence, Tenant hereby waives all claims against Landlord for any such loss, injury or damage and the cost and expense of defending against claims relating thereto.</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329" w:right="259" w:bottom="1440" w:gutter="0" w:footer="0" w:header="0"/>
        </w:sectPr>
      </w:pPr>
    </w:p>
    <w:bookmarkStart w:id="118" w:name="page119"/>
    <w:bookmarkEnd w:id="118"/>
    <w:p>
      <w:pPr>
        <w:ind w:left="599"/>
        <w:spacing w:after="0"/>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The obligations of the parties under this Section 10 shall survive the expiration or termination of this Lease.</w:t>
      </w:r>
    </w:p>
    <w:p>
      <w:pPr>
        <w:spacing w:after="0" w:line="209" w:lineRule="exact"/>
        <w:rPr>
          <w:sz w:val="20"/>
          <w:szCs w:val="20"/>
          <w:color w:val="auto"/>
        </w:rPr>
      </w:pPr>
    </w:p>
    <w:p>
      <w:pPr>
        <w:ind w:left="499" w:hanging="499"/>
        <w:spacing w:after="0"/>
        <w:tabs>
          <w:tab w:leader="none" w:pos="499"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INSURANCE.</w:t>
      </w:r>
    </w:p>
    <w:p>
      <w:pPr>
        <w:spacing w:after="0" w:line="209" w:lineRule="exact"/>
        <w:rPr>
          <w:sz w:val="20"/>
          <w:szCs w:val="20"/>
          <w:color w:val="auto"/>
        </w:rPr>
      </w:pPr>
    </w:p>
    <w:p>
      <w:pPr>
        <w:ind w:left="599"/>
        <w:spacing w:after="0"/>
        <w:tabs>
          <w:tab w:leader="none" w:pos="1178"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4"/>
          <w:szCs w:val="14"/>
          <w:u w:val="single" w:color="auto"/>
          <w:color w:val="auto"/>
        </w:rPr>
        <w:t>Tenant's Insurance.</w:t>
      </w:r>
    </w:p>
    <w:p>
      <w:pPr>
        <w:spacing w:after="0" w:line="209" w:lineRule="exact"/>
        <w:rPr>
          <w:sz w:val="20"/>
          <w:szCs w:val="20"/>
          <w:color w:val="auto"/>
        </w:rPr>
      </w:pPr>
    </w:p>
    <w:p>
      <w:pPr>
        <w:ind w:left="-1" w:firstLine="1155"/>
        <w:spacing w:after="0" w:line="286" w:lineRule="auto"/>
        <w:tabs>
          <w:tab w:leader="none" w:pos="1888" w:val="left"/>
        </w:tabs>
        <w:numPr>
          <w:ilvl w:val="0"/>
          <w:numId w:val="85"/>
        </w:numPr>
        <w:rPr>
          <w:rFonts w:ascii="Arial" w:cs="Arial" w:eastAsia="Arial" w:hAnsi="Arial"/>
          <w:sz w:val="15"/>
          <w:szCs w:val="15"/>
          <w:color w:val="auto"/>
        </w:rPr>
      </w:pPr>
      <w:r>
        <w:rPr>
          <w:rFonts w:ascii="Arial" w:cs="Arial" w:eastAsia="Arial" w:hAnsi="Arial"/>
          <w:sz w:val="15"/>
          <w:szCs w:val="15"/>
          <w:u w:val="single" w:color="auto"/>
          <w:color w:val="auto"/>
        </w:rPr>
        <w:t>Liability Insurance.</w:t>
      </w:r>
      <w:r>
        <w:rPr>
          <w:rFonts w:ascii="Arial" w:cs="Arial" w:eastAsia="Arial" w:hAnsi="Arial"/>
          <w:sz w:val="15"/>
          <w:szCs w:val="15"/>
          <w:color w:val="auto"/>
        </w:rPr>
        <w:t xml:space="preserve"> Tenant shall maintain in full force throughout the Term, commercial general liability insurance providing coverage on an occurrence form basis with limits of not less than Three Million Dollars ($3,000,000.00) each occurrence for bodily injury and property damage combined, Three Million Dollars ($3,000,000.00) annual general aggregate, and Three Million Dollars ($3,000,000.00) products and completed operations annual aggregate. Tenant's liability insurance policy or policies shall: (i) include premises and operations liability coverage, products and completed operations liability coverage, broad form property damage coverage including completed operations, blanket contractual liability coverage including, to the maximum extent possible, coverage for the indemnification obligations of Tenant under this Lease, and personal and advertising injury coverage; (ii) provide that the insurance company has the duty to defend all insureds under the policy; (iii) provide that defense costs are paid in addition to and do not deplete any of the policy limits; (iv) cover liabilities arising out of or incurred in connection with Tenant's use or occupancy of the Premises; (v) extend coverage to cover liability for the actions of Tenant's Representatives and Visitors; and (vi) designate separate limits for the Premises. Each policy of liability insurance required by this Section shall: (i) contain a cross liability endorsement or separation of insureds clause; (ii) provide that any waiver of subrogation rights or release prior to a loss does not void coverage; (iii) provide that it is primary to and not contributing with, any policy of insurance carried by Landlord covering the same loss; (iv) provide that any failure to comply with the reporting provisions shall not affect coverage provided to Landlord, its partners, property managers and Mortgagees; and (v) name Landlord, its partners, the Property Manager identified in the Basic Lease Information (the "Property Manager"), and such other parties in interest as Landlord may from time to time reasonably designate to Tenant in writing, as additional insureds. Such additional insureds shall be provided at least the same extent of coverage as is provided to Tenant under such policies.</w:t>
      </w:r>
    </w:p>
    <w:p>
      <w:pPr>
        <w:spacing w:after="0" w:line="159" w:lineRule="exact"/>
        <w:rPr>
          <w:rFonts w:ascii="Arial" w:cs="Arial" w:eastAsia="Arial" w:hAnsi="Arial"/>
          <w:sz w:val="15"/>
          <w:szCs w:val="15"/>
          <w:color w:val="auto"/>
        </w:rPr>
      </w:pPr>
    </w:p>
    <w:p>
      <w:pPr>
        <w:ind w:left="-1" w:right="100" w:firstLine="1155"/>
        <w:spacing w:after="0" w:line="270" w:lineRule="auto"/>
        <w:tabs>
          <w:tab w:leader="none" w:pos="1897"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Property Insurance.</w:t>
      </w:r>
      <w:r>
        <w:rPr>
          <w:rFonts w:ascii="Arial" w:cs="Arial" w:eastAsia="Arial" w:hAnsi="Arial"/>
          <w:sz w:val="16"/>
          <w:szCs w:val="16"/>
          <w:color w:val="auto"/>
        </w:rPr>
        <w:t xml:space="preserve"> Tenant shall at all times maintain in effect with respect to any Alterations and Tenant's Trade Fixtures and personal property, commercial property insurance providing coverage, on an "all risk" or "special form" basis, in an amount equal to at least 90% of the full replacement cost of the covered property. Tenant may carry such insurance under a blanket policy, provided that such policy provides coverage equivalent to a separate policy. During the Term, the proceeds from any such policies of insurance shall be used for the repair or replacement of the Alterations, Trade Fixtures and personal property so insured. Landlord shall be provided coverage under such insurance to the extent of its insurable interest and, if requested by Landlord, both Landlord and Tenant shall sign all documents reasonably necessary or proper in connection with the settlement of any claim or loss under such insurance. Landlord will have no obligation to early insurance on any Alterations or on Tenant's Trade Fixtures or personal property.</w:t>
      </w:r>
    </w:p>
    <w:p>
      <w:pPr>
        <w:spacing w:after="0" w:line="373" w:lineRule="exact"/>
        <w:rPr>
          <w:sz w:val="20"/>
          <w:szCs w:val="20"/>
          <w:color w:val="auto"/>
        </w:rPr>
      </w:pPr>
    </w:p>
    <w:p>
      <w:pPr>
        <w:jc w:val="center"/>
        <w:ind w:right="-58"/>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55510" cy="40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59"/>
          </w:cols>
          <w:pgMar w:left="241" w:top="329" w:right="299" w:bottom="1440" w:gutter="0" w:footer="0" w:header="0"/>
        </w:sectPr>
      </w:pPr>
    </w:p>
    <w:bookmarkStart w:id="119" w:name="page120"/>
    <w:bookmarkEnd w:id="119"/>
    <w:p>
      <w:pPr>
        <w:ind w:right="60" w:firstLine="1155"/>
        <w:spacing w:after="0" w:line="270" w:lineRule="auto"/>
        <w:tabs>
          <w:tab w:leader="none" w:pos="201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Requirements For All Policies.</w:t>
      </w:r>
      <w:r>
        <w:rPr>
          <w:rFonts w:ascii="Arial" w:cs="Arial" w:eastAsia="Arial" w:hAnsi="Arial"/>
          <w:sz w:val="16"/>
          <w:szCs w:val="16"/>
          <w:color w:val="auto"/>
        </w:rPr>
        <w:t xml:space="preserve"> Each policy of insurance required under this Section 11.1 shall: (i) be in a form, and written by an insurer, reasonably acceptable to Landlord, (ii) be maintained at Tenant's sole cost and expense, and (iii) require at least thirty (30) days' written notice to Landlord prior to any cancellation, nonrenewal or modification of insurance coverage. Insurance companies issuing such policies shall have rating classifications of "A" or better and financial size category ratings of "VII" or better according to the latest edition of the A.M. Best Key Rating Guide. All insurance companies issuing such policies shall be admitted carriers licensed to do business in the state where the Premises is located. Any deductible amount under such insurance shall not exceed $50,000. Tenant shall provide to Landlord, upon request, evidence that the insurance required to be carried by Tenant pursuant to this Section, including any endorsement effecting the additional insured status, is in full force and effect and that premiums therefor have been paid.</w:t>
      </w:r>
    </w:p>
    <w:p>
      <w:pPr>
        <w:spacing w:after="0" w:line="170" w:lineRule="exact"/>
        <w:rPr>
          <w:rFonts w:ascii="Arial" w:cs="Arial" w:eastAsia="Arial" w:hAnsi="Arial"/>
          <w:sz w:val="16"/>
          <w:szCs w:val="16"/>
          <w:color w:val="auto"/>
        </w:rPr>
      </w:pPr>
    </w:p>
    <w:p>
      <w:pPr>
        <w:jc w:val="both"/>
        <w:ind w:right="280" w:firstLine="1155"/>
        <w:spacing w:after="0" w:line="256" w:lineRule="auto"/>
        <w:tabs>
          <w:tab w:leader="none" w:pos="1983"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Updating Coverage.</w:t>
      </w:r>
      <w:r>
        <w:rPr>
          <w:rFonts w:ascii="Arial" w:cs="Arial" w:eastAsia="Arial" w:hAnsi="Arial"/>
          <w:sz w:val="17"/>
          <w:szCs w:val="17"/>
          <w:color w:val="auto"/>
        </w:rPr>
        <w:t xml:space="preserve"> Tenant shall increase the amounts of insurance as required by any Mortgagee, and, not more frequently than once every three (3) years, as recommended by Landlord's insurance broker, if, in the opinion of either of them, the amount of insurance then required under this Lease is not adequate. Any limits set forth in this Lease on the amount or type of coverage required by Tenant's insurance shall not limit the liability of Tenant under this Lease.</w:t>
      </w:r>
    </w:p>
    <w:p>
      <w:pPr>
        <w:spacing w:after="0" w:line="178" w:lineRule="exact"/>
        <w:rPr>
          <w:rFonts w:ascii="Arial" w:cs="Arial" w:eastAsia="Arial" w:hAnsi="Arial"/>
          <w:sz w:val="17"/>
          <w:szCs w:val="17"/>
          <w:color w:val="auto"/>
        </w:rPr>
      </w:pPr>
    </w:p>
    <w:p>
      <w:pPr>
        <w:ind w:right="40" w:firstLine="1155"/>
        <w:spacing w:after="0" w:line="301" w:lineRule="auto"/>
        <w:tabs>
          <w:tab w:leader="none" w:pos="2015"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Certificates of Insurance.</w:t>
      </w:r>
      <w:r>
        <w:rPr>
          <w:rFonts w:ascii="Arial" w:cs="Arial" w:eastAsia="Arial" w:hAnsi="Arial"/>
          <w:sz w:val="15"/>
          <w:szCs w:val="15"/>
          <w:color w:val="auto"/>
        </w:rPr>
        <w:t xml:space="preserve"> Prior to occupancy of the Premises by Tenant, and not less than thirty (30) days prior to expiration of any policy thereafter, Tenant shall furnish to Landlord a certificate of insurance reflecting that the insurance required by this Section is in force, accompanied by an endorsement showing the required additional insureds satisfactory to Landlord in substance and form. Notwithstanding the requirements of this paragraph, Tenant shall at Landlord's request provide to Landlord a certified copy of each insurance policy required to be in force at any time pursuant to the requirements of this Lease or its Exhibits.</w:t>
      </w:r>
    </w:p>
    <w:p>
      <w:pPr>
        <w:spacing w:after="0" w:line="147" w:lineRule="exact"/>
        <w:rPr>
          <w:sz w:val="20"/>
          <w:szCs w:val="20"/>
          <w:color w:val="auto"/>
        </w:rPr>
      </w:pPr>
    </w:p>
    <w:p>
      <w:pPr>
        <w:ind w:firstLine="607"/>
        <w:spacing w:after="0" w:line="268"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Landlord's Insurance.</w:t>
      </w:r>
      <w:r>
        <w:rPr>
          <w:rFonts w:ascii="Arial" w:cs="Arial" w:eastAsia="Arial" w:hAnsi="Arial"/>
          <w:sz w:val="16"/>
          <w:szCs w:val="16"/>
          <w:color w:val="auto"/>
        </w:rPr>
        <w:t xml:space="preserve"> During the Term, Landlord shall maintain in effect insurance on the Building with responsible insurers, on an "all risk" or "special form" basis, insuring the Building and the Tenant Improvements (excluding items Tenant is responsible for insuring under this Lease and Tenant's personal property, trade fixtures, Minor Alterations, and also excluding Alterations that Tenant is required to remove upon Lease termination) in an amount equal to at least 90% of the replacement cost thereof, excluding land, foundations, footings and underground installations, and including coverage for loss of rents. Landlord may also carry commercial general liability insurance with respect to the Premises and such other insurance coverages required to be carried pursuant to the Developer's Agreement for the Premises. No such policy shall be subject to a deductible or retention in excess of $50,000.00 per occurrence without Tenant's prior written consent, which may be withheld in Tenant's sole discretion. Landlord may, but shall not be obligated to, carry insurance against additional perils and/or in greater amounts, as reasonably determined by Landlord. Notwithstanding the foregoing, any insurance carried or required to be carried by Landlord relative to the Premises may be maintained under a blanket policy or policies of insurance covering the Premises and other properties owned or managed by Landlord or its management agent, provided, however, if any insurance is carried under a blanket policy or policies of insurance, then only such portion of the premium (or deductible) that is fairly allocable to the Premises shall be included in Operating Costs.</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60"/>
          </w:cols>
          <w:pgMar w:left="240" w:top="329" w:right="299" w:bottom="1440" w:gutter="0" w:footer="0" w:header="0"/>
        </w:sectPr>
      </w:pPr>
    </w:p>
    <w:bookmarkStart w:id="120" w:name="page121"/>
    <w:bookmarkEnd w:id="120"/>
    <w:p>
      <w:pPr>
        <w:ind w:left="60" w:right="40" w:firstLine="546"/>
        <w:spacing w:after="0" w:line="252"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Mutual Waiver of Right of Recovery &amp; Waiver of Subrogation.</w:t>
      </w:r>
      <w:r>
        <w:rPr>
          <w:rFonts w:ascii="Arial" w:cs="Arial" w:eastAsia="Arial" w:hAnsi="Arial"/>
          <w:sz w:val="17"/>
          <w:szCs w:val="17"/>
          <w:color w:val="auto"/>
        </w:rPr>
        <w:t xml:space="preserve"> Landlord and Tenant each hereby waive any right of recovery against each other and the partners, managers, members, shareholders, officers, directors and authorized representatives of each other for any loss or damage that is covered by any policy of property insurance maintained by either party (or required by this Lease to be maintained) with respect to the Premises or any operation therein, regardless of cause, including negligence (active or passive) of the party benefiting from the waiver. If any such policy of insurance relating to this Lease or to the Premises does not permit the foregoing waiver or if the coverage under any such policy would be invalidated as a result of such waiver, the party maintaining such policy shall obtain from the insurer under such policy a waiver of all right of recovery by way of subrogation against either party in connection with any claim, loss or damage covered by such policy.</w:t>
      </w:r>
    </w:p>
    <w:p>
      <w:pPr>
        <w:spacing w:after="0" w:line="183" w:lineRule="exact"/>
        <w:rPr>
          <w:sz w:val="20"/>
          <w:szCs w:val="20"/>
          <w:color w:val="auto"/>
        </w:rPr>
      </w:pPr>
    </w:p>
    <w:p>
      <w:pPr>
        <w:ind w:left="640" w:hanging="639"/>
        <w:spacing w:after="0"/>
        <w:tabs>
          <w:tab w:leader="none" w:pos="6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DAMAGE OR DESTRUCTION.</w:t>
      </w:r>
    </w:p>
    <w:p>
      <w:pPr>
        <w:spacing w:after="0" w:line="209"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Landlord's Duty to Repair.</w:t>
      </w:r>
    </w:p>
    <w:p>
      <w:pPr>
        <w:spacing w:after="0" w:line="209" w:lineRule="exact"/>
        <w:rPr>
          <w:rFonts w:ascii="Arial" w:cs="Arial" w:eastAsia="Arial" w:hAnsi="Arial"/>
          <w:sz w:val="17"/>
          <w:szCs w:val="17"/>
          <w:color w:val="auto"/>
        </w:rPr>
      </w:pPr>
    </w:p>
    <w:p>
      <w:pPr>
        <w:ind w:left="60" w:right="80" w:firstLine="1095"/>
        <w:spacing w:after="0" w:line="253" w:lineRule="auto"/>
        <w:tabs>
          <w:tab w:leader="none" w:pos="2015"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If all or a substantial part of the Premises are rendered untenantable or inaccessible by damage to all or any part of the Premises from fire or other casualty then, unless either party is entitled to and elects to terminate this Lease pursuant to Sections 12.2 - </w:t>
      </w:r>
      <w:r>
        <w:rPr>
          <w:rFonts w:ascii="Arial" w:cs="Arial" w:eastAsia="Arial" w:hAnsi="Arial"/>
          <w:sz w:val="17"/>
          <w:szCs w:val="17"/>
          <w:i w:val="1"/>
          <w:iCs w:val="1"/>
          <w:color w:val="auto"/>
        </w:rPr>
        <w:t>Mutual Right to Terminate</w:t>
      </w:r>
      <w:r>
        <w:rPr>
          <w:rFonts w:ascii="Arial" w:cs="Arial" w:eastAsia="Arial" w:hAnsi="Arial"/>
          <w:sz w:val="17"/>
          <w:szCs w:val="17"/>
          <w:color w:val="auto"/>
        </w:rPr>
        <w:t xml:space="preserve"> and 12.3 </w:t>
      </w:r>
      <w:r>
        <w:rPr>
          <w:rFonts w:ascii="Arial" w:cs="Arial" w:eastAsia="Arial" w:hAnsi="Arial"/>
          <w:sz w:val="17"/>
          <w:szCs w:val="17"/>
          <w:i w:val="1"/>
          <w:iCs w:val="1"/>
          <w:color w:val="auto"/>
        </w:rPr>
        <w:t>Landlord's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Right to Terminate </w:t>
      </w:r>
      <w:r>
        <w:rPr>
          <w:rFonts w:ascii="Arial" w:cs="Arial" w:eastAsia="Arial" w:hAnsi="Arial"/>
          <w:sz w:val="17"/>
          <w:szCs w:val="17"/>
          <w:color w:val="auto"/>
        </w:rPr>
        <w:t>and 12.4 —</w:t>
      </w:r>
      <w:r>
        <w:rPr>
          <w:rFonts w:ascii="Arial" w:cs="Arial" w:eastAsia="Arial" w:hAnsi="Arial"/>
          <w:sz w:val="17"/>
          <w:szCs w:val="17"/>
          <w:i w:val="1"/>
          <w:iCs w:val="1"/>
          <w:color w:val="auto"/>
        </w:rPr>
        <w:t xml:space="preserve"> Tenant's Right to Terminate„ </w:t>
      </w:r>
      <w:r>
        <w:rPr>
          <w:rFonts w:ascii="Arial" w:cs="Arial" w:eastAsia="Arial" w:hAnsi="Arial"/>
          <w:sz w:val="17"/>
          <w:szCs w:val="17"/>
          <w:color w:val="auto"/>
        </w:rPr>
        <w:t>Landlord shall, at its expense, repair and restore the Premises, as the case may be, to substantially their</w:t>
      </w:r>
      <w:r>
        <w:rPr>
          <w:rFonts w:ascii="Arial" w:cs="Arial" w:eastAsia="Arial" w:hAnsi="Arial"/>
          <w:sz w:val="17"/>
          <w:szCs w:val="17"/>
          <w:i w:val="1"/>
          <w:iCs w:val="1"/>
          <w:color w:val="auto"/>
        </w:rPr>
        <w:t xml:space="preserve"> </w:t>
      </w:r>
      <w:r>
        <w:rPr>
          <w:rFonts w:ascii="Arial" w:cs="Arial" w:eastAsia="Arial" w:hAnsi="Arial"/>
          <w:sz w:val="17"/>
          <w:szCs w:val="17"/>
          <w:color w:val="auto"/>
        </w:rPr>
        <w:t>former condition to the extent permitted by then applicable Laws; provided, however, that in no event shall Landlord have any obligation for repair or restoration beyond the extent of insurance proceeds received by Landlord for such repair or restoration, or for any of Tenant's personal property, Trade Fixtures, Minor Alterations or Alterations.</w:t>
      </w:r>
    </w:p>
    <w:p>
      <w:pPr>
        <w:spacing w:after="0" w:line="180" w:lineRule="exact"/>
        <w:rPr>
          <w:rFonts w:ascii="Arial" w:cs="Arial" w:eastAsia="Arial" w:hAnsi="Arial"/>
          <w:sz w:val="17"/>
          <w:szCs w:val="17"/>
          <w:color w:val="auto"/>
        </w:rPr>
      </w:pPr>
    </w:p>
    <w:p>
      <w:pPr>
        <w:ind w:left="60" w:right="140" w:firstLine="1095"/>
        <w:spacing w:after="0" w:line="254" w:lineRule="auto"/>
        <w:tabs>
          <w:tab w:leader="none" w:pos="1982" w:val="left"/>
        </w:tabs>
        <w:numPr>
          <w:ilvl w:val="1"/>
          <w:numId w:val="87"/>
        </w:numPr>
        <w:rPr>
          <w:rFonts w:ascii="Arial" w:cs="Arial" w:eastAsia="Arial" w:hAnsi="Arial"/>
          <w:sz w:val="17"/>
          <w:szCs w:val="17"/>
          <w:color w:val="auto"/>
        </w:rPr>
      </w:pPr>
      <w:r>
        <w:rPr>
          <w:rFonts w:ascii="Arial" w:cs="Arial" w:eastAsia="Arial" w:hAnsi="Arial"/>
          <w:sz w:val="17"/>
          <w:szCs w:val="17"/>
          <w:color w:val="auto"/>
        </w:rPr>
        <w:t>If Landlord is required or elects to repair damage to the Premises, this Lease shall continue in effect, but Tenant's Base Rent and Additional Rent shall be ratably abated with regard to any portion of the Premises that Tenant is prevented from using by reason of such damage or its repair from the date of the casualty until substantial completion of Landlord's repair of the affected portion of the Premises as required under this Lease. In no event shall Landlord be liable to Tenant by reason of any injury to or interference with Tenant's business or property arising from fire or other casualty or by reason of any repairs to any part of the Premises necessitated by such casualty.</w:t>
      </w:r>
    </w:p>
    <w:p>
      <w:pPr>
        <w:spacing w:after="0" w:line="180"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5"/>
          <w:szCs w:val="15"/>
          <w:u w:val="single" w:color="auto"/>
          <w:color w:val="auto"/>
        </w:rPr>
        <w:t xml:space="preserve">Mutual Right to Terminate. </w:t>
      </w:r>
      <w:r>
        <w:rPr>
          <w:rFonts w:ascii="Arial" w:cs="Arial" w:eastAsia="Arial" w:hAnsi="Arial"/>
          <w:sz w:val="15"/>
          <w:szCs w:val="15"/>
          <w:color w:val="auto"/>
        </w:rPr>
        <w:t>Either Landlord or Tenant may elect to terminate this Lease following damage by fire or other casualty if:</w:t>
      </w:r>
    </w:p>
    <w:p>
      <w:pPr>
        <w:spacing w:after="0" w:line="209" w:lineRule="exact"/>
        <w:rPr>
          <w:sz w:val="20"/>
          <w:szCs w:val="20"/>
          <w:color w:val="auto"/>
        </w:rPr>
      </w:pPr>
    </w:p>
    <w:p>
      <w:pPr>
        <w:jc w:val="both"/>
        <w:ind w:left="60" w:right="320" w:firstLine="1095"/>
        <w:spacing w:after="0" w:line="260" w:lineRule="auto"/>
        <w:tabs>
          <w:tab w:leader="none" w:pos="2015"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 the reasonable judgment of Landlord, the Premises cannot be substantially repaired and restored under applicable Laws within three hundred sixty-five (365) days after the date of the casualty, provided, however, that the party electing to terminate shall give written notice to the other party within thirty (30) days after the date of casualty; or</w:t>
      </w:r>
    </w:p>
    <w:p>
      <w:pPr>
        <w:spacing w:after="0" w:line="174" w:lineRule="exact"/>
        <w:rPr>
          <w:rFonts w:ascii="Arial" w:cs="Arial" w:eastAsia="Arial" w:hAnsi="Arial"/>
          <w:sz w:val="17"/>
          <w:szCs w:val="17"/>
          <w:color w:val="auto"/>
        </w:rPr>
      </w:pPr>
    </w:p>
    <w:p>
      <w:pPr>
        <w:ind w:left="60" w:firstLine="1095"/>
        <w:spacing w:after="0" w:line="271" w:lineRule="auto"/>
        <w:tabs>
          <w:tab w:leader="none" w:pos="1982"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fire or other casualty occurs during the last year of the Term unless prior to such fire or casualty, Tenant has timely exercised its renewal option for an additional five (5) year term.</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21" w:name="page122"/>
    <w:bookmarkEnd w:id="121"/>
    <w:p>
      <w:pPr>
        <w:spacing w:after="0" w:line="256" w:lineRule="auto"/>
        <w:rPr>
          <w:sz w:val="20"/>
          <w:szCs w:val="20"/>
          <w:color w:val="auto"/>
        </w:rPr>
      </w:pPr>
      <w:r>
        <w:rPr>
          <w:rFonts w:ascii="Arial" w:cs="Arial" w:eastAsia="Arial" w:hAnsi="Arial"/>
          <w:sz w:val="17"/>
          <w:szCs w:val="17"/>
          <w:color w:val="auto"/>
        </w:rPr>
        <w:t>If any of the circumstances described in subparagraphs (a) or (b) of this Section 12.2 occur or arise, the party electing to terminate shall give written notice to the other party within thirty (30) days after the date of the casualty, specifying such party's election to terminate this Lease as provided above. If neither party gives such election notice within said thirty (30) day period, then Landlord shall within thirty (30) days thereafter, notify Tenant in writing of Landlord's estimate of the time required to complete Landlord's repair obligations under this Lease.</w:t>
      </w:r>
    </w:p>
    <w:p>
      <w:pPr>
        <w:spacing w:after="0" w:line="17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5"/>
          <w:szCs w:val="15"/>
          <w:u w:val="single" w:color="auto"/>
          <w:color w:val="auto"/>
        </w:rPr>
        <w:t>Landlord's Right to Terminate.</w:t>
      </w:r>
    </w:p>
    <w:p>
      <w:pPr>
        <w:spacing w:after="0" w:line="209" w:lineRule="exact"/>
        <w:rPr>
          <w:sz w:val="20"/>
          <w:szCs w:val="20"/>
          <w:color w:val="auto"/>
        </w:rPr>
      </w:pPr>
    </w:p>
    <w:p>
      <w:pPr>
        <w:jc w:val="both"/>
        <w:ind w:right="500" w:firstLine="2"/>
        <w:spacing w:after="0" w:line="260" w:lineRule="auto"/>
        <w:tabs>
          <w:tab w:leader="none" w:pos="735" w:val="left"/>
        </w:tabs>
        <w:numPr>
          <w:ilvl w:val="0"/>
          <w:numId w:val="89"/>
        </w:numPr>
        <w:rPr>
          <w:rFonts w:ascii="Arial" w:cs="Arial" w:eastAsia="Arial" w:hAnsi="Arial"/>
          <w:sz w:val="17"/>
          <w:szCs w:val="17"/>
          <w:color w:val="auto"/>
        </w:rPr>
      </w:pPr>
      <w:r>
        <w:rPr>
          <w:rFonts w:ascii="Arial" w:cs="Arial" w:eastAsia="Arial" w:hAnsi="Arial"/>
          <w:sz w:val="17"/>
          <w:szCs w:val="17"/>
          <w:color w:val="auto"/>
        </w:rPr>
        <w:t>Landlord shall also have the right to terminate this Lease if, in the reasonable judgment of Landlord, adequate proceeds are not, for any reason, made available to Landlord from Landlord's insurance policies (and/or from Landlord's funds made available for such purpose, at Landlord's sole option) to make the required repairs.</w:t>
      </w:r>
    </w:p>
    <w:p>
      <w:pPr>
        <w:spacing w:after="0" w:line="174" w:lineRule="exact"/>
        <w:rPr>
          <w:rFonts w:ascii="Arial" w:cs="Arial" w:eastAsia="Arial" w:hAnsi="Arial"/>
          <w:sz w:val="17"/>
          <w:szCs w:val="17"/>
          <w:color w:val="auto"/>
        </w:rPr>
      </w:pPr>
    </w:p>
    <w:p>
      <w:pPr>
        <w:ind w:right="20" w:firstLine="2"/>
        <w:spacing w:after="0" w:line="260" w:lineRule="auto"/>
        <w:tabs>
          <w:tab w:leader="none" w:pos="745"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circumstances described in subparagraph (a) of this Section 12.3 occur or arise, Landlord shall give Tenant notice within thirty (30) days after the date of the casualty, specifying whether Landlord elects to terminate this Lease as provided above and, if not, Landlord's estimate of the time required to complete Landlord's repair obligations under this Lease.</w:t>
      </w:r>
    </w:p>
    <w:p>
      <w:pPr>
        <w:spacing w:after="0" w:line="174"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5"/>
          <w:szCs w:val="15"/>
          <w:u w:val="single" w:color="auto"/>
          <w:color w:val="auto"/>
        </w:rPr>
        <w:t xml:space="preserve">Tenant's Right to Terminate. </w:t>
      </w:r>
      <w:r>
        <w:rPr>
          <w:rFonts w:ascii="Arial" w:cs="Arial" w:eastAsia="Arial" w:hAnsi="Arial"/>
          <w:sz w:val="15"/>
          <w:szCs w:val="15"/>
          <w:color w:val="auto"/>
        </w:rPr>
        <w:t>If Landlord fails to complete all repairs to the Premises as contemplated in this Article 12 within three hundred sixty-five</w:t>
      </w:r>
    </w:p>
    <w:p>
      <w:pPr>
        <w:spacing w:after="0" w:line="19" w:lineRule="exact"/>
        <w:rPr>
          <w:sz w:val="20"/>
          <w:szCs w:val="20"/>
          <w:color w:val="auto"/>
        </w:rPr>
      </w:pPr>
    </w:p>
    <w:p>
      <w:pPr>
        <w:ind w:right="100" w:firstLine="2"/>
        <w:spacing w:after="0" w:line="251" w:lineRule="auto"/>
        <w:tabs>
          <w:tab w:leader="none" w:pos="407" w:val="left"/>
        </w:tabs>
        <w:numPr>
          <w:ilvl w:val="0"/>
          <w:numId w:val="90"/>
        </w:numPr>
        <w:rPr>
          <w:rFonts w:ascii="Arial" w:cs="Arial" w:eastAsia="Arial" w:hAnsi="Arial"/>
          <w:sz w:val="17"/>
          <w:szCs w:val="17"/>
          <w:color w:val="auto"/>
        </w:rPr>
      </w:pPr>
      <w:r>
        <w:rPr>
          <w:rFonts w:ascii="Arial" w:cs="Arial" w:eastAsia="Arial" w:hAnsi="Arial"/>
          <w:sz w:val="17"/>
          <w:szCs w:val="17"/>
          <w:color w:val="auto"/>
        </w:rPr>
        <w:t>days after the occurrence of the event of casualty, subject to Tenant Delays and Force Majeure (or fails to complete all repairs as contemplated in this Article 12 within eighteen (18) months after the occurrence of the event of casualty, subject to Tenant Delays), then Tenant may, upon thirty (30) days prior written notice, terminate this Lease, provided that if Landlord completes all such repairs prior to the expiration of the thirty (30) day period, this Lease shall remain in full force and effect and the termination notice shall be deemed null and void.</w:t>
      </w:r>
    </w:p>
    <w:p>
      <w:pPr>
        <w:spacing w:after="0" w:line="183" w:lineRule="exact"/>
        <w:rPr>
          <w:sz w:val="20"/>
          <w:szCs w:val="20"/>
          <w:color w:val="auto"/>
        </w:rPr>
      </w:pPr>
    </w:p>
    <w:p>
      <w:pPr>
        <w:ind w:left="560" w:hanging="558"/>
        <w:spacing w:after="0"/>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CONDEMNATION.</w:t>
      </w:r>
    </w:p>
    <w:p>
      <w:pPr>
        <w:spacing w:after="0" w:line="209"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Definitions.</w:t>
      </w:r>
    </w:p>
    <w:p>
      <w:pPr>
        <w:spacing w:after="0" w:line="205" w:lineRule="exact"/>
        <w:rPr>
          <w:rFonts w:ascii="Arial" w:cs="Arial" w:eastAsia="Arial" w:hAnsi="Arial"/>
          <w:sz w:val="17"/>
          <w:szCs w:val="17"/>
          <w:color w:val="auto"/>
        </w:rPr>
      </w:pPr>
    </w:p>
    <w:p>
      <w:pPr>
        <w:ind w:left="1900" w:hanging="744"/>
        <w:spacing w:after="0"/>
        <w:tabs>
          <w:tab w:leader="none" w:pos="1900" w:val="left"/>
        </w:tabs>
        <w:numPr>
          <w:ilvl w:val="1"/>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"Award" </w:t>
      </w:r>
      <w:r>
        <w:rPr>
          <w:rFonts w:ascii="Arial" w:cs="Arial" w:eastAsia="Arial" w:hAnsi="Arial"/>
          <w:sz w:val="16"/>
          <w:szCs w:val="16"/>
          <w:color w:val="auto"/>
        </w:rPr>
        <w:t>shall mean all compensation, sums, or anything of value awarded, paid or received on a total or partial Condemnation.</w:t>
      </w:r>
    </w:p>
    <w:p>
      <w:pPr>
        <w:spacing w:after="0" w:line="220" w:lineRule="exact"/>
        <w:rPr>
          <w:rFonts w:ascii="Arial" w:cs="Arial" w:eastAsia="Arial" w:hAnsi="Arial"/>
          <w:sz w:val="16"/>
          <w:szCs w:val="16"/>
          <w:b w:val="1"/>
          <w:bCs w:val="1"/>
          <w:color w:val="auto"/>
        </w:rPr>
      </w:pPr>
    </w:p>
    <w:p>
      <w:pPr>
        <w:ind w:right="40" w:firstLine="1156"/>
        <w:spacing w:after="0" w:line="257" w:lineRule="auto"/>
        <w:tabs>
          <w:tab w:leader="none" w:pos="1908" w:val="left"/>
        </w:tabs>
        <w:numPr>
          <w:ilvl w:val="1"/>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"Condemnation" </w:t>
      </w:r>
      <w:r>
        <w:rPr>
          <w:rFonts w:ascii="Arial" w:cs="Arial" w:eastAsia="Arial" w:hAnsi="Arial"/>
          <w:sz w:val="17"/>
          <w:szCs w:val="17"/>
          <w:color w:val="auto"/>
        </w:rPr>
        <w:t>shall mean (i) a permanent taking (or a temporary taking for a period extending beyond the end of the Term)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the exercise of the power of condemnation or eminent domain by any public or quasi-public authority, private corporation or individual having such power </w:t>
      </w:r>
      <w:r>
        <w:rPr>
          <w:rFonts w:ascii="Arial" w:cs="Arial" w:eastAsia="Arial" w:hAnsi="Arial"/>
          <w:sz w:val="17"/>
          <w:szCs w:val="17"/>
          <w:b w:val="1"/>
          <w:bCs w:val="1"/>
          <w:color w:val="auto"/>
        </w:rPr>
        <w:t xml:space="preserve">("Condemnor"), </w:t>
      </w:r>
      <w:r>
        <w:rPr>
          <w:rFonts w:ascii="Arial" w:cs="Arial" w:eastAsia="Arial" w:hAnsi="Arial"/>
          <w:sz w:val="17"/>
          <w:szCs w:val="17"/>
          <w:color w:val="auto"/>
        </w:rPr>
        <w:t>whether by legal proceedings or otherwise, or (ii) a voluntary sale or transfer by Landlord to any such authority, either under threat of condemnation</w:t>
      </w:r>
      <w:r>
        <w:rPr>
          <w:rFonts w:ascii="Arial" w:cs="Arial" w:eastAsia="Arial" w:hAnsi="Arial"/>
          <w:sz w:val="17"/>
          <w:szCs w:val="17"/>
          <w:b w:val="1"/>
          <w:bCs w:val="1"/>
          <w:color w:val="auto"/>
        </w:rPr>
        <w:t xml:space="preserve"> </w:t>
      </w:r>
      <w:r>
        <w:rPr>
          <w:rFonts w:ascii="Arial" w:cs="Arial" w:eastAsia="Arial" w:hAnsi="Arial"/>
          <w:sz w:val="17"/>
          <w:szCs w:val="17"/>
          <w:color w:val="auto"/>
        </w:rPr>
        <w:t>or while legal proceedings for condemnation are pending.</w:t>
      </w:r>
    </w:p>
    <w:p>
      <w:pPr>
        <w:spacing w:after="0" w:line="174" w:lineRule="exact"/>
        <w:rPr>
          <w:rFonts w:ascii="Arial" w:cs="Arial" w:eastAsia="Arial" w:hAnsi="Arial"/>
          <w:sz w:val="17"/>
          <w:szCs w:val="17"/>
          <w:b w:val="1"/>
          <w:bCs w:val="1"/>
          <w:color w:val="auto"/>
        </w:rPr>
      </w:pPr>
    </w:p>
    <w:p>
      <w:pPr>
        <w:ind w:right="420" w:firstLine="1156"/>
        <w:spacing w:after="0" w:line="276" w:lineRule="auto"/>
        <w:tabs>
          <w:tab w:leader="none" w:pos="1889" w:val="left"/>
        </w:tabs>
        <w:numPr>
          <w:ilvl w:val="1"/>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"Date of Condemnation" </w:t>
      </w:r>
      <w:r>
        <w:rPr>
          <w:rFonts w:ascii="Arial" w:cs="Arial" w:eastAsia="Arial" w:hAnsi="Arial"/>
          <w:sz w:val="17"/>
          <w:szCs w:val="17"/>
          <w:color w:val="auto"/>
        </w:rPr>
        <w:t>shall mean the earlier of the date that title to the property taken is vested in the Condemnor or the date the</w:t>
      </w:r>
      <w:r>
        <w:rPr>
          <w:rFonts w:ascii="Arial" w:cs="Arial" w:eastAsia="Arial" w:hAnsi="Arial"/>
          <w:sz w:val="17"/>
          <w:szCs w:val="17"/>
          <w:b w:val="1"/>
          <w:bCs w:val="1"/>
          <w:color w:val="auto"/>
        </w:rPr>
        <w:t xml:space="preserve"> </w:t>
      </w:r>
      <w:r>
        <w:rPr>
          <w:rFonts w:ascii="Arial" w:cs="Arial" w:eastAsia="Arial" w:hAnsi="Arial"/>
          <w:sz w:val="17"/>
          <w:szCs w:val="17"/>
          <w:color w:val="auto"/>
        </w:rPr>
        <w:t>Condemnor has the right to possession of the property being condemned.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12065</wp:posOffset>
            </wp:positionV>
            <wp:extent cx="7255510" cy="4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00"/>
          </w:cols>
          <w:pgMar w:left="300" w:top="329" w:right="299" w:bottom="1440" w:gutter="0" w:footer="0" w:header="0"/>
        </w:sectPr>
      </w:pPr>
    </w:p>
    <w:bookmarkStart w:id="122" w:name="page123"/>
    <w:bookmarkEnd w:id="122"/>
    <w:p>
      <w:pPr>
        <w:ind w:left="600"/>
        <w:spacing w:after="0"/>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Effect on Lease.</w:t>
      </w:r>
    </w:p>
    <w:p>
      <w:pPr>
        <w:spacing w:after="0" w:line="209" w:lineRule="exact"/>
        <w:rPr>
          <w:sz w:val="20"/>
          <w:szCs w:val="20"/>
          <w:color w:val="auto"/>
        </w:rPr>
      </w:pPr>
    </w:p>
    <w:p>
      <w:pPr>
        <w:ind w:firstLine="1155"/>
        <w:spacing w:after="0" w:line="283" w:lineRule="auto"/>
        <w:tabs>
          <w:tab w:leader="none" w:pos="1889" w:val="left"/>
        </w:tabs>
        <w:numPr>
          <w:ilvl w:val="1"/>
          <w:numId w:val="92"/>
        </w:numPr>
        <w:rPr>
          <w:rFonts w:ascii="Arial" w:cs="Arial" w:eastAsia="Arial" w:hAnsi="Arial"/>
          <w:sz w:val="15"/>
          <w:szCs w:val="15"/>
          <w:color w:val="auto"/>
        </w:rPr>
      </w:pPr>
      <w:r>
        <w:rPr>
          <w:rFonts w:ascii="Arial" w:cs="Arial" w:eastAsia="Arial" w:hAnsi="Arial"/>
          <w:sz w:val="15"/>
          <w:szCs w:val="15"/>
          <w:color w:val="auto"/>
        </w:rPr>
        <w:t>If the Premises are totally taken by Condemnation, this Lease shall terminate as of the Date of Condemnation. If a portion but not all of the Premises is taken by Condemnation, this Lease shall remain in effect, except as otherwise provided herein to the contrary. If a portion of the Building is taken by Condemnation and Landlord determines that it would not be economically prudent to restore the Premises or if there are not adequate condemnation proceeds made available to Landlord to complete restoration, then upon written notice to Tenant delivered within sixty (60) days after Landlord notifies Tenant of the Condemnation, Landlord may terminate this Lease effective as of the date of Condemnation. Further, if such a significant portion of the Premises is taken by eminent domain that Tenant's use and enjoyment of the Premises for the purposes permitted under this Lease is unreasonably interfered with, or if such a significant portion of the parking areas is taken so as to materially and adversely affect Tenant's ingress and egress to the Premises or the required level of parking for the Premises, and Landlord is not able to provide substitutes or replacements for the parking areas taken reasonably acceptable to Tenant, then upon written notice to the other party delivered within sixty</w:t>
      </w:r>
    </w:p>
    <w:p>
      <w:pPr>
        <w:spacing w:after="0" w:line="4" w:lineRule="exact"/>
        <w:rPr>
          <w:rFonts w:ascii="Arial" w:cs="Arial" w:eastAsia="Arial" w:hAnsi="Arial"/>
          <w:sz w:val="15"/>
          <w:szCs w:val="15"/>
          <w:color w:val="auto"/>
        </w:rPr>
      </w:pPr>
    </w:p>
    <w:p>
      <w:pPr>
        <w:ind w:left="320" w:hanging="319"/>
        <w:spacing w:after="0"/>
        <w:tabs>
          <w:tab w:leader="none" w:pos="3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days after Landlord notifies Tenant of the Condemnation, either party may terminate this Lease effective as of the Date of Condemnation.</w:t>
      </w:r>
    </w:p>
    <w:p>
      <w:pPr>
        <w:spacing w:after="0" w:line="197" w:lineRule="exact"/>
        <w:rPr>
          <w:rFonts w:ascii="Arial" w:cs="Arial" w:eastAsia="Arial" w:hAnsi="Arial"/>
          <w:sz w:val="17"/>
          <w:szCs w:val="17"/>
          <w:color w:val="auto"/>
        </w:rPr>
      </w:pPr>
    </w:p>
    <w:p>
      <w:pPr>
        <w:ind w:right="220" w:firstLine="1155"/>
        <w:spacing w:after="0" w:line="271" w:lineRule="auto"/>
        <w:tabs>
          <w:tab w:leader="none" w:pos="1899" w:val="left"/>
        </w:tabs>
        <w:numPr>
          <w:ilvl w:val="1"/>
          <w:numId w:val="93"/>
        </w:numPr>
        <w:rPr>
          <w:rFonts w:ascii="Arial" w:cs="Arial" w:eastAsia="Arial" w:hAnsi="Arial"/>
          <w:sz w:val="17"/>
          <w:szCs w:val="17"/>
          <w:color w:val="auto"/>
        </w:rPr>
      </w:pPr>
      <w:r>
        <w:rPr>
          <w:rFonts w:ascii="Arial" w:cs="Arial" w:eastAsia="Arial" w:hAnsi="Arial"/>
          <w:sz w:val="17"/>
          <w:szCs w:val="17"/>
          <w:color w:val="auto"/>
        </w:rPr>
        <w:t>If all or a portion of the Premises is temporarily taken by a Condemnor for a period not extending beyond the end of the Term, this Lease shall remain in full force and effect.</w:t>
      </w:r>
    </w:p>
    <w:p>
      <w:pPr>
        <w:spacing w:after="0" w:line="166" w:lineRule="exact"/>
        <w:rPr>
          <w:sz w:val="20"/>
          <w:szCs w:val="20"/>
          <w:color w:val="auto"/>
        </w:rPr>
      </w:pPr>
    </w:p>
    <w:p>
      <w:pPr>
        <w:ind w:right="100" w:firstLine="607"/>
        <w:spacing w:after="0" w:line="301" w:lineRule="auto"/>
        <w:rPr>
          <w:sz w:val="20"/>
          <w:szCs w:val="20"/>
          <w:color w:val="auto"/>
        </w:rPr>
      </w:pPr>
      <w:r>
        <w:rPr>
          <w:rFonts w:ascii="Arial" w:cs="Arial" w:eastAsia="Arial" w:hAnsi="Arial"/>
          <w:sz w:val="15"/>
          <w:szCs w:val="15"/>
          <w:color w:val="auto"/>
        </w:rPr>
        <w:t xml:space="preserve">13.3 </w:t>
      </w:r>
      <w:r>
        <w:rPr>
          <w:rFonts w:ascii="Arial" w:cs="Arial" w:eastAsia="Arial" w:hAnsi="Arial"/>
          <w:sz w:val="15"/>
          <w:szCs w:val="15"/>
          <w:u w:val="single" w:color="auto"/>
          <w:color w:val="auto"/>
        </w:rPr>
        <w:t>Restoration.</w:t>
      </w:r>
      <w:r>
        <w:rPr>
          <w:rFonts w:ascii="Arial" w:cs="Arial" w:eastAsia="Arial" w:hAnsi="Arial"/>
          <w:sz w:val="15"/>
          <w:szCs w:val="15"/>
          <w:color w:val="auto"/>
        </w:rPr>
        <w:t xml:space="preserve"> If this Lease is not terminated as provided in Section 13.2 - </w:t>
      </w:r>
      <w:r>
        <w:rPr>
          <w:rFonts w:ascii="Arial" w:cs="Arial" w:eastAsia="Arial" w:hAnsi="Arial"/>
          <w:sz w:val="15"/>
          <w:szCs w:val="15"/>
          <w:i w:val="1"/>
          <w:iCs w:val="1"/>
          <w:color w:val="auto"/>
        </w:rPr>
        <w:t>Effect on Lease,</w:t>
      </w:r>
      <w:r>
        <w:rPr>
          <w:rFonts w:ascii="Arial" w:cs="Arial" w:eastAsia="Arial" w:hAnsi="Arial"/>
          <w:sz w:val="15"/>
          <w:szCs w:val="15"/>
          <w:color w:val="auto"/>
        </w:rPr>
        <w:t xml:space="preserve"> Landlord, at its expense, shall diligently proceed to repair and restore the Premises to substantially its former condition (to the extent permitted by then applicable Laws) and/or repair and restore the Building in an architecturally complete manner to as near the condition to which the Building was originally constructed as reasonably possible, reasonable wear and tear excepted. In no event shall Landlord have any obligation to repair or replace any of Tenant's personal property, Trade Fixtures, Minor Alterations, or Alterations.</w:t>
      </w:r>
    </w:p>
    <w:p>
      <w:pPr>
        <w:spacing w:after="0" w:line="147" w:lineRule="exact"/>
        <w:rPr>
          <w:sz w:val="20"/>
          <w:szCs w:val="20"/>
          <w:color w:val="auto"/>
        </w:rPr>
      </w:pPr>
    </w:p>
    <w:p>
      <w:pPr>
        <w:ind w:right="180" w:firstLine="607"/>
        <w:spacing w:after="0" w:line="296" w:lineRule="auto"/>
        <w:rPr>
          <w:sz w:val="20"/>
          <w:szCs w:val="20"/>
          <w:color w:val="auto"/>
        </w:rPr>
      </w:pPr>
      <w:r>
        <w:rPr>
          <w:rFonts w:ascii="Arial" w:cs="Arial" w:eastAsia="Arial" w:hAnsi="Arial"/>
          <w:sz w:val="15"/>
          <w:szCs w:val="15"/>
          <w:color w:val="auto"/>
        </w:rPr>
        <w:t xml:space="preserve">13.4 </w:t>
      </w:r>
      <w:r>
        <w:rPr>
          <w:rFonts w:ascii="Arial" w:cs="Arial" w:eastAsia="Arial" w:hAnsi="Arial"/>
          <w:sz w:val="15"/>
          <w:szCs w:val="15"/>
          <w:u w:val="single" w:color="auto"/>
          <w:color w:val="auto"/>
        </w:rPr>
        <w:t>Abatement and Reduction of Rent.</w:t>
      </w:r>
      <w:r>
        <w:rPr>
          <w:rFonts w:ascii="Arial" w:cs="Arial" w:eastAsia="Arial" w:hAnsi="Arial"/>
          <w:sz w:val="15"/>
          <w:szCs w:val="15"/>
          <w:color w:val="auto"/>
        </w:rPr>
        <w:t xml:space="preserve"> If any portion of the Premises is taken in a Condemnation or is rendered permanently untenantable by repairs necessitated by the Condemnation, and this Lease is not terminated, the Base Rent and Additional Rent payable under this Lease shall be proportionally reduced as of the Date of Condemnation based upon the percentage of rentable square feet in the Premises so taken or rendered permanently untenantable. In addition, if this Lease remains in effect following a Condemnation and Landlord proceeds to repair and restore the Premises, the Base Rent and Additional Rent payable under this Lease shall be abated during the period of such repair or restoration to the extent such repairs prevent Tenant's use of the Premises.</w:t>
      </w:r>
    </w:p>
    <w:p>
      <w:pPr>
        <w:spacing w:after="0" w:line="151" w:lineRule="exact"/>
        <w:rPr>
          <w:sz w:val="20"/>
          <w:szCs w:val="20"/>
          <w:color w:val="auto"/>
        </w:rPr>
      </w:pPr>
    </w:p>
    <w:p>
      <w:pPr>
        <w:ind w:firstLine="607"/>
        <w:spacing w:after="0" w:line="254"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u w:val="single" w:color="auto"/>
          <w:color w:val="auto"/>
        </w:rPr>
        <w:t>Awards.</w:t>
      </w:r>
      <w:r>
        <w:rPr>
          <w:rFonts w:ascii="Arial" w:cs="Arial" w:eastAsia="Arial" w:hAnsi="Arial"/>
          <w:sz w:val="17"/>
          <w:szCs w:val="17"/>
          <w:color w:val="auto"/>
        </w:rPr>
        <w:t xml:space="preserve"> Any Award made shall be paid to Landlord, and Tenant hereby assigns to Landlord, and waives all interest in or claim to, any such Award, including any claim for the value of the unexpired Term; provided, however, that Tenant shall be entitled to receive, or to prosecute a separate claim for, an Award for a temporary taking of the Premises or a portion thereof by a Condemnor where this Lease is not terminated (to the extent such Award relates to the unexpired Term), or an Award or portion thereof separately designated for relocation expenses or the interruption of or damage to Tenant's business or as compensation for Tenant's personal property, Trade Fixtures or Alterations.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60"/>
          </w:cols>
          <w:pgMar w:left="240" w:top="329" w:right="299" w:bottom="1440" w:gutter="0" w:footer="0" w:header="0"/>
        </w:sectPr>
      </w:pPr>
    </w:p>
    <w:bookmarkStart w:id="123" w:name="page124"/>
    <w:bookmarkEnd w:id="123"/>
    <w:p>
      <w:pPr>
        <w:ind w:right="100" w:firstLine="607"/>
        <w:spacing w:after="0" w:line="256" w:lineRule="auto"/>
        <w:rPr>
          <w:sz w:val="20"/>
          <w:szCs w:val="20"/>
          <w:color w:val="auto"/>
        </w:rPr>
      </w:pPr>
      <w:r>
        <w:rPr>
          <w:rFonts w:ascii="Arial" w:cs="Arial" w:eastAsia="Arial" w:hAnsi="Arial"/>
          <w:sz w:val="17"/>
          <w:szCs w:val="17"/>
          <w:color w:val="auto"/>
        </w:rPr>
        <w:t xml:space="preserve">13.6 </w:t>
      </w:r>
      <w:r>
        <w:rPr>
          <w:rFonts w:ascii="Arial" w:cs="Arial" w:eastAsia="Arial" w:hAnsi="Arial"/>
          <w:sz w:val="17"/>
          <w:szCs w:val="17"/>
          <w:u w:val="single" w:color="auto"/>
          <w:color w:val="auto"/>
        </w:rPr>
        <w:t>Failure to Complete Restoration.</w:t>
      </w:r>
      <w:r>
        <w:rPr>
          <w:rFonts w:ascii="Arial" w:cs="Arial" w:eastAsia="Arial" w:hAnsi="Arial"/>
          <w:sz w:val="17"/>
          <w:szCs w:val="17"/>
          <w:color w:val="auto"/>
        </w:rPr>
        <w:t xml:space="preserve"> If Landlord fails to complete the restoration of the Premises as contemplated in Section 13.3 within three hundred sixty-five (365) days after the occurrence of any partial Condemnation, subject to Tenant Delays and Force Majeure, then Tenant may, upon thirty (30) days prior written notice, terminate this Lease, provided that if Landlord completes all such repairs prior to the expiration of the thirty (30) day period, this Lease shall remain in full force and effect and the termination notice shall be deemed null and void.</w:t>
      </w:r>
    </w:p>
    <w:p>
      <w:pPr>
        <w:spacing w:after="0" w:line="178" w:lineRule="exact"/>
        <w:rPr>
          <w:sz w:val="20"/>
          <w:szCs w:val="20"/>
          <w:color w:val="auto"/>
        </w:rPr>
      </w:pPr>
    </w:p>
    <w:p>
      <w:pPr>
        <w:ind w:left="500" w:hanging="499"/>
        <w:spacing w:after="0"/>
        <w:tabs>
          <w:tab w:leader="none" w:pos="5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ASSIGNMENT AND SUBLETTING.</w:t>
      </w:r>
    </w:p>
    <w:p>
      <w:pPr>
        <w:spacing w:after="0" w:line="209" w:lineRule="exact"/>
        <w:rPr>
          <w:sz w:val="20"/>
          <w:szCs w:val="20"/>
          <w:color w:val="auto"/>
        </w:rPr>
      </w:pPr>
    </w:p>
    <w:p>
      <w:pPr>
        <w:ind w:firstLine="607"/>
        <w:spacing w:after="0" w:line="287" w:lineRule="auto"/>
        <w:rPr>
          <w:sz w:val="20"/>
          <w:szCs w:val="20"/>
          <w:color w:val="auto"/>
        </w:rPr>
      </w:pPr>
      <w:r>
        <w:rPr>
          <w:rFonts w:ascii="Arial" w:cs="Arial" w:eastAsia="Arial" w:hAnsi="Arial"/>
          <w:sz w:val="15"/>
          <w:szCs w:val="15"/>
          <w:color w:val="auto"/>
        </w:rPr>
        <w:t xml:space="preserve">14.1 </w:t>
      </w:r>
      <w:r>
        <w:rPr>
          <w:rFonts w:ascii="Arial" w:cs="Arial" w:eastAsia="Arial" w:hAnsi="Arial"/>
          <w:sz w:val="15"/>
          <w:szCs w:val="15"/>
          <w:u w:val="single" w:color="auto"/>
          <w:color w:val="auto"/>
        </w:rPr>
        <w:t>General</w:t>
      </w:r>
      <w:r>
        <w:rPr>
          <w:rFonts w:ascii="Arial" w:cs="Arial" w:eastAsia="Arial" w:hAnsi="Arial"/>
          <w:sz w:val="15"/>
          <w:szCs w:val="15"/>
          <w:color w:val="auto"/>
        </w:rPr>
        <w:t xml:space="preserve"> Except as otherwise permitted herein, Tenant may not, either voluntarily or by operation of law, assign this Lease or otherwise transfer, mortgage, pledge, hypothecate or encumber this Lease or any interest therein, or sublet or license or permit the use or occupancy of the Premises or any part thereof by or for the benefit of anyone other than Tenant, or in any other manner transfer all or any part of Tenant's interest under this Lease (each and all a </w:t>
      </w:r>
      <w:r>
        <w:rPr>
          <w:rFonts w:ascii="Arial" w:cs="Arial" w:eastAsia="Arial" w:hAnsi="Arial"/>
          <w:sz w:val="15"/>
          <w:szCs w:val="15"/>
          <w:b w:val="1"/>
          <w:bCs w:val="1"/>
          <w:color w:val="auto"/>
        </w:rPr>
        <w:t>"Transfer"),</w:t>
      </w:r>
      <w:r>
        <w:rPr>
          <w:rFonts w:ascii="Arial" w:cs="Arial" w:eastAsia="Arial" w:hAnsi="Arial"/>
          <w:sz w:val="15"/>
          <w:szCs w:val="15"/>
          <w:color w:val="auto"/>
        </w:rPr>
        <w:t xml:space="preserve"> without the consent of Landlord, not to be unreasonably withheld. The issuance, transfer, or sale of stock in Tenant, shall not be deemed an assignment of this Lease, provided, however, that Tenant shall notify Landlord in writing of a sale of more than fifty percent (50%) of the voting stock of Tenant in one transaction. Further, Landlord's consent shall not be required for any Transfer to any affiliate of Tenant (for purposes of this Section 14.1 the term "affiliate" means any corporation, partnership or other entity which is included in the consolidated financial statements of Transoma Medical, Inc.), or to any entity that has acquired all or substantially all the assets of Transoma Medical, Inc. or either of its divisions, Implantable Diagnostic Division or Data Science International, provided, however, that such assignee assumes Tenant's obligations under this Lease in writing and provides a copy of such assignment, sublease or transfer document to Landlord promptly upon full execution thereof by the parties. Further, Tenant shall also have the right to assign its interest in this Lease without the necessity of Landlord's consent for collateral purposes in connection with any financing undertaken by Tenant that pertains to the Premises or the operation of Tenant's business therein.</w:t>
      </w:r>
    </w:p>
    <w:p>
      <w:pPr>
        <w:spacing w:after="0" w:line="160"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 xml:space="preserve">Prior to any proposed Transfer that requires Landlord's consent, Tenant shall submit in writing to Landlord (i) the name and legal composition of the proposed assignee, subtenant, user or other transferee (each a </w:t>
      </w:r>
      <w:r>
        <w:rPr>
          <w:rFonts w:ascii="Arial" w:cs="Arial" w:eastAsia="Arial" w:hAnsi="Arial"/>
          <w:sz w:val="16"/>
          <w:szCs w:val="16"/>
          <w:b w:val="1"/>
          <w:bCs w:val="1"/>
          <w:color w:val="auto"/>
        </w:rPr>
        <w:t>"Proposed Transferee");</w:t>
      </w:r>
      <w:r>
        <w:rPr>
          <w:rFonts w:ascii="Arial" w:cs="Arial" w:eastAsia="Arial" w:hAnsi="Arial"/>
          <w:sz w:val="16"/>
          <w:szCs w:val="16"/>
          <w:color w:val="auto"/>
        </w:rPr>
        <w:t xml:space="preserve"> (ii) the nature of the business proposed to be carried on in the Premises; (iii) a current balance sheet, income statements for the last two years and such other reasonable financial and other information concerning the Proposed Transferee as Landlord may request; and (iv) a copy of the proposed assignment and assumption, sublease or other agreement governing the proposed Transfer. Within fifteen (15) Business Days after Landlord receives all such information it shall notify Tenant whether it approves or disapproves such Transfer.</w:t>
      </w:r>
    </w:p>
    <w:p>
      <w:pPr>
        <w:spacing w:after="0" w:line="168" w:lineRule="exact"/>
        <w:rPr>
          <w:sz w:val="20"/>
          <w:szCs w:val="20"/>
          <w:color w:val="auto"/>
        </w:rPr>
      </w:pPr>
    </w:p>
    <w:p>
      <w:pPr>
        <w:ind w:right="40" w:firstLine="607"/>
        <w:spacing w:after="0" w:line="269"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No Release Of Tenant.</w:t>
      </w:r>
      <w:r>
        <w:rPr>
          <w:rFonts w:ascii="Arial" w:cs="Arial" w:eastAsia="Arial" w:hAnsi="Arial"/>
          <w:sz w:val="16"/>
          <w:szCs w:val="16"/>
          <w:color w:val="auto"/>
        </w:rPr>
        <w:t xml:space="preserve"> No Transfer, whether made with or without the consent of Landlord (including without limitation, any Transfer to an affiliate of Transoma Medical, Inc.), shall relieve Tenant of any obligation to be performed by Tenant under this Lease, whether occurring before or after such consent, assignment, subletting or other Transfer. Each Transferee shall be jointly and severally liable with Tenant (and Tenant shall be jointly and severally liable with each Transferee) for the payment of rent (or, in the case of a sublease, rent in the amount set forth in the sublease) and for the performance of all other terms and provisions of this Lease. Each assignee shall deliver to Landlord a written assumption of the Tenant's obligations under this Lease. The consent by Landlord to any Transfer shall not relieve Tenant or any such Transferee from the obligation to obtain Landlord's express prior written consent to any subsequent Transfer by Tenant or any Transferee. The acceptance of rent by Landlord from any other person (whether or not such person is an occupant of the Premises) shall not be deemed to be a waiver by Landlord of any provision of this Lease or to be a consent to any Transfer.</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329" w:right="259" w:bottom="1440" w:gutter="0" w:footer="0" w:header="0"/>
        </w:sectPr>
      </w:pPr>
    </w:p>
    <w:bookmarkStart w:id="124" w:name="page125"/>
    <w:bookmarkEnd w:id="124"/>
    <w:p>
      <w:pPr>
        <w:ind w:firstLine="607"/>
        <w:spacing w:after="0" w:line="271"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Effectiveness of Transfer.</w:t>
      </w:r>
      <w:r>
        <w:rPr>
          <w:rFonts w:ascii="Arial" w:cs="Arial" w:eastAsia="Arial" w:hAnsi="Arial"/>
          <w:sz w:val="16"/>
          <w:szCs w:val="16"/>
          <w:color w:val="auto"/>
        </w:rPr>
        <w:t xml:space="preserve"> Within ten (10) days after the date on which any Transfer becomes effective, Tenant shall deliver to Landlord a counterpart of the fully executed Transfer document and Landlord's commercially reasonable form of Consent to Assignment or Consent to Sublease, executed by Tenant and the Transferee in which each of Tenant and the Transferee confirms its obligations pursuant to this Lease. Failure or refusal of a Transferee to execute any such instrument shall not release or discharge the Transferee from liability as provided herein. The voluntary, involuntary or other surrender of this Lease by Tenant, or a mutual cancellation by Landlord and Tenant, shall not work a merger, and any such surrender or cancellation shall, at the option of Landlord, either terminate all or any existing subleases or operate as an assignment to Landlord of any or all of such subleases.</w:t>
      </w:r>
    </w:p>
    <w:p>
      <w:pPr>
        <w:spacing w:after="0" w:line="171" w:lineRule="exact"/>
        <w:rPr>
          <w:sz w:val="20"/>
          <w:szCs w:val="20"/>
          <w:color w:val="auto"/>
        </w:rPr>
      </w:pPr>
    </w:p>
    <w:p>
      <w:pPr>
        <w:ind w:right="140" w:firstLine="607"/>
        <w:spacing w:after="0" w:line="296" w:lineRule="auto"/>
        <w:rPr>
          <w:sz w:val="20"/>
          <w:szCs w:val="20"/>
          <w:color w:val="auto"/>
        </w:rPr>
      </w:pPr>
      <w:r>
        <w:rPr>
          <w:rFonts w:ascii="Arial" w:cs="Arial" w:eastAsia="Arial" w:hAnsi="Arial"/>
          <w:sz w:val="15"/>
          <w:szCs w:val="15"/>
          <w:color w:val="auto"/>
        </w:rPr>
        <w:t xml:space="preserve">14.4 </w:t>
      </w:r>
      <w:r>
        <w:rPr>
          <w:rFonts w:ascii="Arial" w:cs="Arial" w:eastAsia="Arial" w:hAnsi="Arial"/>
          <w:sz w:val="15"/>
          <w:szCs w:val="15"/>
          <w:u w:val="single" w:color="auto"/>
          <w:color w:val="auto"/>
        </w:rPr>
        <w:t>Assignment of Sublease Rents.</w:t>
      </w:r>
      <w:r>
        <w:rPr>
          <w:rFonts w:ascii="Arial" w:cs="Arial" w:eastAsia="Arial" w:hAnsi="Arial"/>
          <w:sz w:val="15"/>
          <w:szCs w:val="15"/>
          <w:color w:val="auto"/>
        </w:rPr>
        <w:t xml:space="preserve"> Tenant hereby absolutely and irrevocably assigns to Landlord any and all rights to receive rent and other consideration from any sublease and agrees that Landlord, as assignee or as attorney-in-fact for Tenant for purposes hereof, or a receiver for Tenant appointed on Landlord's application may (but shall not be obligated to) collect such rents and other consideration and apply the same toward Tenant's obligations to Landlord under this Lease; provided, however, that Landlord grants to Tenant at all times prior to occurrence of any breach or default by Tenant a revocable license to collect such rents (which license shall automatically and without notice be and be deemed to have been revoked and terminated immediately upon any Event of Default).</w:t>
      </w:r>
    </w:p>
    <w:p>
      <w:pPr>
        <w:spacing w:after="0" w:line="151" w:lineRule="exact"/>
        <w:rPr>
          <w:sz w:val="20"/>
          <w:szCs w:val="20"/>
          <w:color w:val="auto"/>
        </w:rPr>
      </w:pPr>
    </w:p>
    <w:p>
      <w:pPr>
        <w:ind w:left="500" w:hanging="499"/>
        <w:spacing w:after="0"/>
        <w:tabs>
          <w:tab w:leader="none" w:pos="5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DEFAULT AND REMEDIES.</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Events of Tenant Default.</w:t>
      </w:r>
      <w:r>
        <w:rPr>
          <w:rFonts w:ascii="Arial" w:cs="Arial" w:eastAsia="Arial" w:hAnsi="Arial"/>
          <w:sz w:val="17"/>
          <w:szCs w:val="17"/>
          <w:color w:val="auto"/>
        </w:rPr>
        <w:t xml:space="preserve"> The occurrence of any of the following shall constitute an "</w:t>
      </w:r>
      <w:r>
        <w:rPr>
          <w:rFonts w:ascii="Arial" w:cs="Arial" w:eastAsia="Arial" w:hAnsi="Arial"/>
          <w:sz w:val="17"/>
          <w:szCs w:val="17"/>
          <w:b w:val="1"/>
          <w:bCs w:val="1"/>
          <w:color w:val="auto"/>
        </w:rPr>
        <w:t>Event of Default"</w:t>
      </w:r>
      <w:r>
        <w:rPr>
          <w:rFonts w:ascii="Arial" w:cs="Arial" w:eastAsia="Arial" w:hAnsi="Arial"/>
          <w:sz w:val="17"/>
          <w:szCs w:val="17"/>
          <w:color w:val="auto"/>
        </w:rPr>
        <w:t xml:space="preserve"> by Tenant:</w:t>
      </w:r>
    </w:p>
    <w:p>
      <w:pPr>
        <w:spacing w:after="0" w:line="213" w:lineRule="exact"/>
        <w:rPr>
          <w:sz w:val="20"/>
          <w:szCs w:val="20"/>
          <w:color w:val="auto"/>
        </w:rPr>
      </w:pPr>
    </w:p>
    <w:p>
      <w:pPr>
        <w:ind w:right="360" w:firstLine="1155"/>
        <w:spacing w:after="0" w:line="271" w:lineRule="auto"/>
        <w:tabs>
          <w:tab w:leader="none" w:pos="2012" w:val="left"/>
        </w:tabs>
        <w:numPr>
          <w:ilvl w:val="0"/>
          <w:numId w:val="96"/>
        </w:numPr>
        <w:rPr>
          <w:rFonts w:ascii="Arial" w:cs="Arial" w:eastAsia="Arial" w:hAnsi="Arial"/>
          <w:sz w:val="17"/>
          <w:szCs w:val="17"/>
          <w:color w:val="auto"/>
        </w:rPr>
      </w:pPr>
      <w:r>
        <w:rPr>
          <w:rFonts w:ascii="Arial" w:cs="Arial" w:eastAsia="Arial" w:hAnsi="Arial"/>
          <w:sz w:val="17"/>
          <w:szCs w:val="17"/>
          <w:color w:val="auto"/>
        </w:rPr>
        <w:t>Tenant fails to make any payment of rent when due, or any amount required to replenish the security deposit as provided in Section 4 above, if payment in full is not received by Landlord within ten (10) days after written notice that it is due.</w:t>
      </w:r>
    </w:p>
    <w:p>
      <w:pPr>
        <w:spacing w:after="0" w:line="165" w:lineRule="exact"/>
        <w:rPr>
          <w:rFonts w:ascii="Arial" w:cs="Arial" w:eastAsia="Arial" w:hAnsi="Arial"/>
          <w:sz w:val="17"/>
          <w:szCs w:val="17"/>
          <w:color w:val="auto"/>
        </w:rPr>
      </w:pPr>
    </w:p>
    <w:p>
      <w:pPr>
        <w:ind w:right="360" w:firstLine="1155"/>
        <w:spacing w:after="0" w:line="271" w:lineRule="auto"/>
        <w:tabs>
          <w:tab w:leader="none" w:pos="19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Tenant abandons the Premises (provided that Tenant shall not be deemed to have abandoned the Premises if it vacates the Premises so long as it continues to pay Rent due and otherwise perform its obligations under this Lease).</w:t>
      </w:r>
    </w:p>
    <w:p>
      <w:pPr>
        <w:spacing w:after="0" w:line="165" w:lineRule="exact"/>
        <w:rPr>
          <w:rFonts w:ascii="Arial" w:cs="Arial" w:eastAsia="Arial" w:hAnsi="Arial"/>
          <w:sz w:val="17"/>
          <w:szCs w:val="17"/>
          <w:color w:val="auto"/>
        </w:rPr>
      </w:pPr>
    </w:p>
    <w:p>
      <w:pPr>
        <w:ind w:right="300" w:firstLine="1155"/>
        <w:spacing w:after="0" w:line="303" w:lineRule="auto"/>
        <w:tabs>
          <w:tab w:leader="none" w:pos="2012"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Tenant fails timely to deliver any subordination document, estoppel certificate or financial statement requested by Landlord within the applicable time period specified in Sections 20 - </w:t>
      </w:r>
      <w:r>
        <w:rPr>
          <w:rFonts w:ascii="Arial" w:cs="Arial" w:eastAsia="Arial" w:hAnsi="Arial"/>
          <w:sz w:val="16"/>
          <w:szCs w:val="16"/>
          <w:i w:val="1"/>
          <w:iCs w:val="1"/>
          <w:color w:val="auto"/>
        </w:rPr>
        <w:t>Encumbrances -</w:t>
      </w:r>
      <w:r>
        <w:rPr>
          <w:rFonts w:ascii="Arial" w:cs="Arial" w:eastAsia="Arial" w:hAnsi="Arial"/>
          <w:sz w:val="16"/>
          <w:szCs w:val="16"/>
          <w:color w:val="auto"/>
        </w:rPr>
        <w:t xml:space="preserve"> and 21 - </w:t>
      </w:r>
      <w:r>
        <w:rPr>
          <w:rFonts w:ascii="Arial" w:cs="Arial" w:eastAsia="Arial" w:hAnsi="Arial"/>
          <w:sz w:val="16"/>
          <w:szCs w:val="16"/>
          <w:i w:val="1"/>
          <w:iCs w:val="1"/>
          <w:color w:val="auto"/>
        </w:rPr>
        <w:t>Estoppel Certificates and Financial Statements -</w:t>
      </w:r>
      <w:r>
        <w:rPr>
          <w:rFonts w:ascii="Arial" w:cs="Arial" w:eastAsia="Arial" w:hAnsi="Arial"/>
          <w:sz w:val="16"/>
          <w:szCs w:val="16"/>
          <w:color w:val="auto"/>
        </w:rPr>
        <w:t xml:space="preserve"> below.</w:t>
      </w:r>
    </w:p>
    <w:p>
      <w:pPr>
        <w:spacing w:after="0" w:line="142" w:lineRule="exact"/>
        <w:rPr>
          <w:rFonts w:ascii="Arial" w:cs="Arial" w:eastAsia="Arial" w:hAnsi="Arial"/>
          <w:sz w:val="16"/>
          <w:szCs w:val="16"/>
          <w:color w:val="auto"/>
        </w:rPr>
      </w:pPr>
    </w:p>
    <w:p>
      <w:pPr>
        <w:ind w:left="1980" w:hanging="825"/>
        <w:spacing w:after="0"/>
        <w:tabs>
          <w:tab w:leader="none" w:pos="19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Tenant violates the restrictions on Transfer set forth in Section 14 </w:t>
      </w:r>
      <w:r>
        <w:rPr>
          <w:rFonts w:ascii="Arial" w:cs="Arial" w:eastAsia="Arial" w:hAnsi="Arial"/>
          <w:sz w:val="17"/>
          <w:szCs w:val="17"/>
          <w:i w:val="1"/>
          <w:iCs w:val="1"/>
          <w:color w:val="auto"/>
        </w:rPr>
        <w:t>-Assignment and Subletting.</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60"/>
          </w:cols>
          <w:pgMar w:left="240" w:top="329" w:right="299" w:bottom="1440" w:gutter="0" w:footer="0" w:header="0"/>
        </w:sectPr>
      </w:pPr>
    </w:p>
    <w:bookmarkStart w:id="125" w:name="page126"/>
    <w:bookmarkEnd w:id="125"/>
    <w:p>
      <w:pPr>
        <w:ind w:firstLine="1095"/>
        <w:spacing w:after="0" w:line="301" w:lineRule="auto"/>
        <w:tabs>
          <w:tab w:leader="none" w:pos="1952" w:val="left"/>
        </w:tabs>
        <w:numPr>
          <w:ilvl w:val="1"/>
          <w:numId w:val="97"/>
        </w:numPr>
        <w:rPr>
          <w:rFonts w:ascii="Arial" w:cs="Arial" w:eastAsia="Arial" w:hAnsi="Arial"/>
          <w:sz w:val="15"/>
          <w:szCs w:val="15"/>
          <w:color w:val="auto"/>
        </w:rPr>
      </w:pPr>
      <w:r>
        <w:rPr>
          <w:rFonts w:ascii="Arial" w:cs="Arial" w:eastAsia="Arial" w:hAnsi="Arial"/>
          <w:sz w:val="15"/>
          <w:szCs w:val="15"/>
          <w:color w:val="auto"/>
        </w:rPr>
        <w:t>Tenant ceases doing business as a going concern; makes a general assignment for the benefit of creditors; is adjudicated an insolvent, files a petition (or files an answer admitting the material allegations of a petition) seeking relief under any state or federal bankruptcy or other statute, law or regulation affecting creditors' rights; all or substantially all of Tenant's assets are subject to judicial seizure or attachment and are not released within ninety (90) days, or Tenant consents to or acquiesces in the appointment of a trustee, receiver or liquidator for Tenant or for all or any substantial part of Tenant's assets.</w:t>
      </w:r>
    </w:p>
    <w:p>
      <w:pPr>
        <w:spacing w:after="0" w:line="146" w:lineRule="exact"/>
        <w:rPr>
          <w:rFonts w:ascii="Arial" w:cs="Arial" w:eastAsia="Arial" w:hAnsi="Arial"/>
          <w:sz w:val="15"/>
          <w:szCs w:val="15"/>
          <w:color w:val="auto"/>
        </w:rPr>
      </w:pPr>
    </w:p>
    <w:p>
      <w:pPr>
        <w:ind w:right="20" w:firstLine="1095"/>
        <w:spacing w:after="0" w:line="256" w:lineRule="auto"/>
        <w:tabs>
          <w:tab w:leader="none" w:pos="1933" w:val="left"/>
        </w:tabs>
        <w:numPr>
          <w:ilvl w:val="1"/>
          <w:numId w:val="97"/>
        </w:numPr>
        <w:rPr>
          <w:rFonts w:ascii="Arial" w:cs="Arial" w:eastAsia="Arial" w:hAnsi="Arial"/>
          <w:sz w:val="17"/>
          <w:szCs w:val="17"/>
          <w:color w:val="auto"/>
        </w:rPr>
      </w:pPr>
      <w:r>
        <w:rPr>
          <w:rFonts w:ascii="Arial" w:cs="Arial" w:eastAsia="Arial" w:hAnsi="Arial"/>
          <w:sz w:val="17"/>
          <w:szCs w:val="17"/>
          <w:color w:val="auto"/>
        </w:rPr>
        <w:t>Tenant fails, within ninety (90) days after the commencement of any proceedings against Tenant seeking relief under any state or federal bankruptcy or other statute, law or regulation affecting creditors' rights, to have such proceedings dismissed, or Tenant fails, within ninety (90) days after an appointment, without Tenant's consent or acquiescence, of any trustee, receiver or liquidator for Tenant or for all or any substantial part of Tenant's assets, to have such appointment vacated.</w:t>
      </w:r>
    </w:p>
    <w:p>
      <w:pPr>
        <w:spacing w:after="0" w:line="178" w:lineRule="exact"/>
        <w:rPr>
          <w:rFonts w:ascii="Arial" w:cs="Arial" w:eastAsia="Arial" w:hAnsi="Arial"/>
          <w:sz w:val="17"/>
          <w:szCs w:val="17"/>
          <w:color w:val="auto"/>
        </w:rPr>
      </w:pPr>
    </w:p>
    <w:p>
      <w:pPr>
        <w:ind w:firstLine="1095"/>
        <w:spacing w:after="0" w:line="287" w:lineRule="auto"/>
        <w:tabs>
          <w:tab w:leader="none" w:pos="1961" w:val="left"/>
        </w:tabs>
        <w:numPr>
          <w:ilvl w:val="1"/>
          <w:numId w:val="97"/>
        </w:numPr>
        <w:rPr>
          <w:rFonts w:ascii="Arial" w:cs="Arial" w:eastAsia="Arial" w:hAnsi="Arial"/>
          <w:sz w:val="15"/>
          <w:szCs w:val="15"/>
          <w:color w:val="auto"/>
        </w:rPr>
      </w:pPr>
      <w:r>
        <w:rPr>
          <w:rFonts w:ascii="Arial" w:cs="Arial" w:eastAsia="Arial" w:hAnsi="Arial"/>
          <w:sz w:val="15"/>
          <w:szCs w:val="15"/>
          <w:color w:val="auto"/>
        </w:rPr>
        <w:t>Tenant fails to perform or comply with any provision of this Lease other than those described in (a) through (f) above, and does not fully cure such failure within thirty (30) days after notice to Tenant or, if such failure cannot be cured within such thirty (30)-day period, Tenant fails within such thirty (30)-day period to commence, and thereafter diligently proceed with, all actions necessary to cure such failure as soon as reasonably possible but in all events within ninety</w:t>
      </w:r>
    </w:p>
    <w:p>
      <w:pPr>
        <w:ind w:left="320" w:hanging="318"/>
        <w:spacing w:after="0"/>
        <w:tabs>
          <w:tab w:leader="none" w:pos="3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days of such notice.</w:t>
      </w:r>
    </w:p>
    <w:p>
      <w:pPr>
        <w:spacing w:after="0" w:line="198" w:lineRule="exact"/>
        <w:rPr>
          <w:sz w:val="20"/>
          <w:szCs w:val="20"/>
          <w:color w:val="auto"/>
        </w:rPr>
      </w:pPr>
    </w:p>
    <w:p>
      <w:pPr>
        <w:ind w:right="200" w:firstLine="546"/>
        <w:spacing w:after="0" w:line="271"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u w:val="single" w:color="auto"/>
          <w:color w:val="auto"/>
        </w:rPr>
        <w:t>Landlord's Remedies.</w:t>
      </w:r>
      <w:r>
        <w:rPr>
          <w:rFonts w:ascii="Arial" w:cs="Arial" w:eastAsia="Arial" w:hAnsi="Arial"/>
          <w:sz w:val="17"/>
          <w:szCs w:val="17"/>
          <w:color w:val="auto"/>
        </w:rPr>
        <w:t xml:space="preserve"> Upon the occurrence of an Event of Default by Tenant, Landlord shall have the following remedies, which shall not be exclusive but shall be cumulative and shall be in addition to any other remedies now or hereafter allowed by law:</w:t>
      </w:r>
    </w:p>
    <w:p>
      <w:pPr>
        <w:spacing w:after="0" w:line="166" w:lineRule="exact"/>
        <w:rPr>
          <w:sz w:val="20"/>
          <w:szCs w:val="20"/>
          <w:color w:val="auto"/>
        </w:rPr>
      </w:pPr>
    </w:p>
    <w:p>
      <w:pPr>
        <w:ind w:right="40" w:firstLine="1095"/>
        <w:spacing w:after="0" w:line="251" w:lineRule="auto"/>
        <w:tabs>
          <w:tab w:leader="none" w:pos="1955" w:val="left"/>
        </w:tabs>
        <w:numPr>
          <w:ilvl w:val="0"/>
          <w:numId w:val="99"/>
        </w:numPr>
        <w:rPr>
          <w:rFonts w:ascii="Arial" w:cs="Arial" w:eastAsia="Arial" w:hAnsi="Arial"/>
          <w:sz w:val="17"/>
          <w:szCs w:val="17"/>
          <w:color w:val="auto"/>
        </w:rPr>
      </w:pPr>
      <w:r>
        <w:rPr>
          <w:rFonts w:ascii="Arial" w:cs="Arial" w:eastAsia="Arial" w:hAnsi="Arial"/>
          <w:sz w:val="17"/>
          <w:szCs w:val="17"/>
          <w:color w:val="auto"/>
        </w:rPr>
        <w:t>Landlord may terminate Tenant's right to possession of the Premises at any time by written notice to Tenant. Tenant expressly acknowledges that in the absence of such written notice from Landlord, no other act of Landlord, including re-entry into the Premises, efforts to relet the Premises, reletting of the Premises for Tenant's account, storage of Tenant's personal property and Trade Fixtures, acceptance of keys to the Premises from Tenant or exercise of any other rights and remedies under this Section, shall constitute an acceptance of Tenant's surrender of the Premises or constitute a termination of this Lease or of Tenant's right to possession of the Premises. Upon such termination in writing of Tenant's right to possession of the Premises, as herein provided, this Lease shall terminate and Landlord shall be entitled to recover damages, including, but not limited to, tenant improvement costs, broker fees and negotiating costs and foreseeable consequential damages from Tenant as provided in any applicable statutes and any other applicable existing or future Law providing for recovery of damages for such breach.</w:t>
      </w:r>
    </w:p>
    <w:p>
      <w:pPr>
        <w:spacing w:after="0" w:line="186" w:lineRule="exact"/>
        <w:rPr>
          <w:rFonts w:ascii="Arial" w:cs="Arial" w:eastAsia="Arial" w:hAnsi="Arial"/>
          <w:sz w:val="17"/>
          <w:szCs w:val="17"/>
          <w:color w:val="auto"/>
        </w:rPr>
      </w:pPr>
    </w:p>
    <w:p>
      <w:pPr>
        <w:ind w:right="200" w:firstLine="1095"/>
        <w:spacing w:after="0" w:line="260" w:lineRule="auto"/>
        <w:tabs>
          <w:tab w:leader="none" w:pos="1922" w:val="left"/>
        </w:tabs>
        <w:numPr>
          <w:ilvl w:val="0"/>
          <w:numId w:val="99"/>
        </w:numPr>
        <w:rPr>
          <w:rFonts w:ascii="Arial" w:cs="Arial" w:eastAsia="Arial" w:hAnsi="Arial"/>
          <w:sz w:val="17"/>
          <w:szCs w:val="17"/>
          <w:color w:val="auto"/>
        </w:rPr>
      </w:pPr>
      <w:r>
        <w:rPr>
          <w:rFonts w:ascii="Arial" w:cs="Arial" w:eastAsia="Arial" w:hAnsi="Arial"/>
          <w:sz w:val="17"/>
          <w:szCs w:val="17"/>
          <w:color w:val="auto"/>
        </w:rPr>
        <w:t>Landlord may cure the Event of Default at Tenant's expense. If Landlord pays any sum or incurs any expense in curing the Event of Default, Tenant shall reimburse Landlord upon demand for the amount of such payment or expense with interest at the Interest Rate from the date the sum is paid or the expense is incurred until Landlord is reimbursed by Tenant.</w:t>
      </w:r>
    </w:p>
    <w:p>
      <w:pPr>
        <w:spacing w:after="0" w:line="174" w:lineRule="exact"/>
        <w:rPr>
          <w:rFonts w:ascii="Arial" w:cs="Arial" w:eastAsia="Arial" w:hAnsi="Arial"/>
          <w:sz w:val="17"/>
          <w:szCs w:val="17"/>
          <w:color w:val="auto"/>
        </w:rPr>
      </w:pPr>
    </w:p>
    <w:p>
      <w:pPr>
        <w:ind w:right="120" w:firstLine="1095"/>
        <w:spacing w:after="0" w:line="296" w:lineRule="auto"/>
        <w:tabs>
          <w:tab w:leader="none" w:pos="1955" w:val="left"/>
        </w:tabs>
        <w:numPr>
          <w:ilvl w:val="0"/>
          <w:numId w:val="99"/>
        </w:numPr>
        <w:rPr>
          <w:rFonts w:ascii="Arial" w:cs="Arial" w:eastAsia="Arial" w:hAnsi="Arial"/>
          <w:sz w:val="15"/>
          <w:szCs w:val="15"/>
          <w:color w:val="auto"/>
        </w:rPr>
      </w:pPr>
      <w:r>
        <w:rPr>
          <w:rFonts w:ascii="Arial" w:cs="Arial" w:eastAsia="Arial" w:hAnsi="Arial"/>
          <w:sz w:val="15"/>
          <w:szCs w:val="15"/>
          <w:color w:val="auto"/>
        </w:rPr>
        <w:t>Landlord may remove all Tenant's property from the Premises, and such property may be stored by Landlord in a public warehouse or elsewhere at the sole cost and for the account of Tenant. If Landlord does not elect to store any or all of Tenant's property left in the Premises, Landlord may consider such property to be abandoned by Tenant, and Landlord may thereupon dispose of such property in any manner deemed appropriate by Landlord. Any proceeds realized by Landlord on the disposal of any such property shall be applied first to offset all expenses of storage and sale, then credited against Tenant's outstanding obligations to Landlord under this Lease, and any balance remaining after satisfaction of all obligations of Tenant under this Lease shall be delivered to Tenant.</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12065</wp:posOffset>
            </wp:positionV>
            <wp:extent cx="7255510" cy="40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280"/>
          </w:cols>
          <w:pgMar w:left="300" w:top="329" w:right="319" w:bottom="1440" w:gutter="0" w:footer="0" w:header="0"/>
        </w:sectPr>
      </w:pPr>
    </w:p>
    <w:bookmarkStart w:id="126" w:name="page127"/>
    <w:bookmarkEnd w:id="126"/>
    <w:p>
      <w:pPr>
        <w:ind w:firstLine="607"/>
        <w:spacing w:after="0" w:line="269"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u w:val="single" w:color="auto"/>
          <w:color w:val="auto"/>
        </w:rPr>
        <w:t>Landlord's Default.</w:t>
      </w:r>
      <w:r>
        <w:rPr>
          <w:rFonts w:ascii="Arial" w:cs="Arial" w:eastAsia="Arial" w:hAnsi="Arial"/>
          <w:sz w:val="16"/>
          <w:szCs w:val="16"/>
          <w:color w:val="auto"/>
        </w:rPr>
        <w:t xml:space="preserve"> In the event of any default under this Lease by Landlord, Landlord shall have thirty (30) days after written notice thereof to cure such default, unless it shall be of a nature that it cannot reasonably be cured within said thirty (30) day period, in which event Landlord shall have a reasonable period of time to cure such default provided that Landlord commences to cure such default within said thirty (30) day period and thereafter diligently prosecutes such cure to completion. If Landlord fails to cure any default within the cure period specified above, Tenant, without limiting any of its rights or remedies permitted at law or in equity, shall have the right (but not the obligation) to cure such default and to charge Landlord for the cost thereof, or if Landlord does not reimburse Tenant therefor within thirty (30) days after written demand for payment, together with written evidence substantiating costs incurred by Tenant, then Tenant may offset any amounts owed by Landlord, plus interest at the Interest Rate, against the Rent or other amounts due hereunder. Notwithstanding anything herein to the contrary, Tenant shall not deduct more than fifty percent (50%) of the Base Rent from any monthly installment of Base Rent if there are sufficient months remaining in the Term to full recover the amount owed by Landlord (the "Maximum Offset").</w:t>
      </w:r>
    </w:p>
    <w:p>
      <w:pPr>
        <w:spacing w:after="0" w:line="169" w:lineRule="exact"/>
        <w:rPr>
          <w:sz w:val="20"/>
          <w:szCs w:val="20"/>
          <w:color w:val="auto"/>
        </w:rPr>
      </w:pPr>
    </w:p>
    <w:p>
      <w:pPr>
        <w:ind w:left="800" w:hanging="799"/>
        <w:spacing w:after="0"/>
        <w:tabs>
          <w:tab w:leader="none" w:pos="8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LATE CHARGE AND INTEREST.</w:t>
      </w:r>
    </w:p>
    <w:p>
      <w:pPr>
        <w:spacing w:after="0" w:line="209" w:lineRule="exact"/>
        <w:rPr>
          <w:sz w:val="20"/>
          <w:szCs w:val="20"/>
          <w:color w:val="auto"/>
        </w:rPr>
      </w:pPr>
    </w:p>
    <w:p>
      <w:pPr>
        <w:ind w:right="100" w:firstLine="607"/>
        <w:spacing w:after="0" w:line="256" w:lineRule="auto"/>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u w:val="single" w:color="auto"/>
          <w:color w:val="auto"/>
        </w:rPr>
        <w:t>Late Charge.</w:t>
      </w:r>
      <w:r>
        <w:rPr>
          <w:rFonts w:ascii="Arial" w:cs="Arial" w:eastAsia="Arial" w:hAnsi="Arial"/>
          <w:sz w:val="17"/>
          <w:szCs w:val="17"/>
          <w:color w:val="auto"/>
        </w:rPr>
        <w:t xml:space="preserve"> If any regularly scheduled installment payment of rent is not received by Landlord within five (5) days after its due date, Tenant shall pay to Landlord on demand as a late charge the sum of $250.00. A late charge shall not be imposed more than once on any particular installment not paid when due, but imposition of a late charge on any payment not made when due does not eliminate or supersede late charges imposed on other (prior) payments not made when due or preclude imposition of a late charge on other installments or payments not made when due.</w:t>
      </w:r>
    </w:p>
    <w:p>
      <w:pPr>
        <w:spacing w:after="0" w:line="178" w:lineRule="exact"/>
        <w:rPr>
          <w:sz w:val="20"/>
          <w:szCs w:val="20"/>
          <w:color w:val="auto"/>
        </w:rPr>
      </w:pPr>
    </w:p>
    <w:p>
      <w:pPr>
        <w:ind w:right="100" w:firstLine="607"/>
        <w:spacing w:after="0" w:line="254" w:lineRule="auto"/>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u w:val="single" w:color="auto"/>
          <w:color w:val="auto"/>
        </w:rPr>
        <w:t>Interest.</w:t>
      </w:r>
      <w:r>
        <w:rPr>
          <w:rFonts w:ascii="Arial" w:cs="Arial" w:eastAsia="Arial" w:hAnsi="Arial"/>
          <w:sz w:val="17"/>
          <w:szCs w:val="17"/>
          <w:color w:val="auto"/>
        </w:rPr>
        <w:t xml:space="preserve"> In addition to the late charges referred to above, which are intended to defray Landlord's costs resulting from late payments, any payment from Tenant to Landlord not paid when due shall at Landlord's option bear interest from the date due until paid to Landlord by Tenant at the rate of twelve percent (12%) per annum or the maximum lawful rate that Landlord may charge to Tenant under applicable laws, whichever is less (the "Interest Rate"). Acceptance of any late charge and/or interest shall not constitute a waiver of Tenant's default with respect to the overdue sum or prevent Landlord from exercising any of its other rights and remedies under this Lease.</w:t>
      </w:r>
    </w:p>
    <w:p>
      <w:pPr>
        <w:spacing w:after="0" w:line="180" w:lineRule="exact"/>
        <w:rPr>
          <w:sz w:val="20"/>
          <w:szCs w:val="20"/>
          <w:color w:val="auto"/>
        </w:rPr>
      </w:pPr>
    </w:p>
    <w:p>
      <w:pPr>
        <w:ind w:firstLine="1"/>
        <w:spacing w:after="0" w:line="291" w:lineRule="auto"/>
        <w:tabs>
          <w:tab w:leader="none" w:pos="798"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WAIVER. No provisions of this Lease shall be deemed waived by Landlord unless such waiver is in a writing signed by the waiving party. The waiver by either party of any breach of any provision of this Lease shall not be deemed a waiver of such provision or of any subsequent breach of the same or any other provision of this Lease. No delay or omission in the exercise of any right or remedy of either party upon any default by the other party shall impair such right or remedy or be construed as a waiver. Landlord's acceptance of any payments of rent due under this Lease shall not be deemed a waiver of any default by Tenant under this Lease (including Tenant's recurrent failure to timely pay rent) other than Tenant's nonpayment of the accepted sums, and no endorsement or statement on any check or payment or in any letter or document accompanying any check or payment shall be deemed an accord and satisfaction. Either party's consent to or approval of any act by the other party requiring consent or approval shall not be deemed to waive or render unnecessary consent to or approval of any subsequent act.</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329" w:right="259" w:bottom="1440" w:gutter="0" w:footer="0" w:header="0"/>
        </w:sectPr>
      </w:pPr>
    </w:p>
    <w:bookmarkStart w:id="127" w:name="page128"/>
    <w:bookmarkEnd w:id="127"/>
    <w:p>
      <w:pPr>
        <w:ind w:left="-1" w:right="100" w:firstLine="1"/>
        <w:spacing w:after="0" w:line="287" w:lineRule="auto"/>
        <w:tabs>
          <w:tab w:leader="none" w:pos="716" w:val="left"/>
        </w:tabs>
        <w:numPr>
          <w:ilvl w:val="0"/>
          <w:numId w:val="102"/>
        </w:numPr>
        <w:rPr>
          <w:rFonts w:ascii="Arial" w:cs="Arial" w:eastAsia="Arial" w:hAnsi="Arial"/>
          <w:sz w:val="15"/>
          <w:szCs w:val="15"/>
          <w:color w:val="auto"/>
        </w:rPr>
      </w:pPr>
      <w:r>
        <w:rPr>
          <w:rFonts w:ascii="Arial" w:cs="Arial" w:eastAsia="Arial" w:hAnsi="Arial"/>
          <w:sz w:val="15"/>
          <w:szCs w:val="15"/>
          <w:color w:val="auto"/>
        </w:rPr>
        <w:t>ENTRY, INSPECTION AND CLOSURE. Upon reasonable oral or written notice to Tenant (and without notice in emergencies), Landlord and its authorized representatives may enter the Premises at all reasonable times to: (a) determine whether the Premises are in good condition, (b) determine whether Tenant is complying with its obligations under this Lease, (c) perform any maintenance or repair of the Premises that Landlord has the right or obligation to perform, (d) serve, post or keep posted any notices required or allowed under the provisions of this Lease, (e)show the Premises to prospective brokers, agents, buyers, transferees, Mortgagees or tenants (but Landlord may show the space to prospective tenants only during the last twelve (12) months of the Term or any renewal thereof), or (f) do any other act or thing necessary for the safety or preservation of the Premises. Landlord shall conduct its activities under this Section in a manner that will minimize inconvenience to Tenant without incurring additional expense to Landlord. Tenant shall have the right to have a representative be present during any entry by Landlord, except in the event of an emergency. In no event shall Tenant be entitled to an abatement of rent on account of any entry by Landlord, and Landlord shall not be liable in any manner for any inconvenience, loss of business or other damage to Tenant or other persons arising out of Landlord's entry on the Premises in accordance with this Section. No action by Landlord pursuant to this paragraph shall constitute an eviction of Tenant, constructive or otherwise, entitle Tenant to an abatement of rent or to terminate this Lease or otherwise release Tenant from any of Tenant's obligations under this Lease.</w:t>
      </w:r>
    </w:p>
    <w:p>
      <w:pPr>
        <w:spacing w:after="0" w:line="160" w:lineRule="exact"/>
        <w:rPr>
          <w:rFonts w:ascii="Arial" w:cs="Arial" w:eastAsia="Arial" w:hAnsi="Arial"/>
          <w:sz w:val="15"/>
          <w:szCs w:val="15"/>
          <w:color w:val="auto"/>
        </w:rPr>
      </w:pPr>
    </w:p>
    <w:p>
      <w:pPr>
        <w:ind w:left="719" w:hanging="719"/>
        <w:spacing w:after="0"/>
        <w:tabs>
          <w:tab w:leader="none" w:pos="719"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SURRENDER AND HOLDING OVER.</w:t>
      </w:r>
    </w:p>
    <w:p>
      <w:pPr>
        <w:spacing w:after="0" w:line="209" w:lineRule="exact"/>
        <w:rPr>
          <w:sz w:val="20"/>
          <w:szCs w:val="20"/>
          <w:color w:val="auto"/>
        </w:rPr>
      </w:pPr>
    </w:p>
    <w:p>
      <w:pPr>
        <w:ind w:left="59" w:firstLine="546"/>
        <w:spacing w:after="0" w:line="285" w:lineRule="auto"/>
        <w:rPr>
          <w:sz w:val="20"/>
          <w:szCs w:val="20"/>
          <w:color w:val="auto"/>
        </w:rPr>
      </w:pPr>
      <w:r>
        <w:rPr>
          <w:rFonts w:ascii="Arial" w:cs="Arial" w:eastAsia="Arial" w:hAnsi="Arial"/>
          <w:sz w:val="15"/>
          <w:szCs w:val="15"/>
          <w:color w:val="auto"/>
        </w:rPr>
        <w:t xml:space="preserve">19.1 </w:t>
      </w:r>
      <w:r>
        <w:rPr>
          <w:rFonts w:ascii="Arial" w:cs="Arial" w:eastAsia="Arial" w:hAnsi="Arial"/>
          <w:sz w:val="15"/>
          <w:szCs w:val="15"/>
          <w:u w:val="single" w:color="auto"/>
          <w:color w:val="auto"/>
        </w:rPr>
        <w:t>Surrender.</w:t>
      </w:r>
      <w:r>
        <w:rPr>
          <w:rFonts w:ascii="Arial" w:cs="Arial" w:eastAsia="Arial" w:hAnsi="Arial"/>
          <w:sz w:val="15"/>
          <w:szCs w:val="15"/>
          <w:color w:val="auto"/>
        </w:rPr>
        <w:t xml:space="preserve"> Upon the expiration or termination of this Lease, Tenant shall surrender the Premises and all Tenant Improvements and Alterations to Landlord broom-clean and in their original condition, except for reasonable wear and tear, damage from casualty or condemnation and any changes resulting from approved Alterations, and Tenant shall have no obligation to remove Alterations or Minor Alterations to the Premises except to extent specifically provided in this Lease; provided, however, that prior to the expiration or termination of this Lease Tenant shall remove from the Premises all Tenant's telephone and electronic cabling and security systems installed in the Building by Tenant, personal property and any Trade Fixtures and all Alterations and Minor Alterations that Landlord has elected to require Tenant to remove as provided in Section 6.1 - </w:t>
      </w:r>
      <w:r>
        <w:rPr>
          <w:rFonts w:ascii="Arial" w:cs="Arial" w:eastAsia="Arial" w:hAnsi="Arial"/>
          <w:sz w:val="15"/>
          <w:szCs w:val="15"/>
          <w:i w:val="1"/>
          <w:iCs w:val="1"/>
          <w:color w:val="auto"/>
        </w:rPr>
        <w:t>Tenant Improvements &amp; Alterations,</w:t>
      </w:r>
      <w:r>
        <w:rPr>
          <w:rFonts w:ascii="Arial" w:cs="Arial" w:eastAsia="Arial" w:hAnsi="Arial"/>
          <w:sz w:val="15"/>
          <w:szCs w:val="15"/>
          <w:color w:val="auto"/>
        </w:rPr>
        <w:t xml:space="preserve"> and repair any damage caused by such removal, provided, however, that Tenant shall not be required to remove any telephone or other cabling installed in the Building by Tenant if Tenant fulfills the initial 144 month Term of this Lease. If such removal is not completed before the expiration or termination of the Term, Landlord shall have the right (but no obligation) to remove the same, and Tenant shall pay Landlord on demand for all costs of removal and storage thereof and Tenant shall indemnify Landlord from any other costs or damages incurred by Landlord by reason of Tenant's failure to complete timely removal. Landlord shall also have the right to retain or dispose of all or any portion of such property if Tenant does not pay all such costs and retrieve the property within ten (10) days after notice from Landlord (in which event title to all such property described in Landlord's notice shall be transferred to and vest in Landlord). Tenant waives all Claims against Landlord for any damage or loss to Tenant resulting from Landlord's removal, storage, retention, or disposition of any such property. Upon expiration or termination of this Lease or of Tenant's possession, whichever is earliest, Tenant shall surrender all keys to the Premises or any other part of the Building and shall deliver to Landlord all keys for or make known to Landlord the combination of locks on all safes, cabinets and vaults that may be located in the Premises. Tenant's obligations under this Section shall survive the expiration or termination of this Lease. In no event shall Tenant be required to remove the Tenant Improvements or any Alterations except as provided in Section 6.1 above.</w:t>
      </w:r>
    </w:p>
    <w:p>
      <w:pPr>
        <w:spacing w:after="0" w:line="367" w:lineRule="exact"/>
        <w:rPr>
          <w:sz w:val="20"/>
          <w:szCs w:val="20"/>
          <w:color w:val="auto"/>
        </w:rPr>
      </w:pPr>
    </w:p>
    <w:p>
      <w:pPr>
        <w:jc w:val="center"/>
        <w:ind w:right="-18"/>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55510"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19"/>
          </w:cols>
          <w:pgMar w:left="241" w:top="329" w:right="239" w:bottom="1440" w:gutter="0" w:footer="0" w:header="0"/>
        </w:sectPr>
      </w:pPr>
    </w:p>
    <w:bookmarkStart w:id="128" w:name="page129"/>
    <w:bookmarkEnd w:id="128"/>
    <w:p>
      <w:pPr>
        <w:ind w:firstLine="607"/>
        <w:spacing w:after="0" w:line="268" w:lineRule="auto"/>
        <w:rPr>
          <w:sz w:val="20"/>
          <w:szCs w:val="20"/>
          <w:color w:val="auto"/>
        </w:rPr>
      </w:pPr>
      <w:r>
        <w:rPr>
          <w:rFonts w:ascii="Arial" w:cs="Arial" w:eastAsia="Arial" w:hAnsi="Arial"/>
          <w:sz w:val="16"/>
          <w:szCs w:val="16"/>
          <w:color w:val="auto"/>
        </w:rPr>
        <w:t xml:space="preserve">19.2 </w:t>
      </w:r>
      <w:r>
        <w:rPr>
          <w:rFonts w:ascii="Arial" w:cs="Arial" w:eastAsia="Arial" w:hAnsi="Arial"/>
          <w:sz w:val="16"/>
          <w:szCs w:val="16"/>
          <w:u w:val="single" w:color="auto"/>
          <w:color w:val="auto"/>
        </w:rPr>
        <w:t>Holding Over.</w:t>
      </w:r>
      <w:r>
        <w:rPr>
          <w:rFonts w:ascii="Arial" w:cs="Arial" w:eastAsia="Arial" w:hAnsi="Arial"/>
          <w:sz w:val="16"/>
          <w:szCs w:val="16"/>
          <w:color w:val="auto"/>
        </w:rPr>
        <w:t xml:space="preserve"> If Tenant (directly or through any Transferee or other successor-in-interest of Tenant) remains in possession of the Premises after the expiration or termination of this Lease, Tenant's continued possession shall be on the basis of a tenancy at the sufferance of Landlord. In such event, Tenant shall continue to comply with or perform all the terms and obligations of Tenant under this Lease, except that the monthly Base Rent during Tenant's holding over shall be one and one-half times the Base Rent payable in the last full month prior to the termination hereof Tenant shall indemnify, defend and hold Landlord harmless from and against all Claims arising or resulting directly or indirectly from Tenant's failure to timely surrender the Premises, including (i) any rent payable by or any loss, cost, or damages claimed by any prospective tenant of the Premises, and (ii) Landlord's damages as a result of such prospective tenant rescinding or refusing to enter into the prospective lease of the Premises by reason of such failure to timely surrender the Premises. Nothing contained herein shall be construed to give Tenant any right to hold over or to impair or limit any of Landlord's rights and remedies set forth in this Lease if Tenant holds over without the prior written consent of Landlord, including without limitation, the right to terminate this Lease at any time during such holdover period, to recover possession of the Premises from Tenant, or to recover damages from Tenant from such holding over.</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20. ENCUMBRANCES.</w:t>
      </w:r>
    </w:p>
    <w:p>
      <w:pPr>
        <w:spacing w:after="0" w:line="209" w:lineRule="exact"/>
        <w:rPr>
          <w:sz w:val="20"/>
          <w:szCs w:val="20"/>
          <w:color w:val="auto"/>
        </w:rPr>
      </w:pPr>
    </w:p>
    <w:p>
      <w:pPr>
        <w:ind w:right="160" w:firstLine="607"/>
        <w:spacing w:after="0" w:line="286" w:lineRule="auto"/>
        <w:rPr>
          <w:sz w:val="20"/>
          <w:szCs w:val="20"/>
          <w:color w:val="auto"/>
        </w:rPr>
      </w:pPr>
      <w:r>
        <w:rPr>
          <w:rFonts w:ascii="Arial" w:cs="Arial" w:eastAsia="Arial" w:hAnsi="Arial"/>
          <w:sz w:val="15"/>
          <w:szCs w:val="15"/>
          <w:color w:val="auto"/>
        </w:rPr>
        <w:t xml:space="preserve">20.1 </w:t>
      </w:r>
      <w:r>
        <w:rPr>
          <w:rFonts w:ascii="Arial" w:cs="Arial" w:eastAsia="Arial" w:hAnsi="Arial"/>
          <w:sz w:val="15"/>
          <w:szCs w:val="15"/>
          <w:u w:val="single" w:color="auto"/>
          <w:color w:val="auto"/>
        </w:rPr>
        <w:t>Subordination, Non- Disturbance and Attornment.</w:t>
      </w:r>
      <w:r>
        <w:rPr>
          <w:rFonts w:ascii="Arial" w:cs="Arial" w:eastAsia="Arial" w:hAnsi="Arial"/>
          <w:sz w:val="15"/>
          <w:szCs w:val="15"/>
          <w:color w:val="auto"/>
        </w:rPr>
        <w:t xml:space="preserve"> This Lease is expressly made subject and subordinate to any mortgage, deed of trust, ground lease, underlying lease or like encumbrance affecting any part of the Premises or any interest of Landlord therein which is now existing or hereafter executed or recorded ("Encumbrance"); provided, however, that this Lease and all Tenant's rights thereunder shall survive the termination of the Encumbrance by lapse of time, foreclosure or otherwise so long as this Lease is in full force and effect and Tenant is not in default under this Lease. In order to confirm such subordination, Tenant shall execute and deliver to Landlord, within fifteen (15) days after written request therefor by Landlord and in substantially the form attached hereto as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or in such other form as may be requested by Landlord or its lender that is mutually and reasonably acceptable in form to Tenant and such lender, any additional documents evidencing the subordination of this Lease with respect to any such Encumbrance and the nondisturbance agreement of the holder of any such Encumbrance, provided that no such documents shall limit or reduce Tenant's rights under this Lease as between Landlord and Tenant. If the interest of Landlord in the Premises is transferred pursuant to or in lieu of proceedings for enforcement of any Encumbrance, Tenant shall immediately and automatically attorn to the new owner, and this Lease shall continue in full force and effect as a direct lease between the transferee and Tenant on the terms and conditions set forth in this Lease. Notwithstanding anything contained herein to the contrary, if the holder of any Encumbrance elects to have this Lease be prior to its lien, Tenant agrees that upon receipt of notice of same from Landlord or such Encumbrance holder, this Lease will be prior to such lien.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129" w:name="page130"/>
    <w:bookmarkEnd w:id="129"/>
    <w:p>
      <w:pPr>
        <w:ind w:firstLine="607"/>
        <w:spacing w:after="0" w:line="291" w:lineRule="auto"/>
        <w:rPr>
          <w:sz w:val="20"/>
          <w:szCs w:val="20"/>
          <w:color w:val="auto"/>
        </w:rPr>
      </w:pPr>
      <w:r>
        <w:rPr>
          <w:rFonts w:ascii="Arial" w:cs="Arial" w:eastAsia="Arial" w:hAnsi="Arial"/>
          <w:sz w:val="15"/>
          <w:szCs w:val="15"/>
          <w:color w:val="auto"/>
        </w:rPr>
        <w:t xml:space="preserve">20.2 </w:t>
      </w:r>
      <w:r>
        <w:rPr>
          <w:rFonts w:ascii="Arial" w:cs="Arial" w:eastAsia="Arial" w:hAnsi="Arial"/>
          <w:sz w:val="15"/>
          <w:szCs w:val="15"/>
          <w:u w:val="single" w:color="auto"/>
          <w:color w:val="auto"/>
        </w:rPr>
        <w:t>Mortgagee Protection.</w:t>
      </w:r>
      <w:r>
        <w:rPr>
          <w:rFonts w:ascii="Arial" w:cs="Arial" w:eastAsia="Arial" w:hAnsi="Arial"/>
          <w:sz w:val="15"/>
          <w:szCs w:val="15"/>
          <w:color w:val="auto"/>
        </w:rPr>
        <w:t xml:space="preserve"> Tenant agrees to give any holder of any Encumbrance covering any part of the Premises ("Mortgagee"), by certified mail, a copy of any notice of default served upon Landlord, provided that prior to such notice Tenant has been notified in writing (by way of notice of assignment of rents and leases, or otherwise) of the address of such Mortgagee. If Landlord shall have failed to cure such default within the time permitted by this Lease commencing after the effective date of such notice of default, then the Mortgagee shall have the same period of time that Landlord has or had under this Lease within which to cure such default (but in no event less than thirty (30) days), provided, however, if the Mortgagee requires an additional period of time within which to obtain the legal right to enter the Premises to effect cure, then the Mortgagee shall have an additional thirty (30) days within which to obtain said right to enter the Premises in addition to the same period of time Landlord has under this Lease to make cure, and this Lease shall not be terminated so long as such remedies are being diligently pursued.</w:t>
      </w:r>
    </w:p>
    <w:p>
      <w:pPr>
        <w:spacing w:after="0" w:line="156" w:lineRule="exact"/>
        <w:rPr>
          <w:sz w:val="20"/>
          <w:szCs w:val="20"/>
          <w:color w:val="auto"/>
        </w:rPr>
      </w:pPr>
    </w:p>
    <w:p>
      <w:pPr>
        <w:ind w:left="800" w:hanging="799"/>
        <w:spacing w:after="0"/>
        <w:tabs>
          <w:tab w:leader="none" w:pos="8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ESTOPPEL CERTIFICATES AND FINANCIAL STATEMENTS.</w:t>
      </w:r>
    </w:p>
    <w:p>
      <w:pPr>
        <w:spacing w:after="0" w:line="209" w:lineRule="exact"/>
        <w:rPr>
          <w:sz w:val="20"/>
          <w:szCs w:val="20"/>
          <w:color w:val="auto"/>
        </w:rPr>
      </w:pPr>
    </w:p>
    <w:p>
      <w:pPr>
        <w:ind w:right="60" w:firstLine="607"/>
        <w:spacing w:after="0" w:line="289" w:lineRule="auto"/>
        <w:rPr>
          <w:sz w:val="20"/>
          <w:szCs w:val="20"/>
          <w:color w:val="auto"/>
        </w:rPr>
      </w:pPr>
      <w:r>
        <w:rPr>
          <w:rFonts w:ascii="Arial" w:cs="Arial" w:eastAsia="Arial" w:hAnsi="Arial"/>
          <w:sz w:val="15"/>
          <w:szCs w:val="15"/>
          <w:color w:val="auto"/>
        </w:rPr>
        <w:t xml:space="preserve">21.1 </w:t>
      </w:r>
      <w:r>
        <w:rPr>
          <w:rFonts w:ascii="Arial" w:cs="Arial" w:eastAsia="Arial" w:hAnsi="Arial"/>
          <w:sz w:val="15"/>
          <w:szCs w:val="15"/>
          <w:u w:val="single" w:color="auto"/>
          <w:color w:val="auto"/>
        </w:rPr>
        <w:t>Estoppel Certificates.</w:t>
      </w:r>
      <w:r>
        <w:rPr>
          <w:rFonts w:ascii="Arial" w:cs="Arial" w:eastAsia="Arial" w:hAnsi="Arial"/>
          <w:sz w:val="15"/>
          <w:szCs w:val="15"/>
          <w:color w:val="auto"/>
        </w:rPr>
        <w:t xml:space="preserve"> Within fifteen (15) days after written request therefor, Tenant shall execute and deliver to Landlord, in substantially the form attached hereto as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or in such other form as may be requested by Landlord or its lender or a prospective purchaser of the Premises that is mutually and reasonably acceptable in form to Tenant and either Landlord or its lender or prospective purchaser, as the case may be, a certificate stating that this Lease is in full force and effect, describing any amendments or modifications hereto, acknowledging that this Lease is subordinate or prior, as the case may be, to any Encumbrance and stating any other information Landlord may reasonably request, including the Term, the monthly Base Rent, the date to which Rent has been paid, the amount of any security deposit or prepaid rent, whether either party hereto is in default under the terms of the Lease, whether Landlord has completed its construction obligations hereunder (if any) and such other information or certifications that Landlord, a lender or prospective purchaser may reasonably require. Any person or entity purchasing, acquiring an interest in or extending financing with respect to the Premises shall be entitled to rely upon any such certificate.</w:t>
      </w:r>
    </w:p>
    <w:p>
      <w:pPr>
        <w:spacing w:after="0" w:line="160" w:lineRule="exact"/>
        <w:rPr>
          <w:sz w:val="20"/>
          <w:szCs w:val="20"/>
          <w:color w:val="auto"/>
        </w:rPr>
      </w:pPr>
    </w:p>
    <w:p>
      <w:pPr>
        <w:ind w:right="20" w:firstLine="607"/>
        <w:spacing w:after="0" w:line="296" w:lineRule="auto"/>
        <w:rPr>
          <w:sz w:val="20"/>
          <w:szCs w:val="20"/>
          <w:color w:val="auto"/>
        </w:rPr>
      </w:pPr>
      <w:r>
        <w:rPr>
          <w:rFonts w:ascii="Arial" w:cs="Arial" w:eastAsia="Arial" w:hAnsi="Arial"/>
          <w:sz w:val="15"/>
          <w:szCs w:val="15"/>
          <w:color w:val="auto"/>
        </w:rPr>
        <w:t xml:space="preserve">21.2 </w:t>
      </w:r>
      <w:r>
        <w:rPr>
          <w:rFonts w:ascii="Arial" w:cs="Arial" w:eastAsia="Arial" w:hAnsi="Arial"/>
          <w:sz w:val="15"/>
          <w:szCs w:val="15"/>
          <w:u w:val="single" w:color="auto"/>
          <w:color w:val="auto"/>
        </w:rPr>
        <w:t>Financial Statements.</w:t>
      </w:r>
      <w:r>
        <w:rPr>
          <w:rFonts w:ascii="Arial" w:cs="Arial" w:eastAsia="Arial" w:hAnsi="Arial"/>
          <w:sz w:val="15"/>
          <w:szCs w:val="15"/>
          <w:color w:val="auto"/>
        </w:rPr>
        <w:t xml:space="preserve"> Within thirty (30) days after written request therefor, but not more than once a year, except in the case of a financing or refinancing of the Premises or sale of the Premises, Tenant shall deliver to Landlord a copy of the financial statements (including at least a year end balance sheet and a statement of profit and loss) of Tenant (and of each guarantor of Tenant's obligations under this Lease) for each of the three most recently completed years, prepared in accordance with generally accepted accounting principles (and, if such is Tenant's normal practice, audited by an independent certified public accountant), all then available subsequent interim statements, and such other financial information as may reasonably be requested by Landlord or required by any Mortgagee.</w:t>
      </w:r>
    </w:p>
    <w:p>
      <w:pPr>
        <w:spacing w:after="0" w:line="151" w:lineRule="exact"/>
        <w:rPr>
          <w:sz w:val="20"/>
          <w:szCs w:val="20"/>
          <w:color w:val="auto"/>
        </w:rPr>
      </w:pPr>
    </w:p>
    <w:p>
      <w:pPr>
        <w:ind w:right="100" w:firstLine="1"/>
        <w:spacing w:after="0" w:line="269" w:lineRule="auto"/>
        <w:tabs>
          <w:tab w:leader="none" w:pos="80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NOTICES. Any notice, demand, request, consent or approval that either party desires or is required to give to the other party under this Lease shall be in writing and shall be served personally, delivered by messenger or courier service, or sent by U.S. certified mail, return receipt requested, postage prepaid, addressed to the other party at the party's address for notices set forth in the Basic Lease Information. Any notice required pursuant to any Laws may be incorporated into, given concurrently with or given separately from any notice required under this Lease. Notices shall be deemed to have been given and be effective on the earlier of (a) receipt (or refusal of delivery or receipt); or (b) one (1) day after acceptance by the independent service for delivery, if sent by independent messenger or courier service, or three (3) days after mailing if sent by mail in accordance with this Section. Either party may change its address for notices hereunder, effective fifteen (15) days after notice to the other party complying with this Section. If Tenant sublets the Premises, notices from Landlord shall be effective on the subtenant when given to Tenant pursuant to this Section.</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329" w:right="279" w:bottom="1440" w:gutter="0" w:footer="0" w:header="0"/>
        </w:sectPr>
      </w:pPr>
    </w:p>
    <w:bookmarkStart w:id="130" w:name="page131"/>
    <w:bookmarkEnd w:id="130"/>
    <w:p>
      <w:pPr>
        <w:ind w:left="-2" w:right="60" w:firstLine="2"/>
        <w:spacing w:after="0" w:line="251" w:lineRule="auto"/>
        <w:tabs>
          <w:tab w:leader="none" w:pos="70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ATTORNEYS' FEES. In the event of any dispute between Landlord and Tenant in any way related to this Lease, and whether involving contract and/or tort claims, the non-prevailing party shall pay to the prevailing party all reasonable attorneys' fees and costs and expenses of any type, without restriction by statute, court rule or otherwise, incurred by the prevailing party in connection with any action or proceeding (including any appeal and the enforcement of any judgment or award), whether or not the dispute is litigated or prosecuted to final judgment (collectively, "Fees"). The "prevailing party" shall be determined based upon an assessment of which party's major arguments or positions taken in the action or proceeding could fairly be said to have prevailed (whether by compromise, settlement, abandonment by the other party of its claim or defense, final decision, after any appeals, or otherwise) over the other party's major arguments or positions on major disputed issues. Any Fees incurred in enforcing a judgment shall be recoverable separately from any other amount included in the judgment and shall survive and not be merged in the judgment.</w:t>
      </w:r>
    </w:p>
    <w:p>
      <w:pPr>
        <w:spacing w:after="0" w:line="186" w:lineRule="exact"/>
        <w:rPr>
          <w:rFonts w:ascii="Arial" w:cs="Arial" w:eastAsia="Arial" w:hAnsi="Arial"/>
          <w:sz w:val="17"/>
          <w:szCs w:val="17"/>
          <w:color w:val="auto"/>
        </w:rPr>
      </w:pPr>
    </w:p>
    <w:p>
      <w:pPr>
        <w:ind w:left="-2" w:right="80" w:firstLine="2"/>
        <w:spacing w:after="0" w:line="260" w:lineRule="auto"/>
        <w:tabs>
          <w:tab w:leader="none" w:pos="71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QUIET POSSESSION. Subject to Tenant's full and timely performance of all of Tenant's obligations under this Lease (including any applicable notice and cure periods) and subject to the terms of this Lease, including Section 20 - </w:t>
      </w:r>
      <w:r>
        <w:rPr>
          <w:rFonts w:ascii="Arial" w:cs="Arial" w:eastAsia="Arial" w:hAnsi="Arial"/>
          <w:sz w:val="17"/>
          <w:szCs w:val="17"/>
          <w:i w:val="1"/>
          <w:iCs w:val="1"/>
          <w:color w:val="auto"/>
        </w:rPr>
        <w:t>Encumbrances,</w:t>
      </w:r>
      <w:r>
        <w:rPr>
          <w:rFonts w:ascii="Arial" w:cs="Arial" w:eastAsia="Arial" w:hAnsi="Arial"/>
          <w:sz w:val="17"/>
          <w:szCs w:val="17"/>
          <w:color w:val="auto"/>
        </w:rPr>
        <w:t xml:space="preserve"> Tenant shall have the quiet possession of the Premises throughout the Term as against any persons or entities lawfully claiming by, through or under Landlord.</w:t>
      </w:r>
    </w:p>
    <w:p>
      <w:pPr>
        <w:spacing w:after="0" w:line="174" w:lineRule="exact"/>
        <w:rPr>
          <w:rFonts w:ascii="Arial" w:cs="Arial" w:eastAsia="Arial" w:hAnsi="Arial"/>
          <w:sz w:val="17"/>
          <w:szCs w:val="17"/>
          <w:color w:val="auto"/>
        </w:rPr>
      </w:pPr>
    </w:p>
    <w:p>
      <w:pPr>
        <w:ind w:left="-2" w:right="40" w:firstLine="2"/>
        <w:spacing w:after="0" w:line="252" w:lineRule="auto"/>
        <w:tabs>
          <w:tab w:leader="none" w:pos="71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SECURITY MEASURES. Landlord shall, only at Tenant's direction, or Tenant may, at any time, implement security measures for the Premises, such as the registration or search of all persons entering or leaving the Building, requiring identification for access to the Building, evacuation of the Building for cause, suspected cause, or for drill purposes, the issuance of magnetic pass cards or keys for Building or elevator access and other actions that Tenant deems necessary or appropriate to prevent any threat of property loss or damage, bodily injury or business interruption. Tenant shall cooperate and comply with, and cause Tenant's Representatives and Visitors to cooperate and comply with, such security measures. Landlord, its agents and employees shall have no liability to Tenant or its Representatives or Visitors for the implementation or exercise of, or the failure to implement or exercise, any such security measures or for any resulting disturbance of Tenant's use or enjoyment of the Premises.</w:t>
      </w:r>
    </w:p>
    <w:p>
      <w:pPr>
        <w:spacing w:after="0" w:line="182" w:lineRule="exact"/>
        <w:rPr>
          <w:rFonts w:ascii="Arial" w:cs="Arial" w:eastAsia="Arial" w:hAnsi="Arial"/>
          <w:sz w:val="17"/>
          <w:szCs w:val="17"/>
          <w:color w:val="auto"/>
        </w:rPr>
      </w:pPr>
    </w:p>
    <w:p>
      <w:pPr>
        <w:ind w:left="-2" w:firstLine="2"/>
        <w:spacing w:after="0" w:line="269" w:lineRule="auto"/>
        <w:tabs>
          <w:tab w:leader="none" w:pos="71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FORCE MAJEURE. If Landlord is delayed, interrupted or prevented from performing any of its obligations under this Lease, including its obligations under the Construction Rider (if any), and such delay, interruption or prevention is due to (i) fire, (ii) act of God, (iii) governmental act or failure to act, (iv) labor dispute, (v) unavailability of materials, (vi) delays caused by the investigation, remediation and/or management of environmental contamination not included in the scope of work provided to the City pursuant to the Developer's Agreement, or (vii) any cause outside the reasonable control of Landlord (collectively, an event of "Force Majeure"), then the time for performance of the affected obligations of Landlord shall be extended for a period equivalent to the period of such delay, interruption or prevention. Notwithstanding the foregoing to the contrary, the unavailability of materials shall not constitute a Force Majeure delay if there is a reasonable substitute material available and Landlord does not use reasonable efforts to obtain it. Further, if there is a reasonable substitute material available, then a Force Majeure delay for unavailability of materials shall not extend beyond the time reasonably necessary to determine what the substitute material is and to obtain the substitute material. Landlord shall provide Tenant with prompt written notice of an event of Force Majeure.</w:t>
      </w:r>
    </w:p>
    <w:p>
      <w:pPr>
        <w:spacing w:after="0" w:line="371" w:lineRule="exact"/>
        <w:rPr>
          <w:sz w:val="20"/>
          <w:szCs w:val="20"/>
          <w:color w:val="auto"/>
        </w:rPr>
      </w:pPr>
    </w:p>
    <w:p>
      <w:pPr>
        <w:jc w:val="center"/>
        <w:ind w:right="-17"/>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12065</wp:posOffset>
            </wp:positionV>
            <wp:extent cx="7255510" cy="40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298"/>
          </w:cols>
          <w:pgMar w:left="302" w:top="329" w:right="299" w:bottom="1440" w:gutter="0" w:footer="0" w:header="0"/>
        </w:sectPr>
      </w:pPr>
    </w:p>
    <w:bookmarkStart w:id="131" w:name="page132"/>
    <w:bookmarkEnd w:id="131"/>
    <w:p>
      <w:pPr>
        <w:ind w:right="60" w:firstLine="2"/>
        <w:spacing w:after="0" w:line="252" w:lineRule="auto"/>
        <w:tabs>
          <w:tab w:leader="none" w:pos="717" w:val="left"/>
        </w:tabs>
        <w:numPr>
          <w:ilvl w:val="0"/>
          <w:numId w:val="106"/>
        </w:numPr>
        <w:rPr>
          <w:rFonts w:ascii="Arial" w:cs="Arial" w:eastAsia="Arial" w:hAnsi="Arial"/>
          <w:sz w:val="17"/>
          <w:szCs w:val="17"/>
          <w:color w:val="auto"/>
        </w:rPr>
      </w:pPr>
      <w:r>
        <w:rPr>
          <w:rFonts w:ascii="Arial" w:cs="Arial" w:eastAsia="Arial" w:hAnsi="Arial"/>
          <w:sz w:val="17"/>
          <w:szCs w:val="17"/>
          <w:color w:val="auto"/>
        </w:rPr>
        <w:t>LANDLORD'S LIABILITY. The term "Landlord," as used in this Lease, shall mean only the owner or owners of the Building at the time in question. In the event of any conveyance of title to the Building, then from and after the date of such conveyance, the transferor Landlord shall be relieved of all liability with respect to Landlord's obligations to be performed under this Lease after the date of such conveyance, provided that the transferee Landlord has assumed all of the same. Notwithstanding any other term or provision of this Lease, the liability of Landlord for its obligations under this Lease is limited solely to Landlord's interest in the Building as the same may from time to time be encumbered, and no personal liability shall at any time be asserted or enforceable against any other assets of Landlord or against Landlord's partners or members or its or their respective partners, shareholders, members, directors, officers or managers on account of any of Landlord's obligations or actions under this Lease.</w:t>
      </w:r>
    </w:p>
    <w:p>
      <w:pPr>
        <w:spacing w:after="0" w:line="182" w:lineRule="exact"/>
        <w:rPr>
          <w:rFonts w:ascii="Arial" w:cs="Arial" w:eastAsia="Arial" w:hAnsi="Arial"/>
          <w:sz w:val="17"/>
          <w:szCs w:val="17"/>
          <w:color w:val="auto"/>
        </w:rPr>
      </w:pPr>
    </w:p>
    <w:p>
      <w:pPr>
        <w:ind w:left="720" w:hanging="718"/>
        <w:spacing w:after="0"/>
        <w:tabs>
          <w:tab w:leader="none" w:pos="7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CONSENTS AND APPROVALS.</w:t>
      </w:r>
    </w:p>
    <w:p>
      <w:pPr>
        <w:spacing w:after="0" w:line="209" w:lineRule="exact"/>
        <w:rPr>
          <w:sz w:val="20"/>
          <w:szCs w:val="20"/>
          <w:color w:val="auto"/>
        </w:rPr>
      </w:pPr>
    </w:p>
    <w:p>
      <w:pPr>
        <w:ind w:right="20" w:firstLine="546"/>
        <w:spacing w:after="0" w:line="254" w:lineRule="auto"/>
        <w:rPr>
          <w:sz w:val="20"/>
          <w:szCs w:val="20"/>
          <w:color w:val="auto"/>
        </w:rPr>
      </w:pPr>
      <w:r>
        <w:rPr>
          <w:rFonts w:ascii="Arial" w:cs="Arial" w:eastAsia="Arial" w:hAnsi="Arial"/>
          <w:sz w:val="17"/>
          <w:szCs w:val="17"/>
          <w:color w:val="auto"/>
        </w:rPr>
        <w:t xml:space="preserve">28.1 </w:t>
      </w:r>
      <w:r>
        <w:rPr>
          <w:rFonts w:ascii="Arial" w:cs="Arial" w:eastAsia="Arial" w:hAnsi="Arial"/>
          <w:sz w:val="17"/>
          <w:szCs w:val="17"/>
          <w:u w:val="single" w:color="auto"/>
          <w:color w:val="auto"/>
        </w:rPr>
        <w:t>Determination in Good Faith.</w:t>
      </w:r>
      <w:r>
        <w:rPr>
          <w:rFonts w:ascii="Arial" w:cs="Arial" w:eastAsia="Arial" w:hAnsi="Arial"/>
          <w:sz w:val="17"/>
          <w:szCs w:val="17"/>
          <w:color w:val="auto"/>
        </w:rPr>
        <w:t xml:space="preserve"> Wherever the consent, approval, judgment or determination of Landlord is required or permitted under this Lease, Landlord may exercise its good faith business judgment in granting or withholding such consent or approval or in making such judgment or determination without reference to any extrinsic standard of reasonableness, unless the specific provision contained in this Lease providing for such consent, approval, judgment or determination specifies that Landlord's consent or approval is not to be unreasonably withheld, or that such judgment or determination is to be reasonable, or otherwise specifies the standards under which Landlord may withhold its consent.</w:t>
      </w:r>
    </w:p>
    <w:p>
      <w:pPr>
        <w:spacing w:after="0" w:line="180" w:lineRule="exact"/>
        <w:rPr>
          <w:sz w:val="20"/>
          <w:szCs w:val="20"/>
          <w:color w:val="auto"/>
        </w:rPr>
      </w:pPr>
    </w:p>
    <w:p>
      <w:pPr>
        <w:ind w:right="260" w:firstLine="546"/>
        <w:spacing w:after="0" w:line="254" w:lineRule="auto"/>
        <w:rPr>
          <w:sz w:val="20"/>
          <w:szCs w:val="20"/>
          <w:color w:val="auto"/>
        </w:rPr>
      </w:pPr>
      <w:r>
        <w:rPr>
          <w:rFonts w:ascii="Arial" w:cs="Arial" w:eastAsia="Arial" w:hAnsi="Arial"/>
          <w:sz w:val="17"/>
          <w:szCs w:val="17"/>
          <w:color w:val="auto"/>
        </w:rPr>
        <w:t xml:space="preserve">28.2 </w:t>
      </w:r>
      <w:r>
        <w:rPr>
          <w:rFonts w:ascii="Arial" w:cs="Arial" w:eastAsia="Arial" w:hAnsi="Arial"/>
          <w:sz w:val="17"/>
          <w:szCs w:val="17"/>
          <w:u w:val="single" w:color="auto"/>
          <w:color w:val="auto"/>
        </w:rPr>
        <w:t>No Liability Imposed on Landlord.</w:t>
      </w:r>
      <w:r>
        <w:rPr>
          <w:rFonts w:ascii="Arial" w:cs="Arial" w:eastAsia="Arial" w:hAnsi="Arial"/>
          <w:sz w:val="17"/>
          <w:szCs w:val="17"/>
          <w:color w:val="auto"/>
        </w:rPr>
        <w:t xml:space="preserve"> The review and/or approval by Landlord of any item or matter to be reviewed or approved by Landlord under the terms of this Lease or any Exhibits or Addenda hereto shall not impose upon Landlord any liability for the accuracy or sufficiency of any such item or matter or the quality or suitability of such item for its intended use. Any such review or approval is for the sole purpose of protecting Landlord's interest in the Premises, and no third parties, including Tenant or the Representatives and Visitors of Tenant or any person or entity claiming by, through or under Tenant, shall have any rights as a consequence thereof.</w:t>
      </w:r>
    </w:p>
    <w:p>
      <w:pPr>
        <w:spacing w:after="0" w:line="180" w:lineRule="exact"/>
        <w:rPr>
          <w:sz w:val="20"/>
          <w:szCs w:val="20"/>
          <w:color w:val="auto"/>
        </w:rPr>
      </w:pPr>
    </w:p>
    <w:p>
      <w:pPr>
        <w:ind w:firstLine="2"/>
        <w:spacing w:after="0" w:line="273" w:lineRule="auto"/>
        <w:tabs>
          <w:tab w:leader="none" w:pos="71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BROKERS. Landlord shall pay the fee or commission of the broker or brokers identified in the Basic Lease Information (the "Broker") in accordance with Landlord's separate written agreement with the Broker, if any. Tenant warrants and represents to Landlord that in the negotiating or making of this Lease neither Tenant nor anyone acting on Tenant's behalf has dealt with any broker or finder who might be entitled to a fee or commission for this Lease other than the Broker. Tenant shall indemnify and hold Landlord harmless from any claim or claims, including costs, expenses and attorney's fees incurred by Landlord asserted by any other broker or finder for a fee or commission based upon any dealings with or statements made by Tenant or Tenant's Representatives.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12065</wp:posOffset>
            </wp:positionV>
            <wp:extent cx="7255510" cy="400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00"/>
          </w:cols>
          <w:pgMar w:left="300" w:top="329" w:right="299" w:bottom="1440" w:gutter="0" w:footer="0" w:header="0"/>
        </w:sectPr>
      </w:pPr>
    </w:p>
    <w:bookmarkStart w:id="132" w:name="page133"/>
    <w:bookmarkEnd w:id="132"/>
    <w:p>
      <w:pPr>
        <w:ind w:firstLine="2"/>
        <w:spacing w:after="0" w:line="293" w:lineRule="auto"/>
        <w:tabs>
          <w:tab w:leader="none" w:pos="717" w:val="left"/>
        </w:tabs>
        <w:numPr>
          <w:ilvl w:val="0"/>
          <w:numId w:val="108"/>
        </w:numPr>
        <w:rPr>
          <w:rFonts w:ascii="Arial" w:cs="Arial" w:eastAsia="Arial" w:hAnsi="Arial"/>
          <w:sz w:val="15"/>
          <w:szCs w:val="15"/>
          <w:color w:val="auto"/>
        </w:rPr>
      </w:pPr>
      <w:r>
        <w:rPr>
          <w:rFonts w:ascii="Arial" w:cs="Arial" w:eastAsia="Arial" w:hAnsi="Arial"/>
          <w:sz w:val="15"/>
          <w:szCs w:val="15"/>
          <w:color w:val="auto"/>
        </w:rPr>
        <w:t>ENTIRE AGREEMENT. This Lease, including the Exhibits and any Addenda attached hereto, and the documents referred to herein, if any, constitute the entire agreement between Landlord and Tenant with respect to the leasing of space by Tenant, and supersede all prior or contemporaneous agreements, understandings, proposals and other representations by or between Landlord and Tenant, whether written or oral, all of which are merged herein. Neither Landlord nor Landlord's agents have made any representations or warranties with respect to the Premises or this Lease except as expressly set forth herein, and no rights, easements or licenses shall be acquired by Tenant by implication or otherwise unless expressly set forth herein. The submission of this Lease for examination does not constitute an option for the Premises and this Lease shall become effective as a binding agreement only upon execution and delivery thereof.</w:t>
      </w:r>
    </w:p>
    <w:p>
      <w:pPr>
        <w:spacing w:after="0" w:line="153" w:lineRule="exact"/>
        <w:rPr>
          <w:rFonts w:ascii="Arial" w:cs="Arial" w:eastAsia="Arial" w:hAnsi="Arial"/>
          <w:sz w:val="15"/>
          <w:szCs w:val="15"/>
          <w:color w:val="auto"/>
        </w:rPr>
      </w:pPr>
    </w:p>
    <w:p>
      <w:pPr>
        <w:ind w:right="20" w:firstLine="2"/>
        <w:spacing w:after="0" w:line="267" w:lineRule="auto"/>
        <w:tabs>
          <w:tab w:leader="none" w:pos="71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MISCELLANEOUS. This Lease may not be amended or modified except by a writing signed by Landlord and Tenant. Subject to Section 14 - </w:t>
      </w:r>
      <w:r>
        <w:rPr>
          <w:rFonts w:ascii="Arial" w:cs="Arial" w:eastAsia="Arial" w:hAnsi="Arial"/>
          <w:sz w:val="16"/>
          <w:szCs w:val="16"/>
          <w:i w:val="1"/>
          <w:iCs w:val="1"/>
          <w:color w:val="auto"/>
        </w:rPr>
        <w:t>Assignment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Subletting </w:t>
      </w:r>
      <w:r>
        <w:rPr>
          <w:rFonts w:ascii="Arial" w:cs="Arial" w:eastAsia="Arial" w:hAnsi="Arial"/>
          <w:sz w:val="16"/>
          <w:szCs w:val="16"/>
          <w:color w:val="auto"/>
        </w:rPr>
        <w:t>and Section 28</w:t>
      </w:r>
      <w:r>
        <w:rPr>
          <w:rFonts w:ascii="Arial" w:cs="Arial" w:eastAsia="Arial" w:hAnsi="Arial"/>
          <w:sz w:val="16"/>
          <w:szCs w:val="16"/>
          <w:i w:val="1"/>
          <w:iCs w:val="1"/>
          <w:color w:val="auto"/>
        </w:rPr>
        <w:t xml:space="preserve"> -Landlord's Liability, </w:t>
      </w:r>
      <w:r>
        <w:rPr>
          <w:rFonts w:ascii="Arial" w:cs="Arial" w:eastAsia="Arial" w:hAnsi="Arial"/>
          <w:sz w:val="16"/>
          <w:szCs w:val="16"/>
          <w:color w:val="auto"/>
        </w:rPr>
        <w:t>this Lease shall be binding on and shall inure to the benefit of the parties and their respective successors, assigns</w:t>
      </w:r>
      <w:r>
        <w:rPr>
          <w:rFonts w:ascii="Arial" w:cs="Arial" w:eastAsia="Arial" w:hAnsi="Arial"/>
          <w:sz w:val="16"/>
          <w:szCs w:val="16"/>
          <w:i w:val="1"/>
          <w:iCs w:val="1"/>
          <w:color w:val="auto"/>
        </w:rPr>
        <w:t xml:space="preserve"> </w:t>
      </w:r>
      <w:r>
        <w:rPr>
          <w:rFonts w:ascii="Arial" w:cs="Arial" w:eastAsia="Arial" w:hAnsi="Arial"/>
          <w:sz w:val="16"/>
          <w:szCs w:val="16"/>
          <w:color w:val="auto"/>
        </w:rPr>
        <w:t>and legal representatives. The determination that any provisions hereof may be void, invalid, illegal or unenforceable shall not impair any other provisions hereof and all such other provisions of this Lease shall remain in full force and effect. The unenforceability, invalidity or illegality of any provision of this Lease under particular circumstances shall not render unenforceable, invalid or illegal other provisions of this Lease, or the same provisions under other circumstances. This Lease shall be construed and interpreted in accordance with the laws (excluding conflict of laws principles) of the State of Minnesota. The provisions of this Lease shall be construed in accordance with the fair meaning of the language used and shall not be strictly construed against either party, even if such party drafted the provision in question. When required by the context of this Lease, the singular includes the plural. Wherever the term "including" is used in this Lease, it shall be interpreted as meaning "including, but not limited to" the matter or matters thereafter enumerated. The captions contained in this Lease are for purposes of convenience only and are not to be used to interpret or construe this Lease. If more than one person or entity is identified as Tenant hereunder, the obligations of each and all of them under this Lease shall be joint and several. Time is of the essence with respect to this Lease, except as to the conditions relating to the delivery of possession of the Premises to Tenant. Neither Landlord nor Tenant shall record this Lease, provided that upon the request of either party, each party shall promptly execute a recordable memorandum of this Lease, provided, however, upon termination or cancellation of this Lease, Tenant shall promptly deliver a written release or cancellation of the memorandum in form required by Landlord.</w:t>
      </w:r>
    </w:p>
    <w:p>
      <w:pPr>
        <w:spacing w:after="0" w:line="171" w:lineRule="exact"/>
        <w:rPr>
          <w:rFonts w:ascii="Arial" w:cs="Arial" w:eastAsia="Arial" w:hAnsi="Arial"/>
          <w:sz w:val="16"/>
          <w:szCs w:val="16"/>
          <w:color w:val="auto"/>
        </w:rPr>
      </w:pPr>
    </w:p>
    <w:p>
      <w:pPr>
        <w:ind w:left="700" w:hanging="698"/>
        <w:spacing w:after="0"/>
        <w:tabs>
          <w:tab w:leader="none" w:pos="7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AUTHORITY. If Tenant is a corporation, partnership, limited liability company or other form of business entity, each of the persons executing this Lease</w:t>
      </w:r>
    </w:p>
    <w:p>
      <w:pPr>
        <w:spacing w:after="0" w:line="42" w:lineRule="exact"/>
        <w:rPr>
          <w:sz w:val="20"/>
          <w:szCs w:val="20"/>
          <w:color w:val="auto"/>
        </w:rPr>
      </w:pPr>
    </w:p>
    <w:p>
      <w:pPr>
        <w:jc w:val="both"/>
        <w:ind w:right="240"/>
        <w:spacing w:after="0" w:line="252" w:lineRule="auto"/>
        <w:rPr>
          <w:sz w:val="20"/>
          <w:szCs w:val="20"/>
          <w:color w:val="auto"/>
        </w:rPr>
      </w:pPr>
      <w:r>
        <w:rPr>
          <w:rFonts w:ascii="Arial" w:cs="Arial" w:eastAsia="Arial" w:hAnsi="Arial"/>
          <w:sz w:val="17"/>
          <w:szCs w:val="17"/>
          <w:color w:val="auto"/>
        </w:rPr>
        <w:t>on behalf of Tenant warrants and represents that Tenant is a duly organized and validly existing entity, that Tenant has full right and authority to enter into this Lease and that the persons signing on behalf of Tenant are authorized to do so and have the power to bind Tenant to this Lease. Tenant shall provide Landlord upon request with evidence reasonably satisfactory to Landlord confirming the foregoing representations.</w:t>
      </w:r>
    </w:p>
    <w:p>
      <w:pPr>
        <w:spacing w:after="0" w:line="38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12065</wp:posOffset>
            </wp:positionV>
            <wp:extent cx="7255510" cy="400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60"/>
          </w:cols>
          <w:pgMar w:left="300" w:top="329" w:right="239" w:bottom="1440" w:gutter="0" w:footer="0" w:header="0"/>
        </w:sectPr>
      </w:pPr>
    </w:p>
    <w:bookmarkStart w:id="133" w:name="page134"/>
    <w:bookmarkEnd w:id="133"/>
    <w:p>
      <w:pPr>
        <w:ind w:left="-1" w:firstLine="1"/>
        <w:spacing w:after="0" w:line="296" w:lineRule="auto"/>
        <w:tabs>
          <w:tab w:leader="none" w:pos="505" w:val="left"/>
        </w:tabs>
        <w:numPr>
          <w:ilvl w:val="0"/>
          <w:numId w:val="109"/>
        </w:numPr>
        <w:rPr>
          <w:rFonts w:ascii="Arial" w:cs="Arial" w:eastAsia="Arial" w:hAnsi="Arial"/>
          <w:sz w:val="15"/>
          <w:szCs w:val="15"/>
          <w:color w:val="auto"/>
        </w:rPr>
      </w:pPr>
      <w:r>
        <w:rPr>
          <w:rFonts w:ascii="Arial" w:cs="Arial" w:eastAsia="Arial" w:hAnsi="Arial"/>
          <w:sz w:val="15"/>
          <w:szCs w:val="15"/>
          <w:color w:val="auto"/>
        </w:rPr>
        <w:t>DUTY TO COOPERATE. Simultaneously with the execution of this Lease, Landlord and Tenant are executing a certain Option to Lease (the "Option"). In the event of the exercise of the Option by Tenant, Landlord (at no expense to Landlord) and Tenant agree to cooperate with respect to the construction and maintenance of a skyway linking the Premises to the improvements to be constructed on the property that is the subject of the Option (the "Option Property"). Further, Landlord or the party actually constructing said skyway shall have a right of entry to the Premises as reasonably necessary to complete construction of said skyway. Further, the Landlord shall be obligated to permit the construction of said skyway, so long as the party performing construction complies with the following terms and conditions:</w:t>
      </w:r>
    </w:p>
    <w:p>
      <w:pPr>
        <w:spacing w:after="0" w:line="151" w:lineRule="exact"/>
        <w:rPr>
          <w:rFonts w:ascii="Arial" w:cs="Arial" w:eastAsia="Arial" w:hAnsi="Arial"/>
          <w:sz w:val="15"/>
          <w:szCs w:val="15"/>
          <w:color w:val="auto"/>
        </w:rPr>
      </w:pPr>
    </w:p>
    <w:p>
      <w:pPr>
        <w:ind w:left="1159" w:right="40" w:hanging="551"/>
        <w:spacing w:after="0" w:line="271" w:lineRule="auto"/>
        <w:tabs>
          <w:tab w:leader="none" w:pos="1348" w:val="left"/>
        </w:tabs>
        <w:numPr>
          <w:ilvl w:val="1"/>
          <w:numId w:val="109"/>
        </w:numPr>
        <w:rPr>
          <w:rFonts w:ascii="Arial" w:cs="Arial" w:eastAsia="Arial" w:hAnsi="Arial"/>
          <w:sz w:val="16"/>
          <w:szCs w:val="16"/>
          <w:color w:val="auto"/>
        </w:rPr>
      </w:pPr>
      <w:r>
        <w:rPr>
          <w:rFonts w:ascii="Arial" w:cs="Arial" w:eastAsia="Arial" w:hAnsi="Arial"/>
          <w:sz w:val="16"/>
          <w:szCs w:val="16"/>
          <w:color w:val="auto"/>
        </w:rPr>
        <w:t>Prior to commencement of construction of the skyway, the party constructing the skyway shall forward to Landlord, for Landlord's approval, copies of the proposed plans and specifications of the proposed work. The plans must be approved by the City of New Brighton. If the plans have been approved by the City of New Brighton, Landlord may not disapprove the same unless the design requires (i) unusually extensive construction management oversight, (ii) an unusually long construction schedule, (iii) construction methods that would materially alter the mechanical or structural systems of the Building, or (iv) materially increase any of Landlord's obligations under this Lease (other than its respective share of the cost of future maintenance as provided herein), or the design is otherwise manifestly unreasonable.</w:t>
      </w:r>
    </w:p>
    <w:p>
      <w:pPr>
        <w:spacing w:after="0" w:line="170" w:lineRule="exact"/>
        <w:rPr>
          <w:rFonts w:ascii="Arial" w:cs="Arial" w:eastAsia="Arial" w:hAnsi="Arial"/>
          <w:sz w:val="16"/>
          <w:szCs w:val="16"/>
          <w:color w:val="auto"/>
        </w:rPr>
      </w:pPr>
    </w:p>
    <w:p>
      <w:pPr>
        <w:ind w:left="1159" w:right="380" w:hanging="551"/>
        <w:spacing w:after="0" w:line="271" w:lineRule="auto"/>
        <w:tabs>
          <w:tab w:leader="none" w:pos="1357" w:val="left"/>
        </w:tabs>
        <w:numPr>
          <w:ilvl w:val="1"/>
          <w:numId w:val="109"/>
        </w:numPr>
        <w:rPr>
          <w:rFonts w:ascii="Arial" w:cs="Arial" w:eastAsia="Arial" w:hAnsi="Arial"/>
          <w:sz w:val="17"/>
          <w:szCs w:val="17"/>
          <w:color w:val="auto"/>
        </w:rPr>
      </w:pPr>
      <w:r>
        <w:rPr>
          <w:rFonts w:ascii="Arial" w:cs="Arial" w:eastAsia="Arial" w:hAnsi="Arial"/>
          <w:sz w:val="17"/>
          <w:szCs w:val="17"/>
          <w:color w:val="auto"/>
        </w:rPr>
        <w:t>Prior to commencement of construction of the skyway, the party constructing the skyway shall forward to Landlord names and addresses of all contractors and subcontractors which will be working in or on the Premises.</w:t>
      </w:r>
    </w:p>
    <w:p>
      <w:pPr>
        <w:spacing w:after="0" w:line="165" w:lineRule="exact"/>
        <w:rPr>
          <w:rFonts w:ascii="Arial" w:cs="Arial" w:eastAsia="Arial" w:hAnsi="Arial"/>
          <w:sz w:val="17"/>
          <w:szCs w:val="17"/>
          <w:color w:val="auto"/>
        </w:rPr>
      </w:pPr>
    </w:p>
    <w:p>
      <w:pPr>
        <w:ind w:left="1159" w:right="700" w:hanging="551"/>
        <w:spacing w:after="0" w:line="271" w:lineRule="auto"/>
        <w:tabs>
          <w:tab w:leader="none" w:pos="1345" w:val="left"/>
        </w:tabs>
        <w:numPr>
          <w:ilvl w:val="1"/>
          <w:numId w:val="109"/>
        </w:numPr>
        <w:rPr>
          <w:rFonts w:ascii="Arial" w:cs="Arial" w:eastAsia="Arial" w:hAnsi="Arial"/>
          <w:sz w:val="17"/>
          <w:szCs w:val="17"/>
          <w:color w:val="auto"/>
        </w:rPr>
      </w:pPr>
      <w:r>
        <w:rPr>
          <w:rFonts w:ascii="Arial" w:cs="Arial" w:eastAsia="Arial" w:hAnsi="Arial"/>
          <w:sz w:val="17"/>
          <w:szCs w:val="17"/>
          <w:color w:val="auto"/>
        </w:rPr>
        <w:t>The party constructing the skyway shall be responsible for ensuring that all work complies with the approved plans and specifications and applicable Laws.</w:t>
      </w:r>
    </w:p>
    <w:p>
      <w:pPr>
        <w:spacing w:after="0" w:line="165" w:lineRule="exact"/>
        <w:rPr>
          <w:rFonts w:ascii="Arial" w:cs="Arial" w:eastAsia="Arial" w:hAnsi="Arial"/>
          <w:sz w:val="17"/>
          <w:szCs w:val="17"/>
          <w:color w:val="auto"/>
        </w:rPr>
      </w:pPr>
    </w:p>
    <w:p>
      <w:pPr>
        <w:jc w:val="both"/>
        <w:ind w:left="1159" w:right="220" w:hanging="551"/>
        <w:spacing w:after="0" w:line="310" w:lineRule="auto"/>
        <w:tabs>
          <w:tab w:leader="none" w:pos="1354" w:val="left"/>
        </w:tabs>
        <w:numPr>
          <w:ilvl w:val="1"/>
          <w:numId w:val="109"/>
        </w:numPr>
        <w:rPr>
          <w:rFonts w:ascii="Arial" w:cs="Arial" w:eastAsia="Arial" w:hAnsi="Arial"/>
          <w:sz w:val="15"/>
          <w:szCs w:val="15"/>
          <w:color w:val="auto"/>
        </w:rPr>
      </w:pPr>
      <w:r>
        <w:rPr>
          <w:rFonts w:ascii="Arial" w:cs="Arial" w:eastAsia="Arial" w:hAnsi="Arial"/>
          <w:sz w:val="15"/>
          <w:szCs w:val="15"/>
          <w:color w:val="auto"/>
        </w:rPr>
        <w:t>The party constructing the skyway shall bear the entire expense of constructing the skyway and shall indemnify, defend (with counsel reasonably approved by Landlord), and hold Landlord harmless from and against any and all claims, causes of action, damages or expenses (including, without limitation, mechanic's liens) arising out of, by reason of, or as a result of said party's construction and installation of the skyway.</w:t>
      </w:r>
    </w:p>
    <w:p>
      <w:pPr>
        <w:spacing w:after="0" w:line="141" w:lineRule="exact"/>
        <w:rPr>
          <w:rFonts w:ascii="Arial" w:cs="Arial" w:eastAsia="Arial" w:hAnsi="Arial"/>
          <w:sz w:val="15"/>
          <w:szCs w:val="15"/>
          <w:color w:val="auto"/>
        </w:rPr>
      </w:pPr>
    </w:p>
    <w:p>
      <w:pPr>
        <w:ind w:left="1159" w:right="100" w:hanging="551"/>
        <w:spacing w:after="0" w:line="293" w:lineRule="auto"/>
        <w:tabs>
          <w:tab w:leader="none" w:pos="1348" w:val="left"/>
        </w:tabs>
        <w:numPr>
          <w:ilvl w:val="1"/>
          <w:numId w:val="109"/>
        </w:numPr>
        <w:rPr>
          <w:rFonts w:ascii="Arial" w:cs="Arial" w:eastAsia="Arial" w:hAnsi="Arial"/>
          <w:sz w:val="15"/>
          <w:szCs w:val="15"/>
          <w:color w:val="auto"/>
        </w:rPr>
      </w:pPr>
      <w:r>
        <w:rPr>
          <w:rFonts w:ascii="Arial" w:cs="Arial" w:eastAsia="Arial" w:hAnsi="Arial"/>
          <w:sz w:val="15"/>
          <w:szCs w:val="15"/>
          <w:color w:val="auto"/>
        </w:rPr>
        <w:t>In addition to the foregoing, Landlord may impose conditions upon the right to perform such work as Landlord may deem reasonably necessary to protect its interest in the Premises, including without limitation, requiring (a) liability insurance naming Landlord as additional insured, (b) builder's risk insurance with limits of coverage adequate to cover the cost of construction and naming Landlord as additional insured (which insurance shall be maintained during periods of construction and shall be primary in the event of a casualty occurring on or about the Premises), (c) reasonable evidence of ability to pay for the work or reasonable evidence that funding is place for such work (e.g. bank commitment letter), (d) the right to have a representative of Landlord be present during the construction of the skyway, and (e) the right to inspect the skyway during the course of construction.</w:t>
      </w:r>
    </w:p>
    <w:p>
      <w:pPr>
        <w:spacing w:after="0" w:line="356" w:lineRule="exact"/>
        <w:rPr>
          <w:sz w:val="20"/>
          <w:szCs w:val="20"/>
          <w:color w:val="auto"/>
        </w:rPr>
      </w:pPr>
    </w:p>
    <w:p>
      <w:pPr>
        <w:jc w:val="center"/>
        <w:ind w:right="-78"/>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55510" cy="400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59"/>
          </w:cols>
          <w:pgMar w:left="241" w:top="329" w:right="299" w:bottom="1440" w:gutter="0" w:footer="0" w:header="0"/>
        </w:sectPr>
      </w:pPr>
    </w:p>
    <w:bookmarkStart w:id="134" w:name="page135"/>
    <w:bookmarkEnd w:id="134"/>
    <w:p>
      <w:pPr>
        <w:ind w:right="160"/>
        <w:spacing w:after="0" w:line="271" w:lineRule="auto"/>
        <w:rPr>
          <w:sz w:val="20"/>
          <w:szCs w:val="20"/>
          <w:color w:val="auto"/>
        </w:rPr>
      </w:pPr>
      <w:r>
        <w:rPr>
          <w:rFonts w:ascii="Arial" w:cs="Arial" w:eastAsia="Arial" w:hAnsi="Arial"/>
          <w:sz w:val="17"/>
          <w:szCs w:val="17"/>
          <w:color w:val="auto"/>
        </w:rPr>
        <w:t>Further, the parties agree that fifty percent (50%) of the cost of maintenance and repair of any such skyway shall be allocable to the Building and shall be recoverable from Tenant by the Landlord as part of Operating Costs.</w:t>
      </w:r>
    </w:p>
    <w:p>
      <w:pPr>
        <w:spacing w:after="0" w:line="166" w:lineRule="exact"/>
        <w:rPr>
          <w:sz w:val="20"/>
          <w:szCs w:val="20"/>
          <w:color w:val="auto"/>
        </w:rPr>
      </w:pPr>
    </w:p>
    <w:p>
      <w:pPr>
        <w:ind w:right="60" w:firstLine="2"/>
        <w:spacing w:after="0" w:line="254" w:lineRule="auto"/>
        <w:tabs>
          <w:tab w:leader="none" w:pos="707"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ACCESS FOR OPTION PROPERTY PARKING AREA. If the Option is exercised and the Option Property is purchased from and conveyed by the City of New Brighton to the Option holder, then Landlord hereby agrees to grant an easement to the fee owner of the Option Property for the benefit of said fee owner and its tenant(s) of any building constructed upon the Option Property, for the purpose of reasonable pedestrian and vehicular ingress and egress over and across the drive aisles of the parking lot constructed upon the Premises, as such drive aisles may be relocated on reconfigured from time to time, to and from that portion of the parking area serving the Option Property depicted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w:t>
      </w:r>
    </w:p>
    <w:p>
      <w:pPr>
        <w:spacing w:after="0" w:line="180" w:lineRule="exact"/>
        <w:rPr>
          <w:rFonts w:ascii="Arial" w:cs="Arial" w:eastAsia="Arial" w:hAnsi="Arial"/>
          <w:sz w:val="17"/>
          <w:szCs w:val="17"/>
          <w:color w:val="auto"/>
        </w:rPr>
      </w:pPr>
    </w:p>
    <w:p>
      <w:pPr>
        <w:ind w:right="120" w:firstLine="2"/>
        <w:spacing w:after="0" w:line="256" w:lineRule="auto"/>
        <w:tabs>
          <w:tab w:leader="none" w:pos="714"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TENANT'S RIGHT TO SELF MANAGE. Tenant shall have the right, upon not less than sixty (60) days prior written notice to Landlord, in addition to and without otherwise limiting Tenant's obligations to maintain certain portions of the Premises pursuant to Section 7.2 or other provisions of this Lease (but excluding Landlord's obligations under this Lease regarding procurement and maintenance of insurance and payment of real estate taxes), to self manage the Premises under the following terms and conditions:</w:t>
      </w:r>
    </w:p>
    <w:p>
      <w:pPr>
        <w:spacing w:after="0" w:line="178" w:lineRule="exact"/>
        <w:rPr>
          <w:rFonts w:ascii="Arial" w:cs="Arial" w:eastAsia="Arial" w:hAnsi="Arial"/>
          <w:sz w:val="17"/>
          <w:szCs w:val="17"/>
          <w:color w:val="auto"/>
        </w:rPr>
      </w:pPr>
    </w:p>
    <w:p>
      <w:pPr>
        <w:ind w:firstLine="548"/>
        <w:spacing w:after="0" w:line="268" w:lineRule="auto"/>
        <w:tabs>
          <w:tab w:leader="none" w:pos="1279"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Tenant will be obligated to provide all Services to the Premises described in Section 9 of this Lease and to perform all maintenance, repair, and replacement obligations that would otherwise be the responsibility of Landlord under this Lease, excluding those obligations which Landlord is required to maintain and repair at its sole expense under Section 7.3 of the Lease. All such Services and maintenance, repair and replacement work shall be performed at Tenant's sole expense and in accordance with the terms of the Declaration and this Lease. Tenant's obligations shall include, without limitation, the maintenance, repair and replacement of all improvements located upon or within the Premises, including without limitation, the interior and exterior of the Building, site lighting, landscaping and irrigation, trees, lawn (including regular mowing thereof), building signs, directional signs, monument signs, curbing, paving, drive-aisles and sidewalks, including without limitation, parking lot striping, seal-coating, and patching, and snow and ice removal for all sidewalks, entryways, parking areas and drive aisles located within the area of the Premises, in a first class, clean, safe, sanitary, and working condition and in compliance with the Declaration and all applicable Laws. To the extent requested by Tenant, Landlord will cooperate with Tenant to provide Tenant with the benefit of all applicable warranties available to Landlord for items which Tenant is responsible for maintaining and repairing under this Section 35.</w:t>
      </w:r>
    </w:p>
    <w:p>
      <w:pPr>
        <w:spacing w:after="0" w:line="172" w:lineRule="exact"/>
        <w:rPr>
          <w:rFonts w:ascii="Arial" w:cs="Arial" w:eastAsia="Arial" w:hAnsi="Arial"/>
          <w:sz w:val="16"/>
          <w:szCs w:val="16"/>
          <w:color w:val="auto"/>
        </w:rPr>
      </w:pPr>
    </w:p>
    <w:p>
      <w:pPr>
        <w:ind w:right="240" w:firstLine="548"/>
        <w:spacing w:after="0" w:line="339" w:lineRule="auto"/>
        <w:tabs>
          <w:tab w:leader="none" w:pos="1291" w:val="left"/>
        </w:tabs>
        <w:numPr>
          <w:ilvl w:val="1"/>
          <w:numId w:val="110"/>
        </w:numPr>
        <w:rPr>
          <w:rFonts w:ascii="Arial" w:cs="Arial" w:eastAsia="Arial" w:hAnsi="Arial"/>
          <w:sz w:val="15"/>
          <w:szCs w:val="15"/>
          <w:color w:val="auto"/>
        </w:rPr>
      </w:pPr>
      <w:r>
        <w:rPr>
          <w:rFonts w:ascii="Arial" w:cs="Arial" w:eastAsia="Arial" w:hAnsi="Arial"/>
          <w:sz w:val="15"/>
          <w:szCs w:val="15"/>
          <w:color w:val="auto"/>
        </w:rPr>
        <w:t>Landlord shall have the right to require and review copies of reports and invoices pertaining to Tenant's maintenance and repair obligations under this Section 35, and to take other reasonable actions required to ensure Tenant's performance of its obligations hereunder pertaining to self management.</w:t>
      </w: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12065</wp:posOffset>
            </wp:positionV>
            <wp:extent cx="7255510" cy="400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40"/>
          </w:cols>
          <w:pgMar w:left="300" w:top="329" w:right="259" w:bottom="1440" w:gutter="0" w:footer="0" w:header="0"/>
        </w:sectPr>
      </w:pPr>
    </w:p>
    <w:bookmarkStart w:id="135" w:name="page136"/>
    <w:bookmarkEnd w:id="135"/>
    <w:p>
      <w:pPr>
        <w:ind w:right="100" w:firstLine="548"/>
        <w:spacing w:after="0" w:line="267" w:lineRule="auto"/>
        <w:tabs>
          <w:tab w:leader="none" w:pos="1282"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In the event that Tenant is not performing its self management obligations as set forth in this Section, and has not cured such non-performance within ten (10) days of Landlord's written notice to Tenant (unless such failure cannot reasonably be cured within ten (10) days, in which case Tenant shall have so much time to cure such failure as is reasonably necessary provided Tenant commences cure within the initial ten (10) day period and thereafter diligently pursues such cure to completion), then Landlord may perform such maintenance, repair or replacement work, without liability to Tenant for any loss or damage that may accrue to Tenant's personal property or to Tenant's business by reason thereof, provided that Landlord shall use reasonable efforts not to disturb or otherwise interfere with Tenant's operations in the Premises, and upon completion thereof, Tenant shall pay to Landlord all costs incurred by Landlord in performing such work, including ten percent (10%) of such costs for overhead, within thirty (30) days after Landlord delivers to Tenant an invoice for such costs, and any such invoice not timely paid by Tenant shall bear interest at the Interest Rate from the date due until the date paid in full. Without limiting the generality of the foregoing and in addition any other right or remedy Landlord may have under this Lease, at law or in equity, if Tenant has defaulted or breached its self management obligations hereunder three (3) or more times within any twelve (12) month period, then Landlord shall also have the option to terminate Tenant's self management rights after written notice to Tenant, and return the Premises to Landlord controlled management, in which event Landlord shall again be entitled recover a management fee from Tenant not to exceed three percent (3%) of gross rental.</w:t>
      </w:r>
    </w:p>
    <w:p>
      <w:pPr>
        <w:spacing w:after="0" w:line="175" w:lineRule="exact"/>
        <w:rPr>
          <w:rFonts w:ascii="Arial" w:cs="Arial" w:eastAsia="Arial" w:hAnsi="Arial"/>
          <w:sz w:val="16"/>
          <w:szCs w:val="16"/>
          <w:color w:val="auto"/>
        </w:rPr>
      </w:pPr>
    </w:p>
    <w:p>
      <w:pPr>
        <w:ind w:right="580" w:firstLine="548"/>
        <w:spacing w:after="0" w:line="339" w:lineRule="auto"/>
        <w:tabs>
          <w:tab w:leader="none" w:pos="1291" w:val="left"/>
        </w:tabs>
        <w:numPr>
          <w:ilvl w:val="1"/>
          <w:numId w:val="111"/>
        </w:numPr>
        <w:rPr>
          <w:rFonts w:ascii="Arial" w:cs="Arial" w:eastAsia="Arial" w:hAnsi="Arial"/>
          <w:sz w:val="15"/>
          <w:szCs w:val="15"/>
          <w:color w:val="auto"/>
        </w:rPr>
      </w:pPr>
      <w:r>
        <w:rPr>
          <w:rFonts w:ascii="Arial" w:cs="Arial" w:eastAsia="Arial" w:hAnsi="Arial"/>
          <w:sz w:val="15"/>
          <w:szCs w:val="15"/>
          <w:color w:val="auto"/>
        </w:rPr>
        <w:t>So long as Tenant self-manages, Tenant shall not be obligated to pay any Operating Costs related to any matters which Tenant self-manages, provided, however, Landlord shall be entitled to recover a management fee from Tenant equal to one and one-half percent (1.5%) of gross rental.</w:t>
      </w:r>
    </w:p>
    <w:p>
      <w:pPr>
        <w:spacing w:after="0" w:line="120" w:lineRule="exact"/>
        <w:rPr>
          <w:rFonts w:ascii="Arial" w:cs="Arial" w:eastAsia="Arial" w:hAnsi="Arial"/>
          <w:sz w:val="15"/>
          <w:szCs w:val="15"/>
          <w:color w:val="auto"/>
        </w:rPr>
      </w:pPr>
    </w:p>
    <w:p>
      <w:pPr>
        <w:ind w:firstLine="2"/>
        <w:spacing w:after="0" w:line="268" w:lineRule="auto"/>
        <w:tabs>
          <w:tab w:leader="none" w:pos="71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LIMITED GUARANTY. In order to induce Tenant to enter into this Lease and as a condition precedent of Landlord's obligations under this Lease, Tenant requires that all of Landlord's obligations under this Lease pertaining to the initial construction of the Premises, including without limitation completion of the obligations under the RAPs (collectively, the "Guaranteed Obligations") be secured by a guaranty executed by Limited Guarantor in favor of Tenant. The Limited Guarantor, by its execution of the Lease, hereby guaranties the Guaranteed Obligations, but shall not otherwise be responsible for any of Landlord's obligations under this Lease except as otherwise provided below. Limited Guarantor agrees that in the event of any default by Landlord under the Lease with respect to the Guaranteed Obligations, the Limited Guarantor shall immediately upon written demand by Tenant, commence and diligently pursue to completion, the Guaranteed Obligations subject to and in accordance with the terms of the Lease. In addition, in the event that the Lease is terminated due to a default by Landlord under the Developer's Agreement (and provided that such default is not due to a default by Tenant under this Lease), then Tenant shall have a claim against Limited Guarantor for all losses suffered by Tenant as a result of such termination and may pursue as against Limited Guarantor all rights and remedies available to Tenant in law or in equity. Upon Substantial Completion of the Guaranteed Obligations by the Landlord in accordance with the terms of this Lease, the foregoing limited guaranty shall terminate and be of no further force and effect.</w:t>
      </w:r>
    </w:p>
    <w:p>
      <w:pPr>
        <w:spacing w:after="0" w:line="169" w:lineRule="exact"/>
        <w:rPr>
          <w:rFonts w:ascii="Arial" w:cs="Arial" w:eastAsia="Arial" w:hAnsi="Arial"/>
          <w:sz w:val="16"/>
          <w:szCs w:val="16"/>
          <w:color w:val="auto"/>
        </w:rPr>
      </w:pPr>
    </w:p>
    <w:p>
      <w:pPr>
        <w:ind w:right="160" w:firstLine="2"/>
        <w:spacing w:after="0" w:line="286" w:lineRule="auto"/>
        <w:tabs>
          <w:tab w:leader="none" w:pos="717" w:val="left"/>
        </w:tabs>
        <w:numPr>
          <w:ilvl w:val="0"/>
          <w:numId w:val="112"/>
        </w:numPr>
        <w:rPr>
          <w:rFonts w:ascii="Arial" w:cs="Arial" w:eastAsia="Arial" w:hAnsi="Arial"/>
          <w:sz w:val="15"/>
          <w:szCs w:val="15"/>
          <w:color w:val="auto"/>
        </w:rPr>
      </w:pPr>
      <w:r>
        <w:rPr>
          <w:rFonts w:ascii="Arial" w:cs="Arial" w:eastAsia="Arial" w:hAnsi="Arial"/>
          <w:sz w:val="15"/>
          <w:szCs w:val="15"/>
          <w:color w:val="auto"/>
        </w:rPr>
        <w:t>CANCELLATION UPON RE-VESTING OR REPURCHASE BY CITY. The parties acknowledge and agree that pursuant to the terms and conditions of the Developer's Agreement, the City has certain rights to re-vest title to the Premises in the City or repurchase of the Premises by the City upon the occurrence of certain circumstances. Therefore, if the City exercises its right to re-vest title in the Premises to the City pursuant to the Developer's Agreement, or if the City repurchases the Premises pursuant to the Developer's Agreement for any reason permitted therein, other than a default by Landlord under the Developer's Agreement, then the parties agree that this Lease shall henceforth terminate as of the date title re-vests in the City and shall be of no further force and effect, and neither party shall have any further liability or obligation to the other hereunder, except as otherwise provided herein. However, if the City terminates the Developer's Agreement and exercises its right to re-vest title in the Premises to the City due to a default by Landlord under the Developer's Agreement (and provided that such default is not due to a default by Tenant under this Lease), then this Lease shall automatically be terminated upon the date title re-vests in the City and shall be of no further force and effect, and neither party shall have any further liability or obligations to the other hereunder, provided, however, Tenant shall have a claim against Landlord and Limited Guarantor for all losses suffered by Tenant as a result of such termination and may pursue as against Landlord and Limited Guarantor all rights and remedies available to Tenant in law or in equity. This Section 37 shall be of no further force and effect upon the recording of that certain Certificate of Completion and Release of Forfeiture duly executed by the City in the form attached to the Developer's Agreement as Exhibit D.</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12065</wp:posOffset>
            </wp:positionV>
            <wp:extent cx="7255510" cy="400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40"/>
          </w:cols>
          <w:pgMar w:left="300" w:top="329" w:right="259" w:bottom="1440" w:gutter="0" w:footer="0" w:header="0"/>
        </w:sectPr>
      </w:pPr>
    </w:p>
    <w:bookmarkStart w:id="136" w:name="page137"/>
    <w:bookmarkEnd w:id="136"/>
    <w:p>
      <w:pPr>
        <w:ind w:left="-1" w:firstLine="1"/>
        <w:spacing w:after="0" w:line="252" w:lineRule="auto"/>
        <w:tabs>
          <w:tab w:leader="none" w:pos="50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CONTINGENCY. Notwithstanding anything herein to the contrary, the Landlord's and Tenant's obligations under this Lease are contingent upon Landlord obtaining, not later than October 31, 2007, (i) all Approvals, and (ii) a conveyance of fee title to the Premises from the City. If Landlord is not able fulfill or satisfy the foregoing contingency, then either Landlord or Tenant may elect to terminate this Lease upon thirty (30) days prior written notice to the other party and upon expiration of said thirty (30) day period, except as otherwise provided herein, neither party shall have any further liability or obligation to the other hereunder. During such thirty (30) day notice period, Landlord shall continue to attempt to resolve any outstanding contingencies, and Tenant shall cooperate with Landlord as provided under this Lease in such endeavor, and if such contingencies shall be resolved during such period, the termination notice shall be deemed retracted, null and void and this Lease shall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8"/>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55510" cy="400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19"/>
          </w:cols>
          <w:pgMar w:left="241" w:top="329" w:right="339" w:bottom="1440" w:gutter="0" w:footer="0" w:header="0"/>
        </w:sectPr>
      </w:pPr>
    </w:p>
    <w:bookmarkStart w:id="137" w:name="page138"/>
    <w:bookmarkEnd w:id="137"/>
    <w:p>
      <w:pPr>
        <w:spacing w:after="0" w:line="224" w:lineRule="auto"/>
        <w:framePr w:w="1040" w:h="150" w:wrap="auto" w:vAnchor="page" w:hAnchor="page" w:x="8460" w:y="3052"/>
        <w:rPr>
          <w:rFonts w:ascii="Arial" w:cs="Arial" w:eastAsia="Arial" w:hAnsi="Arial"/>
          <w:sz w:val="14"/>
          <w:szCs w:val="14"/>
          <w:color w:val="auto"/>
        </w:rPr>
      </w:pPr>
      <w:r>
        <w:rPr>
          <w:rFonts w:ascii="Arial" w:cs="Arial" w:eastAsia="Arial" w:hAnsi="Arial"/>
          <w:sz w:val="14"/>
          <w:szCs w:val="14"/>
          <w:color w:val="auto"/>
        </w:rPr>
        <w:t>Vice President</w:t>
      </w:r>
    </w:p>
    <w:p>
      <w:pPr>
        <w:ind w:left="600"/>
        <w:spacing w:after="0"/>
        <w:rPr>
          <w:sz w:val="20"/>
          <w:szCs w:val="20"/>
          <w:color w:val="auto"/>
        </w:rPr>
      </w:pPr>
      <w:r>
        <w:rPr>
          <w:rFonts w:ascii="Arial" w:cs="Arial" w:eastAsia="Arial" w:hAnsi="Arial"/>
          <w:sz w:val="15"/>
          <w:szCs w:val="15"/>
          <w:color w:val="auto"/>
        </w:rPr>
        <w:t>IN WITNESS WHEREOF, Landlord and Tenant have entered into this Lease as of the date first above written.</w:t>
      </w:r>
    </w:p>
    <w:p>
      <w:pPr>
        <w:sectPr>
          <w:pgSz w:w="11900" w:h="16838" w:orient="portrait"/>
          <w:cols w:equalWidth="0" w:num="1">
            <w:col w:w="11420"/>
          </w:cols>
          <w:pgMar w:left="240" w:top="329" w:right="239" w:bottom="1440" w:gutter="0" w:footer="0" w:header="0"/>
        </w:sectPr>
      </w:pPr>
    </w:p>
    <w:p>
      <w:pPr>
        <w:spacing w:after="0" w:line="200" w:lineRule="exact"/>
        <w:rPr>
          <w:rFonts w:ascii="Arial" w:cs="Arial" w:eastAsia="Arial" w:hAnsi="Arial"/>
          <w:sz w:val="14"/>
          <w:szCs w:val="14"/>
          <w:color w:val="auto"/>
        </w:rPr>
      </w:pPr>
    </w:p>
    <w:p>
      <w:pPr>
        <w:spacing w:after="0" w:line="235"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7"/>
          <w:szCs w:val="17"/>
          <w:color w:val="auto"/>
        </w:rPr>
        <w:t>TENANT:</w:t>
      </w:r>
    </w:p>
    <w:p>
      <w:pPr>
        <w:spacing w:after="0" w:line="209" w:lineRule="exact"/>
        <w:rPr>
          <w:rFonts w:ascii="Arial" w:cs="Arial" w:eastAsia="Arial" w:hAnsi="Arial"/>
          <w:sz w:val="14"/>
          <w:szCs w:val="14"/>
          <w:color w:val="auto"/>
        </w:rPr>
      </w:pPr>
    </w:p>
    <w:tbl>
      <w:tblPr>
        <w:tblLayout w:type="fixed"/>
        <w:tblInd w:w="0" w:type="dxa"/>
        <w:tblCellMar>
          <w:top w:w="0" w:type="dxa"/>
          <w:left w:w="0" w:type="dxa"/>
          <w:bottom w:w="0" w:type="dxa"/>
          <w:right w:w="0" w:type="dxa"/>
        </w:tblCellMar>
      </w:tblPr>
      <w:tr>
        <w:trPr>
          <w:trHeight w:val="215"/>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Charles Coggin</w:t>
            </w:r>
          </w:p>
        </w:tc>
      </w:tr>
      <w:tr>
        <w:trPr>
          <w:trHeight w:val="195"/>
        </w:trPr>
        <w:tc>
          <w:tcPr>
            <w:tcW w:w="56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Name: Charles Coggin</w:t>
            </w:r>
          </w:p>
        </w:tc>
      </w:tr>
      <w:tr>
        <w:trPr>
          <w:trHeight w:val="207"/>
        </w:trPr>
        <w:tc>
          <w:tcPr>
            <w:tcW w:w="560" w:type="dxa"/>
            <w:vAlign w:val="bottom"/>
          </w:tcPr>
          <w:p>
            <w:pPr>
              <w:spacing w:after="0"/>
              <w:rPr>
                <w:sz w:val="18"/>
                <w:szCs w:val="18"/>
                <w:color w:val="auto"/>
              </w:rPr>
            </w:pPr>
          </w:p>
        </w:tc>
        <w:tc>
          <w:tcPr>
            <w:tcW w:w="540" w:type="dxa"/>
            <w:vAlign w:val="bottom"/>
          </w:tcPr>
          <w:p>
            <w:pPr>
              <w:spacing w:after="0" w:line="194" w:lineRule="exact"/>
              <w:rPr>
                <w:sz w:val="20"/>
                <w:szCs w:val="20"/>
                <w:color w:val="auto"/>
              </w:rPr>
            </w:pPr>
            <w:r>
              <w:rPr>
                <w:rFonts w:ascii="Arial" w:cs="Arial" w:eastAsia="Arial" w:hAnsi="Arial"/>
                <w:sz w:val="17"/>
                <w:szCs w:val="17"/>
                <w:color w:val="auto"/>
              </w:rPr>
              <w:t>Title:</w:t>
            </w:r>
          </w:p>
        </w:tc>
        <w:tc>
          <w:tcPr>
            <w:tcW w:w="2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VP and CFO</w:t>
            </w:r>
          </w:p>
        </w:tc>
      </w:tr>
    </w:tbl>
    <w:p>
      <w:pPr>
        <w:spacing w:after="0" w:line="200" w:lineRule="exact"/>
        <w:rPr>
          <w:rFonts w:ascii="Arial" w:cs="Arial" w:eastAsia="Arial" w:hAnsi="Arial"/>
          <w:sz w:val="14"/>
          <w:szCs w:val="14"/>
          <w:color w:val="auto"/>
        </w:rPr>
      </w:pPr>
    </w:p>
    <w:p>
      <w:pPr>
        <w:spacing w:after="0" w:line="382"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354330</wp:posOffset>
            </wp:positionH>
            <wp:positionV relativeFrom="paragraph">
              <wp:posOffset>12065</wp:posOffset>
            </wp:positionV>
            <wp:extent cx="20726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0">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7"/>
          <w:szCs w:val="17"/>
          <w:color w:val="auto"/>
        </w:rPr>
        <w:t>Name:</w:t>
      </w:r>
    </w:p>
    <w:p>
      <w:pPr>
        <w:spacing w:after="0" w:line="20" w:lineRule="exact"/>
        <w:rPr>
          <w:rFonts w:ascii="Arial" w:cs="Arial" w:eastAsia="Arial" w:hAnsi="Arial"/>
          <w:sz w:val="14"/>
          <w:szCs w:val="14"/>
          <w:color w:val="auto"/>
        </w:rPr>
      </w:pPr>
    </w:p>
    <w:p>
      <w:pPr>
        <w:ind w:left="560"/>
        <w:spacing w:after="0"/>
        <w:rPr>
          <w:sz w:val="20"/>
          <w:szCs w:val="20"/>
          <w:color w:val="auto"/>
        </w:rPr>
      </w:pPr>
      <w:r>
        <w:rPr>
          <w:rFonts w:ascii="Arial" w:cs="Arial" w:eastAsia="Arial" w:hAnsi="Arial"/>
          <w:sz w:val="17"/>
          <w:szCs w:val="17"/>
          <w:color w:val="auto"/>
        </w:rPr>
        <w:t>Title:</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699770</wp:posOffset>
            </wp:positionH>
            <wp:positionV relativeFrom="paragraph">
              <wp:posOffset>20320</wp:posOffset>
            </wp:positionV>
            <wp:extent cx="17272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1">
                      <a:extLst>
                        <a:ext uri="{28A0092B-C50C-407E-A947-70E740481C1C}"/>
                      </a:extLst>
                    </a:blip>
                    <a:srcRect/>
                    <a:stretch>
                      <a:fillRect/>
                    </a:stretch>
                  </pic:blipFill>
                  <pic:spPr bwMode="auto">
                    <a:xfrm>
                      <a:off x="0" y="0"/>
                      <a:ext cx="172720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-115570</wp:posOffset>
            </wp:positionV>
            <wp:extent cx="17272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2">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200" w:lineRule="exact"/>
        <w:rPr>
          <w:rFonts w:ascii="Arial" w:cs="Arial" w:eastAsia="Arial" w:hAnsi="Arial"/>
          <w:sz w:val="14"/>
          <w:szCs w:val="14"/>
          <w:color w:val="auto"/>
        </w:rPr>
      </w:pPr>
    </w:p>
    <w:p>
      <w:pPr>
        <w:spacing w:after="0" w:line="215"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7"/>
          <w:szCs w:val="17"/>
          <w:color w:val="auto"/>
        </w:rPr>
        <w:t>LANDLORD:</w:t>
      </w:r>
    </w:p>
    <w:p>
      <w:pPr>
        <w:spacing w:after="0" w:line="209" w:lineRule="exact"/>
        <w:rPr>
          <w:rFonts w:ascii="Arial" w:cs="Arial" w:eastAsia="Arial" w:hAnsi="Arial"/>
          <w:sz w:val="14"/>
          <w:szCs w:val="14"/>
          <w:color w:val="auto"/>
        </w:rPr>
      </w:pPr>
    </w:p>
    <w:tbl>
      <w:tblPr>
        <w:tblLayout w:type="fixed"/>
        <w:tblInd w:w="0" w:type="dxa"/>
        <w:tblCellMar>
          <w:top w:w="0" w:type="dxa"/>
          <w:left w:w="0" w:type="dxa"/>
          <w:bottom w:w="0" w:type="dxa"/>
          <w:right w:w="0" w:type="dxa"/>
        </w:tblCellMar>
      </w:tblPr>
      <w:tr>
        <w:trPr>
          <w:trHeight w:val="214"/>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3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Authorized Signatory</w:t>
            </w:r>
          </w:p>
        </w:tc>
      </w:tr>
      <w:tr>
        <w:trPr>
          <w:trHeight w:val="196"/>
        </w:trPr>
        <w:tc>
          <w:tcPr>
            <w:tcW w:w="580" w:type="dxa"/>
            <w:vAlign w:val="bottom"/>
          </w:tcPr>
          <w:p>
            <w:pPr>
              <w:spacing w:after="0" w:line="194" w:lineRule="exact"/>
              <w:rPr>
                <w:sz w:val="20"/>
                <w:szCs w:val="20"/>
                <w:color w:val="auto"/>
              </w:rPr>
            </w:pPr>
            <w:r>
              <w:rPr>
                <w:rFonts w:ascii="Arial" w:cs="Arial" w:eastAsia="Arial" w:hAnsi="Arial"/>
                <w:sz w:val="17"/>
                <w:szCs w:val="17"/>
                <w:color w:val="auto"/>
              </w:rPr>
              <w:t>Its:</w:t>
            </w:r>
          </w:p>
        </w:tc>
        <w:tc>
          <w:tcPr>
            <w:tcW w:w="3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Manager/Secretary</w:t>
            </w:r>
          </w:p>
        </w:tc>
      </w:tr>
    </w:tbl>
    <w:p>
      <w:pPr>
        <w:spacing w:after="0" w:line="200" w:lineRule="exact"/>
        <w:rPr>
          <w:rFonts w:ascii="Arial" w:cs="Arial" w:eastAsia="Arial" w:hAnsi="Arial"/>
          <w:sz w:val="14"/>
          <w:szCs w:val="14"/>
          <w:color w:val="auto"/>
        </w:rPr>
      </w:pPr>
    </w:p>
    <w:p>
      <w:pPr>
        <w:spacing w:after="0" w:line="205"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7"/>
          <w:szCs w:val="17"/>
          <w:color w:val="auto"/>
        </w:rPr>
        <w:t>LIMITED GUARANTOR:</w:t>
      </w:r>
    </w:p>
    <w:p>
      <w:pPr>
        <w:spacing w:after="0" w:line="209"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7"/>
          <w:szCs w:val="17"/>
          <w:color w:val="auto"/>
        </w:rPr>
        <w:t>RYAN COMPANIES US, INC.</w:t>
      </w:r>
    </w:p>
    <w:p>
      <w:pPr>
        <w:spacing w:after="0" w:line="19" w:lineRule="exact"/>
        <w:rPr>
          <w:rFonts w:ascii="Arial" w:cs="Arial" w:eastAsia="Arial" w:hAnsi="Arial"/>
          <w:sz w:val="14"/>
          <w:szCs w:val="14"/>
          <w:color w:val="auto"/>
        </w:rPr>
      </w:pPr>
    </w:p>
    <w:p>
      <w:pPr>
        <w:spacing w:after="0"/>
        <w:tabs>
          <w:tab w:leader="none" w:pos="5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Authorized Signatory</w:t>
      </w:r>
    </w:p>
    <w:p>
      <w:pPr>
        <w:spacing w:after="0" w:line="20" w:lineRule="exact"/>
        <w:rPr>
          <w:rFonts w:ascii="Arial" w:cs="Arial" w:eastAsia="Arial" w:hAnsi="Arial"/>
          <w:sz w:val="14"/>
          <w:szCs w:val="14"/>
          <w:color w:val="auto"/>
        </w:rPr>
      </w:pPr>
    </w:p>
    <w:p>
      <w:pPr>
        <w:jc w:val="center"/>
        <w:ind w:right="3520"/>
        <w:spacing w:after="0"/>
        <w:rPr>
          <w:sz w:val="20"/>
          <w:szCs w:val="20"/>
          <w:color w:val="auto"/>
        </w:rPr>
      </w:pPr>
      <w:r>
        <w:rPr>
          <w:rFonts w:ascii="Arial" w:cs="Arial" w:eastAsia="Arial" w:hAnsi="Arial"/>
          <w:sz w:val="16"/>
          <w:szCs w:val="16"/>
          <w:color w:val="auto"/>
        </w:rPr>
        <w:t>Its:</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362585</wp:posOffset>
            </wp:positionH>
            <wp:positionV relativeFrom="paragraph">
              <wp:posOffset>27940</wp:posOffset>
            </wp:positionV>
            <wp:extent cx="20167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3">
                      <a:extLst>
                        <a:ext uri="{28A0092B-C50C-407E-A947-70E740481C1C}"/>
                      </a:extLst>
                    </a:blip>
                    <a:srcRect/>
                    <a:stretch>
                      <a:fillRect/>
                    </a:stretch>
                  </pic:blipFill>
                  <pic:spPr bwMode="auto">
                    <a:xfrm>
                      <a:off x="0" y="0"/>
                      <a:ext cx="2016760" cy="8255"/>
                    </a:xfrm>
                    <a:prstGeom prst="rect">
                      <a:avLst/>
                    </a:prstGeom>
                    <a:noFill/>
                  </pic:spPr>
                </pic:pic>
              </a:graphicData>
            </a:graphic>
          </wp:anchor>
        </w:drawing>
        <w:drawing>
          <wp:anchor simplePos="0" relativeHeight="251657728" behindDoc="1" locked="0" layoutInCell="0" allowOverlap="1">
            <wp:simplePos x="0" y="0"/>
            <wp:positionH relativeFrom="column">
              <wp:posOffset>362585</wp:posOffset>
            </wp:positionH>
            <wp:positionV relativeFrom="paragraph">
              <wp:posOffset>-108585</wp:posOffset>
            </wp:positionV>
            <wp:extent cx="20167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4">
                      <a:extLst>
                        <a:ext uri="{28A0092B-C50C-407E-A947-70E740481C1C}"/>
                      </a:extLst>
                    </a:blip>
                    <a:srcRect/>
                    <a:stretch>
                      <a:fillRect/>
                    </a:stretch>
                  </pic:blipFill>
                  <pic:spPr bwMode="auto">
                    <a:xfrm>
                      <a:off x="0" y="0"/>
                      <a:ext cx="2016760" cy="8255"/>
                    </a:xfrm>
                    <a:prstGeom prst="rect">
                      <a:avLst/>
                    </a:prstGeom>
                    <a:noFill/>
                  </pic:spPr>
                </pic:pic>
              </a:graphicData>
            </a:graphic>
          </wp:anchor>
        </w:drawing>
      </w:r>
    </w:p>
    <w:p>
      <w:pPr>
        <w:spacing w:after="0" w:line="211" w:lineRule="exact"/>
        <w:rPr>
          <w:rFonts w:ascii="Arial" w:cs="Arial" w:eastAsia="Arial" w:hAnsi="Arial"/>
          <w:sz w:val="14"/>
          <w:szCs w:val="14"/>
          <w:color w:val="auto"/>
        </w:rPr>
      </w:pPr>
    </w:p>
    <w:p>
      <w:pPr>
        <w:sectPr>
          <w:pgSz w:w="11900" w:h="16838" w:orient="portrait"/>
          <w:cols w:equalWidth="0" w:num="2">
            <w:col w:w="6960" w:space="720"/>
            <w:col w:w="3740"/>
          </w:cols>
          <w:pgMar w:left="240" w:top="329" w:right="239" w:bottom="1440" w:gutter="0" w:footer="0" w:header="0"/>
          <w:type w:val="continuous"/>
        </w:sect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9" w:lineRule="exact"/>
        <w:rPr>
          <w:rFonts w:ascii="Arial" w:cs="Arial" w:eastAsia="Arial" w:hAnsi="Arial"/>
          <w:sz w:val="14"/>
          <w:szCs w:val="14"/>
          <w:color w:val="auto"/>
        </w:rPr>
      </w:pPr>
    </w:p>
    <w:p>
      <w:pPr>
        <w:jc w:val="center"/>
        <w:ind w:right="-19"/>
        <w:spacing w:after="0"/>
        <w:rPr>
          <w:sz w:val="20"/>
          <w:szCs w:val="20"/>
          <w:color w:val="auto"/>
        </w:rPr>
      </w:pPr>
      <w:r>
        <w:rPr>
          <w:rFonts w:ascii="Arial" w:cs="Arial" w:eastAsia="Arial" w:hAnsi="Arial"/>
          <w:sz w:val="15"/>
          <w:szCs w:val="15"/>
          <w:color w:val="auto"/>
        </w:rPr>
        <w:t>-44-</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7255510"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type w:val="continuous"/>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217170</wp:posOffset>
            </wp:positionV>
            <wp:extent cx="7255510" cy="7809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6">
                      <a:extLst>
                        <a:ext uri="{28A0092B-C50C-407E-A947-70E740481C1C}"/>
                      </a:extLst>
                    </a:blip>
                    <a:srcRect/>
                    <a:stretch>
                      <a:fillRect/>
                    </a:stretch>
                  </pic:blipFill>
                  <pic:spPr bwMode="auto">
                    <a:xfrm>
                      <a:off x="0" y="0"/>
                      <a:ext cx="7255510" cy="7809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ind w:right="40"/>
        <w:spacing w:after="0"/>
        <w:rPr>
          <w:sz w:val="20"/>
          <w:szCs w:val="20"/>
          <w:color w:val="auto"/>
        </w:rPr>
      </w:pPr>
      <w:r>
        <w:rPr>
          <w:rFonts w:ascii="Arial" w:cs="Arial" w:eastAsia="Arial" w:hAnsi="Arial"/>
          <w:sz w:val="17"/>
          <w:szCs w:val="17"/>
          <w:u w:val="single" w:color="auto"/>
          <w:color w:val="auto"/>
        </w:rPr>
        <w:t>EXHIBIT B</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CONSTRUCTION RIDER</w:t>
      </w:r>
    </w:p>
    <w:p>
      <w:pPr>
        <w:spacing w:after="0" w:line="209" w:lineRule="exact"/>
        <w:rPr>
          <w:sz w:val="20"/>
          <w:szCs w:val="20"/>
          <w:color w:val="auto"/>
        </w:rPr>
      </w:pPr>
    </w:p>
    <w:p>
      <w:pPr>
        <w:ind w:left="420" w:hanging="418"/>
        <w:spacing w:after="0"/>
        <w:tabs>
          <w:tab w:leader="none" w:pos="4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BUILDING.</w:t>
      </w:r>
    </w:p>
    <w:p>
      <w:pPr>
        <w:spacing w:after="0" w:line="209" w:lineRule="exact"/>
        <w:rPr>
          <w:sz w:val="20"/>
          <w:szCs w:val="20"/>
          <w:color w:val="auto"/>
        </w:rPr>
      </w:pPr>
    </w:p>
    <w:p>
      <w:pPr>
        <w:ind w:right="500" w:firstLine="546"/>
        <w:spacing w:after="0" w:line="271"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Plans.</w:t>
      </w:r>
      <w:r>
        <w:rPr>
          <w:rFonts w:ascii="Arial" w:cs="Arial" w:eastAsia="Arial" w:hAnsi="Arial"/>
          <w:sz w:val="17"/>
          <w:szCs w:val="17"/>
          <w:color w:val="auto"/>
        </w:rPr>
        <w:t xml:space="preserve"> Landlord has prepared, based upon Tenant's architect's proposed preliminary plans, specifications and drawings, and Tenant has approved, the final plans and specifications (collectively, the "Final Plans") for the Building described as follows:</w:t>
      </w:r>
    </w:p>
    <w:p>
      <w:pPr>
        <w:spacing w:after="0" w:line="166" w:lineRule="exact"/>
        <w:rPr>
          <w:sz w:val="20"/>
          <w:szCs w:val="20"/>
          <w:color w:val="auto"/>
        </w:rPr>
      </w:pPr>
    </w:p>
    <w:p>
      <w:pPr>
        <w:ind w:left="1900" w:hanging="744"/>
        <w:spacing w:after="0"/>
        <w:tabs>
          <w:tab w:leader="none" w:pos="1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Site plan identified as Sheet C-3 prepared by Ryan Companies US, Inc. and approved by Tenant on July 30, 2007;</w:t>
      </w:r>
    </w:p>
    <w:p>
      <w:pPr>
        <w:spacing w:after="0" w:line="209" w:lineRule="exact"/>
        <w:rPr>
          <w:rFonts w:ascii="Arial" w:cs="Arial" w:eastAsia="Arial" w:hAnsi="Arial"/>
          <w:sz w:val="17"/>
          <w:szCs w:val="17"/>
          <w:color w:val="auto"/>
        </w:rPr>
      </w:pPr>
    </w:p>
    <w:p>
      <w:pPr>
        <w:ind w:left="1900" w:hanging="744"/>
        <w:spacing w:after="0"/>
        <w:tabs>
          <w:tab w:leader="none" w:pos="1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Floor plans identified as Sheet A-201 and A-202 prepared by Ryan Companies US, Inc. and approved by Tenant on July 30, 2007;</w:t>
      </w:r>
    </w:p>
    <w:p>
      <w:pPr>
        <w:spacing w:after="0" w:line="220" w:lineRule="exact"/>
        <w:rPr>
          <w:rFonts w:ascii="Arial" w:cs="Arial" w:eastAsia="Arial" w:hAnsi="Arial"/>
          <w:sz w:val="16"/>
          <w:szCs w:val="16"/>
          <w:color w:val="auto"/>
        </w:rPr>
      </w:pPr>
    </w:p>
    <w:p>
      <w:pPr>
        <w:ind w:left="1900" w:hanging="744"/>
        <w:spacing w:after="0"/>
        <w:tabs>
          <w:tab w:leader="none" w:pos="1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Elevations identified as Sheet A-301 prepared by Ryan Companies US, Inc. and approved by Tenant on July 30, 2007.</w:t>
      </w:r>
    </w:p>
    <w:p>
      <w:pPr>
        <w:spacing w:after="0" w:line="209" w:lineRule="exact"/>
        <w:rPr>
          <w:rFonts w:ascii="Arial" w:cs="Arial" w:eastAsia="Arial" w:hAnsi="Arial"/>
          <w:sz w:val="17"/>
          <w:szCs w:val="17"/>
          <w:color w:val="auto"/>
        </w:rPr>
      </w:pPr>
    </w:p>
    <w:p>
      <w:pPr>
        <w:ind w:left="1700" w:right="600" w:hanging="544"/>
        <w:spacing w:after="0" w:line="271" w:lineRule="auto"/>
        <w:tabs>
          <w:tab w:leader="none" w:pos="189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Shell specifications set forth in the Design/Build Scope Document for Shell Building Transoma Medical dated September 11, 2007 attached hereto as </w:t>
      </w:r>
      <w:r>
        <w:rPr>
          <w:rFonts w:ascii="Arial" w:cs="Arial" w:eastAsia="Arial" w:hAnsi="Arial"/>
          <w:sz w:val="17"/>
          <w:szCs w:val="17"/>
          <w:u w:val="single" w:color="auto"/>
          <w:color w:val="auto"/>
        </w:rPr>
        <w:t>Exhibit B-1.</w:t>
      </w:r>
    </w:p>
    <w:p>
      <w:pPr>
        <w:spacing w:after="0" w:line="166" w:lineRule="exact"/>
        <w:rPr>
          <w:sz w:val="20"/>
          <w:szCs w:val="20"/>
          <w:color w:val="auto"/>
        </w:rPr>
      </w:pPr>
    </w:p>
    <w:p>
      <w:pPr>
        <w:ind w:firstLine="546"/>
        <w:spacing w:after="0" w:line="277"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Construction.</w:t>
      </w:r>
      <w:r>
        <w:rPr>
          <w:rFonts w:ascii="Arial" w:cs="Arial" w:eastAsia="Arial" w:hAnsi="Arial"/>
          <w:sz w:val="16"/>
          <w:szCs w:val="16"/>
          <w:color w:val="auto"/>
        </w:rPr>
        <w:t xml:space="preserve"> Landlord shall with reasonable diligence construct, at Landlord's sole cost and expense, the Building substantially as shown on the Final Plans. Landlord's responsibility with respect to the construction and completion of the Building shall include obtaining all required governmental approvals, consents and permits. Landlord shall utilize contractors and subcontractors performing work at the Premises for the initial construction of the Building and Tenant Improvements that are recognized and approved by the Building Trades Council having jurisdiction over Minneapolis, Minnesota or the Premises.</w:t>
      </w:r>
    </w:p>
    <w:p>
      <w:pPr>
        <w:spacing w:after="0" w:line="163" w:lineRule="exact"/>
        <w:rPr>
          <w:sz w:val="20"/>
          <w:szCs w:val="20"/>
          <w:color w:val="auto"/>
        </w:rPr>
      </w:pPr>
    </w:p>
    <w:p>
      <w:pPr>
        <w:ind w:left="420" w:hanging="418"/>
        <w:spacing w:after="0"/>
        <w:tabs>
          <w:tab w:leader="none" w:pos="4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TENANT IMPROVEMENTS.</w:t>
      </w:r>
    </w:p>
    <w:p>
      <w:pPr>
        <w:spacing w:after="0" w:line="209" w:lineRule="exact"/>
        <w:rPr>
          <w:sz w:val="20"/>
          <w:szCs w:val="20"/>
          <w:color w:val="auto"/>
        </w:rPr>
      </w:pPr>
    </w:p>
    <w:p>
      <w:pPr>
        <w:ind w:firstLine="546"/>
        <w:spacing w:after="0" w:line="287"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Timing.</w:t>
      </w:r>
      <w:r>
        <w:rPr>
          <w:rFonts w:ascii="Arial" w:cs="Arial" w:eastAsia="Arial" w:hAnsi="Arial"/>
          <w:sz w:val="15"/>
          <w:szCs w:val="15"/>
          <w:color w:val="auto"/>
        </w:rPr>
        <w:t xml:space="preserve"> Landlord and Tenant shall cooperate with each other to the fullest extent necessary to ensure timely development of final plans and specifications for the tenant improvements to be constructed by Landlord within the Building as described in this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(the "Tenant Improvements") and the timely construction and installation of the Tenant Improvements. Tenant has previously delivered to Landlord preliminary drawings, plans and specifications for the Tenant Improvements prepared by Tenant's architect and Landlord and Tenant have mutually agreed upon the scope of the Tenant Improvements pursuant to a scoping document and preliminary interior plans for the space developed by the parties prior to execution of this Lease. Landlord and Tenant acknowledge their understanding that the time period for the preparation of the final plans by Landlord's architect for the Tenant Improvements ("Final Tenant Improvement Plans") and completion of construction of the Building is highly compressed, and that the parties' continued diligent, good faith efforts to cooperate in speedily completing and approving the Final Tenant Improvements Plans and any subsequent changes thereto is essential to meeting the Scheduled Commencement Date. The parties acknowledge that Tenant's timely approval of the Final Tenant Improvement Plans are essential to enable Landlord to deliver the Premises to Tenant Substantially Complete prior to the applicable deadline set forth in the Lease. Consequently, Tenant shall deliver its final approval of the Final Tenant Improvement Plans to Landlord no later than the following dates, time being of the essence, and any delay in timely delivering its approval to Landlord shall constitute a Tenant Delay: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382905</wp:posOffset>
            </wp:positionV>
            <wp:extent cx="7255510" cy="400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40"/>
          </w:cols>
          <w:pgMar w:left="300" w:top="355" w:right="259" w:bottom="1440" w:gutter="0" w:footer="0" w:header="0"/>
        </w:sectPr>
      </w:pPr>
    </w:p>
    <w:bookmarkStart w:id="140" w:name="page141"/>
    <w:bookmarkEnd w:id="140"/>
    <w:p>
      <w:pPr>
        <w:ind w:left="1340" w:hanging="724"/>
        <w:spacing w:after="0"/>
        <w:tabs>
          <w:tab w:leader="none" w:pos="1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Tenant shall approve the design development plans for the Final Tenant Improvement Plans not later than September 26, 2007; and</w:t>
      </w:r>
    </w:p>
    <w:p>
      <w:pPr>
        <w:spacing w:after="0" w:line="220" w:lineRule="exact"/>
        <w:rPr>
          <w:rFonts w:ascii="Arial" w:cs="Arial" w:eastAsia="Arial" w:hAnsi="Arial"/>
          <w:sz w:val="16"/>
          <w:szCs w:val="16"/>
          <w:color w:val="auto"/>
        </w:rPr>
      </w:pPr>
    </w:p>
    <w:p>
      <w:pPr>
        <w:ind w:right="380" w:firstLine="616"/>
        <w:spacing w:after="0" w:line="497" w:lineRule="auto"/>
        <w:tabs>
          <w:tab w:leader="none" w:pos="1349"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Tenant shall approve the final construction plan documents for the Final Tenant Improvement Plans not later than November 6, 2007. 2.2. </w:t>
      </w:r>
      <w:r>
        <w:rPr>
          <w:rFonts w:ascii="Arial" w:cs="Arial" w:eastAsia="Arial" w:hAnsi="Arial"/>
          <w:sz w:val="17"/>
          <w:szCs w:val="17"/>
          <w:u w:val="single" w:color="auto"/>
          <w:color w:val="auto"/>
        </w:rPr>
        <w:t>Intentionally Omitted.</w:t>
      </w:r>
    </w:p>
    <w:p>
      <w:pPr>
        <w:spacing w:after="0"/>
        <w:rPr>
          <w:rFonts w:ascii="Arial" w:cs="Arial" w:eastAsia="Arial" w:hAnsi="Arial"/>
          <w:sz w:val="17"/>
          <w:szCs w:val="17"/>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Bids.</w:t>
      </w:r>
    </w:p>
    <w:p>
      <w:pPr>
        <w:spacing w:after="0" w:line="209" w:lineRule="exact"/>
        <w:rPr>
          <w:sz w:val="20"/>
          <w:szCs w:val="20"/>
          <w:color w:val="auto"/>
        </w:rPr>
      </w:pPr>
    </w:p>
    <w:p>
      <w:pPr>
        <w:ind w:left="-600" w:firstLine="1216"/>
        <w:spacing w:after="0" w:line="286" w:lineRule="auto"/>
        <w:tabs>
          <w:tab w:leader="none" w:pos="1097" w:val="left"/>
        </w:tabs>
        <w:numPr>
          <w:ilvl w:val="0"/>
          <w:numId w:val="118"/>
        </w:numPr>
        <w:rPr>
          <w:rFonts w:ascii="Arial" w:cs="Arial" w:eastAsia="Arial" w:hAnsi="Arial"/>
          <w:sz w:val="15"/>
          <w:szCs w:val="15"/>
          <w:color w:val="auto"/>
        </w:rPr>
      </w:pPr>
      <w:r>
        <w:rPr>
          <w:rFonts w:ascii="Arial" w:cs="Arial" w:eastAsia="Arial" w:hAnsi="Arial"/>
          <w:sz w:val="15"/>
          <w:szCs w:val="15"/>
          <w:color w:val="auto"/>
        </w:rPr>
        <w:t xml:space="preserve">Upon Tenant's approval of the Final Tenant Improvement Plans, Landlord shall prepare the bid packages for the Tenant Improvements ("Tenant Improvement Bid Packages"). All aspects of the Tenant Improvement work will be competitively bid by Landlord's Contractor as set forth below unless otherwise consented to by Tenant. Tenant will not unreasonably withhold, delay or condition its consent to any request of Landlord to waive bidding on a case by case basis provided Landlord provides a reasonably supported justification for dispensing with competitive bidding in order for Landlord's Contractor to "self-perform" such aspect of work. Any such self-performed work by Landlord's Contractor shall be competitive with third party bids. Based upon the Tenant Improvement Bid Packages, Landlord shall obtain written bids for each element of the work from not less than three (3) responsible subcontractors and shall present such bids to Tenant for review. Although Landlord shall have the right to select the subcontractors invited to bid on any particular element of the work, Landlord shall also invite any subcontractors proposed by Tenant so long as such subcontractors (i) are financially responsible, (ii) are qualified to perform the work, and (iii) agree to comply with any safety rules reasonably imposed by Landlord. Within seven (7) working days after Tenant's receipt of Landlord's summary of the written bids and self-performed work (if any), including copies of each bids, the schedule of values for each bid and any other information reasonably requested by Tenant, for any element of the work, Tenant shall select the winning bid, it being understood that Tenant may but need not select the lowest bid for any particular element of the work. Upon such selection, Landlord shall accept such bids and enter into construction contracts and any related documents necessary for the performance of the work the subcontractor was selected to perform (collectively, for all subcontractors, the </w:t>
      </w:r>
      <w:r>
        <w:rPr>
          <w:rFonts w:ascii="Arial" w:cs="Arial" w:eastAsia="Arial" w:hAnsi="Arial"/>
          <w:sz w:val="15"/>
          <w:szCs w:val="15"/>
          <w:b w:val="1"/>
          <w:bCs w:val="1"/>
          <w:color w:val="auto"/>
        </w:rPr>
        <w:t>"Tenant Improvement Construction Documents").</w:t>
      </w:r>
      <w:r>
        <w:rPr>
          <w:rFonts w:ascii="Arial" w:cs="Arial" w:eastAsia="Arial" w:hAnsi="Arial"/>
          <w:sz w:val="15"/>
          <w:szCs w:val="15"/>
          <w:color w:val="auto"/>
        </w:rPr>
        <w:t xml:space="preserve"> Landlord shall provide copies of the Tenant Improvement Construction Documents to Tenant for Tenant's review and approval, which approval shall not be unreasonably withheld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382270</wp:posOffset>
            </wp:positionV>
            <wp:extent cx="7255510" cy="400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720"/>
          </w:cols>
          <w:pgMar w:left="840" w:top="329" w:right="339" w:bottom="1440" w:gutter="0" w:footer="0" w:header="0"/>
        </w:sectPr>
      </w:pPr>
    </w:p>
    <w:bookmarkStart w:id="141" w:name="page142"/>
    <w:bookmarkEnd w:id="141"/>
    <w:p>
      <w:pPr>
        <w:ind w:right="40" w:firstLine="1155"/>
        <w:spacing w:after="0" w:line="256" w:lineRule="auto"/>
        <w:tabs>
          <w:tab w:leader="none" w:pos="164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total estimated cost of the Tenant Improvements as set forth in the Tenant Improvement Construction Documents (the "Cost Estimate") shall reflect bids that are priced by Landlord on an individual item-by-item or trade-by-trade basis. Landlord and Tenant shall work together in good faith in an attempt to agree upon a mutually acceptable Cost Estimate as soon as reasonably possible. No cost may be included in the Cost Estimate or charged to the Tenant Improvement project unless approved by Tenant.</w:t>
      </w:r>
    </w:p>
    <w:p>
      <w:pPr>
        <w:spacing w:after="0" w:line="178" w:lineRule="exact"/>
        <w:rPr>
          <w:sz w:val="20"/>
          <w:szCs w:val="20"/>
          <w:color w:val="auto"/>
        </w:rPr>
      </w:pPr>
    </w:p>
    <w:p>
      <w:pPr>
        <w:ind w:firstLine="607"/>
        <w:spacing w:after="0" w:line="284"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Construction.</w:t>
      </w:r>
      <w:r>
        <w:rPr>
          <w:rFonts w:ascii="Arial" w:cs="Arial" w:eastAsia="Arial" w:hAnsi="Arial"/>
          <w:sz w:val="15"/>
          <w:szCs w:val="15"/>
          <w:color w:val="auto"/>
        </w:rPr>
        <w:t xml:space="preserve"> Upon approval by Landlord and Tenant of the Tenant Improvement Construction Documents and the Cost Estimate, Landlord shall proceed with reasonable diligence to cause the Tenant Improvements to be Substantially Completed on or prior to the Scheduled Commencement Date. Landlord's responsibility with respect to the construction and completion of the Tenant Improvements shall include obtaining all governmental approvals, consents and permits required for the construction and installation of the Tenant Improvements and Tenant's occupancy of the Premises. Unless otherwise specifically agreed to, Landlord shall provide and pay for all labor, materials, equipment, tools, construction equipment and machinery, water, heat and utilities, transportation and other facilities and services necessary for property execution and completion of the Tenant Improvements. Landlord shall supervise and direct the construction of the Tenant Improvements using the Landlord's best skills and attention and shall be fully responsible for and have control over construction means, methods, techniques, sequences and procedures for coordinating all portions of the work under the contract. Landlord shall provide full time supervision during the construction of the Tenant Improvements. Landlord shall take all prudent actions (not including overtime or premium time) to maintain progress of construction. Landlord shall review, approve and submit to Tenant's Architect shop drawings, product data, samples and submittals required by the contract documents and promptness and in sequence as to cause no delay in the progress of construction. Landlord shall take reasonable precautions for safety and shall provide reasonable protection to prevent damage, injury or loss. Landlord shall not change or amend the Tenant Improvement Construction Documents or the Cost Estimate or any subcontract without the prior written approval of Tenant, and Tenant shall not be responsible for any amounts by which the actual costs of completing the Tenant Improvements exceed the approved bid amounts or the Cost Estimate unless the change order or other amendment resulting in the cost overrun has received Tenant's prior written approval pursuant to Section 2.6 of this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The Tenant Improvements shall be deemed to be </w:t>
      </w:r>
      <w:r>
        <w:rPr>
          <w:rFonts w:ascii="Arial" w:cs="Arial" w:eastAsia="Arial" w:hAnsi="Arial"/>
          <w:sz w:val="15"/>
          <w:szCs w:val="15"/>
          <w:b w:val="1"/>
          <w:bCs w:val="1"/>
          <w:color w:val="auto"/>
        </w:rPr>
        <w:t>"Substantially Completed"</w:t>
      </w:r>
      <w:r>
        <w:rPr>
          <w:rFonts w:ascii="Arial" w:cs="Arial" w:eastAsia="Arial" w:hAnsi="Arial"/>
          <w:sz w:val="15"/>
          <w:szCs w:val="15"/>
          <w:color w:val="auto"/>
        </w:rPr>
        <w:t xml:space="preserve"> when they have been completed such that Tenant can occupy or utilize the Premises for their intended use. Substantial Completion shall not have occurred unless the following have occurred: Landlord has delivered the Premises, to Tenant in broom-clean condition subject only to Punch List items, a temporary certificate of occupancy or its equivalent permitting occupancy of such portion of the Premises improved with such Tenant Improvements has been issued by the City or other applicable governmental agency, the Premises are substantially complete and all essential Building Systems, including but not limited to, electrical, plumbing, heat, air conditioning systems, and their distribution into such portions of the Premises, are operational to the extent reasonably necessary to service the portion of the Premises covered by such Tenant Improvements. Landlord shall cause its contractor to immediately correct any construction defect or other "punch list" item, which Tenant brings to the Landlord's attention pursuant to Section 7.1 of the Lease. All such work shall be performed so as to reasonably minimize the interruption to Tenant and its activities on the Premises. (The definition of Substantially Completed shall also define the terms "Substantial Completion" and "Substantially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514985</wp:posOffset>
            </wp:positionV>
            <wp:extent cx="7255510" cy="400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40"/>
          </w:cols>
          <w:pgMar w:left="240" w:top="329" w:right="319" w:bottom="1440" w:gutter="0" w:footer="0" w:header="0"/>
        </w:sectPr>
      </w:pPr>
    </w:p>
    <w:bookmarkStart w:id="142" w:name="page143"/>
    <w:bookmarkEnd w:id="142"/>
    <w:p>
      <w:pPr>
        <w:ind w:left="540"/>
        <w:spacing w:after="0"/>
        <w:tabs>
          <w:tab w:leader="none" w:pos="116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u w:val="single" w:color="auto"/>
          <w:color w:val="auto"/>
        </w:rPr>
        <w:t>Cost of Tenant Improvements.</w:t>
      </w:r>
    </w:p>
    <w:p>
      <w:pPr>
        <w:spacing w:after="0" w:line="209" w:lineRule="exact"/>
        <w:rPr>
          <w:sz w:val="20"/>
          <w:szCs w:val="20"/>
          <w:color w:val="auto"/>
        </w:rPr>
      </w:pPr>
    </w:p>
    <w:p>
      <w:pPr>
        <w:ind w:right="40" w:firstLine="1156"/>
        <w:spacing w:after="0" w:line="286" w:lineRule="auto"/>
        <w:tabs>
          <w:tab w:leader="none" w:pos="1889" w:val="left"/>
        </w:tabs>
        <w:numPr>
          <w:ilvl w:val="0"/>
          <w:numId w:val="120"/>
        </w:numPr>
        <w:rPr>
          <w:rFonts w:ascii="Arial" w:cs="Arial" w:eastAsia="Arial" w:hAnsi="Arial"/>
          <w:sz w:val="15"/>
          <w:szCs w:val="15"/>
          <w:color w:val="auto"/>
        </w:rPr>
      </w:pPr>
      <w:r>
        <w:rPr>
          <w:rFonts w:ascii="Arial" w:cs="Arial" w:eastAsia="Arial" w:hAnsi="Arial"/>
          <w:sz w:val="15"/>
          <w:szCs w:val="15"/>
          <w:color w:val="auto"/>
        </w:rPr>
        <w:t>Landlord shall contribute $39.00 per square foot of Rentable Area in the Premises toward the cost of construction and installation of the Tenant Improvements (the "Tenant Improvements Allowance"). The Tenant Improvements Allowance may be used for all design, engineering and construction costs, and other fees and expenses reasonably related thereto, including telecommunications, consulting and project management fees, governmental fees. The balance, if any, of the cost of the Tenant Improvements as constructed ("Additional Cost"), including but not limited to Landlord's Markups, shall be paid by Tenant in accordance with this Section 2.5(a). If the cost of the design, construction and installation of the Tenant Improvements, including any Tenant approved Changes, exceeds $39.00 per rentable square foot, Landlord may deliver to Tenant, not more than once each calendar month during the construction schedule, a written request for payment ("Progress Invoice") of Tenant's prorata share of the Additional Cost to date. Each such Progress Invoice shall include and be accompanied by (i) the Landlord's certified statements setting forth the amount requested and the percentage of completion of each item of Additional Cost and (ii) copies of conditional and unconditional lien releases from all subcontractors and vendors as of the immediately prior Progress Invoice. Each Progress Invoice shall include retention of ten percent (10%) of the amount until Substantial Completion. Tenant shall pay the amount due, if any, pursuant to the Progress Invoice to Landlord, within fifteen (15) days after Tenant's receipt of the above items. All costs for Tenant Improvements shall be fully documented to and verified by Tenant. Tenant shall have the right to review and approve the Progress Invoice. If the actual cost of the Tenant Improvements as constructed is less than the Tenant Improvements Allowance (the "Savings"), Landlord shall apply the Savings to Base Rent installments in regular order of maturity.</w:t>
      </w:r>
    </w:p>
    <w:p>
      <w:pPr>
        <w:spacing w:after="0" w:line="162" w:lineRule="exact"/>
        <w:rPr>
          <w:rFonts w:ascii="Arial" w:cs="Arial" w:eastAsia="Arial" w:hAnsi="Arial"/>
          <w:sz w:val="15"/>
          <w:szCs w:val="15"/>
          <w:color w:val="auto"/>
        </w:rPr>
      </w:pPr>
    </w:p>
    <w:p>
      <w:pPr>
        <w:ind w:left="1900" w:hanging="744"/>
        <w:spacing w:after="0"/>
        <w:tabs>
          <w:tab w:leader="none" w:pos="19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Landlord shall receive a fee of seven percent (7%) of the cost of constructing the Tenant Improvements as Landlord's fee for overhead and</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profit.</w:t>
      </w:r>
    </w:p>
    <w:p>
      <w:pPr>
        <w:spacing w:after="0" w:line="198" w:lineRule="exact"/>
        <w:rPr>
          <w:sz w:val="20"/>
          <w:szCs w:val="20"/>
          <w:color w:val="auto"/>
        </w:rPr>
      </w:pPr>
    </w:p>
    <w:p>
      <w:pPr>
        <w:ind w:firstLine="546"/>
        <w:spacing w:after="0" w:line="289" w:lineRule="auto"/>
        <w:rPr>
          <w:sz w:val="20"/>
          <w:szCs w:val="20"/>
          <w:color w:val="auto"/>
        </w:rPr>
      </w:pPr>
      <w:r>
        <w:rPr>
          <w:rFonts w:ascii="Arial" w:cs="Arial" w:eastAsia="Arial" w:hAnsi="Arial"/>
          <w:sz w:val="15"/>
          <w:szCs w:val="15"/>
          <w:color w:val="auto"/>
        </w:rPr>
        <w:t xml:space="preserve">2.6 </w:t>
      </w:r>
      <w:r>
        <w:rPr>
          <w:rFonts w:ascii="Arial" w:cs="Arial" w:eastAsia="Arial" w:hAnsi="Arial"/>
          <w:sz w:val="15"/>
          <w:szCs w:val="15"/>
          <w:u w:val="single" w:color="auto"/>
          <w:color w:val="auto"/>
        </w:rPr>
        <w:t>Changes.</w:t>
      </w:r>
      <w:r>
        <w:rPr>
          <w:rFonts w:ascii="Arial" w:cs="Arial" w:eastAsia="Arial" w:hAnsi="Arial"/>
          <w:sz w:val="15"/>
          <w:szCs w:val="15"/>
          <w:color w:val="auto"/>
        </w:rPr>
        <w:t xml:space="preserve"> If Tenant requests any change, addition or alteration in or to any Tenant Improvement Final Plans (a "Change"), Tenant shall cause Tenant's Architect to prepare appropriate modifications to the Tenant Improvement Final Plans implementing the Change. Tenant shall pay the cost for the modification of the Tenant Improvement Final Plans to accommodate the Change. As soon as practicable after completion of such modification to the Tenant Improvement Final Plans, Landlord shall notify Tenant of the estimated cost of the Change and of any delay in Substantial Completion resulting from the Change. Within three (3) working days after receipt of such cost and delay estimate, including the schedule of values for each cost item and any other information reasonably requested by Tenant, Tenant shall notify Landlord in writing whether Tenant desires to proceed with the Change. If Tenant still desires the Change, Landlord shall proceed with the Change and Tenant shall be liable for any Additional Cost resulting from the Change. If Landlord or Tenant fails to give their approvals herein, construction of the Tenant Improvements shall proceed as provided in accordance with the original Tenant Improvement Construction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382905</wp:posOffset>
            </wp:positionV>
            <wp:extent cx="7255510" cy="40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20"/>
          </w:cols>
          <w:pgMar w:left="300" w:top="329" w:right="279" w:bottom="1440" w:gutter="0" w:footer="0" w:header="0"/>
        </w:sectPr>
      </w:pPr>
    </w:p>
    <w:bookmarkStart w:id="143" w:name="page144"/>
    <w:bookmarkEnd w:id="143"/>
    <w:p>
      <w:pPr>
        <w:ind w:firstLine="546"/>
        <w:spacing w:after="0" w:line="269"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Tenant Delay.</w:t>
      </w:r>
      <w:r>
        <w:rPr>
          <w:rFonts w:ascii="Arial" w:cs="Arial" w:eastAsia="Arial" w:hAnsi="Arial"/>
          <w:sz w:val="16"/>
          <w:szCs w:val="16"/>
          <w:color w:val="auto"/>
        </w:rPr>
        <w:t xml:space="preserve"> Tenant shall be responsible for, and shall pay to Landlord, any and all costs and expenses incurred by Landlord in connection with any delay in the commencement or completion of any Tenant Improvements that delays the Scheduled Commencement Date or the critical path of construction and any increase in the cost of the Tenant Improvements caused solely by (i) Tenant's failure to provide or approve any Final Tenant Improvement Plans, Tenant Improvement Construction Documents or cost estimates, or to select any winning bids, within the applicable time periods required herein, (ii) any delays in obtaining any items or materials constituting part of the Tenant Improvements requested by Tenant to the extent arising from Changes, (iii) any Changes, but only to the extent the delays associated with the Changes do not exceed the estimates provided to Tenant pursuant to paragraph 2.6 above, (iv) the use of any subcontractor selected by Tenant but only if Landlord advises Tenant in writing prior to final selection that such subcontractor would not otherwise have satisfied Landlord's qualification criteria, or (v) any other delay requested or caused by Tenant (collectively, "Tenant Delays"). Landlord shall promptly notify Tenant of any event that in Landlord's opinion constitutes a Tenant Delay.</w:t>
      </w:r>
    </w:p>
    <w:p>
      <w:pPr>
        <w:spacing w:after="0" w:line="169" w:lineRule="exact"/>
        <w:rPr>
          <w:sz w:val="20"/>
          <w:szCs w:val="20"/>
          <w:color w:val="auto"/>
        </w:rPr>
      </w:pPr>
    </w:p>
    <w:p>
      <w:pPr>
        <w:ind w:right="140" w:firstLine="546"/>
        <w:spacing w:after="0" w:line="260"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Ownership of Tenant Improvements.</w:t>
      </w:r>
      <w:r>
        <w:rPr>
          <w:rFonts w:ascii="Arial" w:cs="Arial" w:eastAsia="Arial" w:hAnsi="Arial"/>
          <w:sz w:val="17"/>
          <w:szCs w:val="17"/>
          <w:color w:val="auto"/>
        </w:rPr>
        <w:t xml:space="preserve"> All Tenant Improvements, whether installed by Landlord or Tenant, shall become a part of the Building, shall be the property of Landlord and, subject to the provisions of the Lease, shall be surrendered by Tenant with the Premises, without any compensation to Tenant, at the expiration or termination of the Lease in accordance with the provisions of the Lease.</w:t>
      </w:r>
    </w:p>
    <w:p>
      <w:pPr>
        <w:spacing w:after="0" w:line="174" w:lineRule="exact"/>
        <w:rPr>
          <w:sz w:val="20"/>
          <w:szCs w:val="20"/>
          <w:color w:val="auto"/>
        </w:rPr>
      </w:pPr>
    </w:p>
    <w:p>
      <w:pPr>
        <w:ind w:right="80" w:firstLine="546"/>
        <w:spacing w:after="0" w:line="293" w:lineRule="auto"/>
        <w:rPr>
          <w:sz w:val="20"/>
          <w:szCs w:val="20"/>
          <w:color w:val="auto"/>
        </w:rPr>
      </w:pPr>
      <w:r>
        <w:rPr>
          <w:rFonts w:ascii="Arial" w:cs="Arial" w:eastAsia="Arial" w:hAnsi="Arial"/>
          <w:sz w:val="15"/>
          <w:szCs w:val="15"/>
          <w:color w:val="auto"/>
        </w:rPr>
        <w:t xml:space="preserve">2.9 </w:t>
      </w:r>
      <w:r>
        <w:rPr>
          <w:rFonts w:ascii="Arial" w:cs="Arial" w:eastAsia="Arial" w:hAnsi="Arial"/>
          <w:sz w:val="15"/>
          <w:szCs w:val="15"/>
          <w:u w:val="single" w:color="auto"/>
          <w:color w:val="auto"/>
        </w:rPr>
        <w:t>Correction of Work.</w:t>
      </w:r>
      <w:r>
        <w:rPr>
          <w:rFonts w:ascii="Arial" w:cs="Arial" w:eastAsia="Arial" w:hAnsi="Arial"/>
          <w:sz w:val="15"/>
          <w:szCs w:val="15"/>
          <w:color w:val="auto"/>
        </w:rPr>
        <w:t xml:space="preserve"> If, within one (1) year after the date of Substantial Completion of the Tenant Improvements or designated portion thereof, any of the Tenant Improvements is found to be not in accordance with the requirements of the Final Construction Documents, Landlord shall correct the nonconformance promptly after receipt of written notice from Tenant to do so unless Tenant has previously given Landlord a specific written acceptance with respect to such condition. This period of one (1) year shall be extended with respect to portions of the Tenant Improvements first performed after Substantial Completion by the period of time between Substantial Completion and the actual performance of the work on such Tenant Improvements. The obligations of Landlord under this Section 2.9 shall survive acceptance of the Tenant Improvements by Tenant. Tenant shall give such notice promptly after discovery of the condition.</w:t>
      </w:r>
    </w:p>
    <w:p>
      <w:pPr>
        <w:spacing w:after="0" w:line="154" w:lineRule="exact"/>
        <w:rPr>
          <w:sz w:val="20"/>
          <w:szCs w:val="20"/>
          <w:color w:val="auto"/>
        </w:rPr>
      </w:pPr>
    </w:p>
    <w:p>
      <w:pPr>
        <w:ind w:left="420" w:hanging="418"/>
        <w:spacing w:after="0"/>
        <w:tabs>
          <w:tab w:leader="none" w:pos="4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PARTIES' REPRESENTATIVES.</w:t>
      </w:r>
    </w:p>
    <w:p>
      <w:pPr>
        <w:spacing w:after="0" w:line="209" w:lineRule="exact"/>
        <w:rPr>
          <w:sz w:val="20"/>
          <w:szCs w:val="20"/>
          <w:color w:val="auto"/>
        </w:rPr>
      </w:pPr>
    </w:p>
    <w:p>
      <w:pPr>
        <w:ind w:right="960" w:firstLine="546"/>
        <w:spacing w:after="0" w:line="27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Tenant's Representative.</w:t>
      </w:r>
      <w:r>
        <w:rPr>
          <w:rFonts w:ascii="Arial" w:cs="Arial" w:eastAsia="Arial" w:hAnsi="Arial"/>
          <w:sz w:val="17"/>
          <w:szCs w:val="17"/>
          <w:color w:val="auto"/>
        </w:rPr>
        <w:t xml:space="preserve"> Tenant designates Laurie Olson of Relocation Strategies, Inc. to act as Tenant's Representative with respect to all approvals, directions and authorizations pursuant to this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Construction Rider.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386715</wp:posOffset>
            </wp:positionV>
            <wp:extent cx="7255510" cy="40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00"/>
          </w:cols>
          <w:pgMar w:left="300" w:top="329" w:right="299" w:bottom="1440" w:gutter="0" w:footer="0" w:header="0"/>
        </w:sectPr>
      </w:pPr>
    </w:p>
    <w:bookmarkStart w:id="144" w:name="page145"/>
    <w:bookmarkEnd w:id="144"/>
    <w:p>
      <w:pPr>
        <w:ind w:firstLine="546"/>
        <w:spacing w:after="0" w:line="27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Landlord's Representative.</w:t>
      </w:r>
      <w:r>
        <w:rPr>
          <w:rFonts w:ascii="Arial" w:cs="Arial" w:eastAsia="Arial" w:hAnsi="Arial"/>
          <w:sz w:val="17"/>
          <w:szCs w:val="17"/>
          <w:color w:val="auto"/>
        </w:rPr>
        <w:t xml:space="preserve"> Landlord designates Mark Nordland, alone or together, to act as Landlord's Representative with respect to all approvals, directions and authorizations pursuant to this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Construction Rider.</w:t>
      </w:r>
    </w:p>
    <w:p>
      <w:pPr>
        <w:spacing w:after="0" w:line="166"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Change of Representative.</w:t>
      </w:r>
      <w:r>
        <w:rPr>
          <w:rFonts w:ascii="Arial" w:cs="Arial" w:eastAsia="Arial" w:hAnsi="Arial"/>
          <w:sz w:val="17"/>
          <w:szCs w:val="17"/>
          <w:color w:val="auto"/>
        </w:rPr>
        <w:t xml:space="preserve"> Either Landlord or Tenant may change its representative for the purposes of this Article 3 by giving written notice to the other party hereto in accordance with the terms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1157605</wp:posOffset>
            </wp:positionV>
            <wp:extent cx="7255510"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980"/>
          </w:cols>
          <w:pgMar w:left="300" w:top="329" w:right="619" w:bottom="1440" w:gutter="0" w:footer="0" w:header="0"/>
        </w:sectPr>
      </w:pPr>
    </w:p>
    <w:bookmarkStart w:id="145" w:name="page146"/>
    <w:bookmarkEnd w:id="145"/>
    <w:p>
      <w:pPr>
        <w:jc w:val="center"/>
        <w:ind w:right="-1220"/>
        <w:spacing w:after="0"/>
        <w:rPr>
          <w:sz w:val="20"/>
          <w:szCs w:val="20"/>
          <w:color w:val="auto"/>
        </w:rPr>
      </w:pPr>
      <w:r>
        <w:rPr>
          <w:rFonts w:ascii="Arial" w:cs="Arial" w:eastAsia="Arial" w:hAnsi="Arial"/>
          <w:sz w:val="17"/>
          <w:szCs w:val="17"/>
          <w:u w:val="single" w:color="auto"/>
          <w:color w:val="auto"/>
        </w:rPr>
        <w:t>EXHIBIT B-1</w:t>
      </w:r>
    </w:p>
    <w:p>
      <w:pPr>
        <w:spacing w:after="0" w:line="209" w:lineRule="exact"/>
        <w:rPr>
          <w:sz w:val="20"/>
          <w:szCs w:val="20"/>
          <w:color w:val="auto"/>
        </w:rPr>
      </w:pPr>
    </w:p>
    <w:p>
      <w:pPr>
        <w:jc w:val="right"/>
        <w:ind w:right="3559"/>
        <w:spacing w:after="0"/>
        <w:rPr>
          <w:sz w:val="20"/>
          <w:szCs w:val="20"/>
          <w:color w:val="auto"/>
        </w:rPr>
      </w:pPr>
      <w:r>
        <w:rPr>
          <w:rFonts w:ascii="Arial" w:cs="Arial" w:eastAsia="Arial" w:hAnsi="Arial"/>
          <w:sz w:val="17"/>
          <w:szCs w:val="17"/>
          <w:u w:val="single" w:color="auto"/>
          <w:color w:val="auto"/>
        </w:rPr>
        <w:t>SHELL SPECIFICATIONS</w:t>
      </w:r>
    </w:p>
    <w:p>
      <w:pPr>
        <w:spacing w:after="0" w:line="200" w:lineRule="exact"/>
        <w:rPr>
          <w:sz w:val="20"/>
          <w:szCs w:val="20"/>
          <w:color w:val="auto"/>
        </w:rPr>
      </w:pPr>
    </w:p>
    <w:p>
      <w:pPr>
        <w:spacing w:after="0" w:line="212"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DESIGN/BUILD</w:t>
      </w:r>
    </w:p>
    <w:p>
      <w:pPr>
        <w:spacing w:after="0" w:line="19"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SCOPE DOCUMENT</w:t>
      </w:r>
    </w:p>
    <w:p>
      <w:pPr>
        <w:spacing w:after="0" w:line="198"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for</w:t>
      </w:r>
    </w:p>
    <w:p>
      <w:pPr>
        <w:spacing w:after="0" w:line="209"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SHELL BUILDING</w:t>
      </w:r>
    </w:p>
    <w:p>
      <w:pPr>
        <w:spacing w:after="0" w:line="209"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TRANSOMA MEDICAL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u w:val="single" w:color="auto"/>
          <w:color w:val="auto"/>
        </w:rPr>
        <w:t>September 11,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542925</wp:posOffset>
            </wp:positionV>
            <wp:extent cx="7255510" cy="400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219"/>
          </w:cols>
          <w:pgMar w:left="240" w:top="330" w:right="1440" w:bottom="1440" w:gutter="0" w:footer="0" w:header="0"/>
        </w:sectPr>
      </w:pPr>
    </w:p>
    <w:bookmarkStart w:id="146" w:name="page147"/>
    <w:bookmarkEnd w:id="146"/>
    <w:p>
      <w:pPr>
        <w:jc w:val="right"/>
        <w:spacing w:after="0"/>
        <w:rPr>
          <w:sz w:val="20"/>
          <w:szCs w:val="20"/>
          <w:color w:val="auto"/>
        </w:rPr>
      </w:pPr>
      <w:r>
        <w:rPr>
          <w:rFonts w:ascii="Arial" w:cs="Arial" w:eastAsia="Arial" w:hAnsi="Arial"/>
          <w:sz w:val="17"/>
          <w:szCs w:val="17"/>
          <w:color w:val="auto"/>
        </w:rPr>
        <w:t>Page 2 of 13</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TABLE OF CONTENTS</w:t>
      </w:r>
    </w:p>
    <w:p>
      <w:pPr>
        <w:spacing w:after="0" w:line="209" w:lineRule="exact"/>
        <w:rPr>
          <w:sz w:val="20"/>
          <w:szCs w:val="20"/>
          <w:color w:val="auto"/>
        </w:rPr>
      </w:pPr>
    </w:p>
    <w:p>
      <w:pPr>
        <w:ind w:left="700" w:hanging="699"/>
        <w:spacing w:after="0"/>
        <w:tabs>
          <w:tab w:leader="none" w:pos="7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GENERAL REQUIREMENTS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6700" w:type="dxa"/>
            <w:vAlign w:val="bottom"/>
          </w:tcPr>
          <w:p>
            <w:pPr>
              <w:ind w:left="240"/>
              <w:spacing w:after="0"/>
              <w:rPr>
                <w:sz w:val="20"/>
                <w:szCs w:val="20"/>
                <w:color w:val="auto"/>
              </w:rPr>
            </w:pPr>
            <w:r>
              <w:rPr>
                <w:rFonts w:ascii="Arial" w:cs="Arial" w:eastAsia="Arial" w:hAnsi="Arial"/>
                <w:sz w:val="17"/>
                <w:szCs w:val="17"/>
                <w:color w:val="auto"/>
              </w:rPr>
              <w:t>A. INTENT</w:t>
            </w:r>
          </w:p>
        </w:tc>
        <w:tc>
          <w:tcPr>
            <w:tcW w:w="42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2"/>
        </w:trPr>
        <w:tc>
          <w:tcPr>
            <w:tcW w:w="460" w:type="dxa"/>
            <w:vAlign w:val="bottom"/>
          </w:tcPr>
          <w:p>
            <w:pPr>
              <w:spacing w:after="0"/>
              <w:rPr>
                <w:sz w:val="17"/>
                <w:szCs w:val="17"/>
                <w:color w:val="auto"/>
              </w:rPr>
            </w:pPr>
          </w:p>
        </w:tc>
        <w:tc>
          <w:tcPr>
            <w:tcW w:w="6700" w:type="dxa"/>
            <w:vAlign w:val="bottom"/>
          </w:tcPr>
          <w:p>
            <w:pPr>
              <w:ind w:left="240"/>
              <w:spacing w:after="0"/>
              <w:rPr>
                <w:sz w:val="20"/>
                <w:szCs w:val="20"/>
                <w:color w:val="auto"/>
              </w:rPr>
            </w:pPr>
            <w:r>
              <w:rPr>
                <w:rFonts w:ascii="Arial" w:cs="Arial" w:eastAsia="Arial" w:hAnsi="Arial"/>
                <w:sz w:val="17"/>
                <w:szCs w:val="17"/>
                <w:color w:val="auto"/>
              </w:rPr>
              <w:t>B. GENERAL PROJECT SCOPE</w:t>
            </w:r>
          </w:p>
        </w:tc>
        <w:tc>
          <w:tcPr>
            <w:tcW w:w="42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4"/>
        </w:trPr>
        <w:tc>
          <w:tcPr>
            <w:tcW w:w="46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7"/>
                <w:szCs w:val="17"/>
                <w:color w:val="auto"/>
              </w:rPr>
              <w:t>C. WARRANTY</w:t>
            </w:r>
          </w:p>
        </w:tc>
        <w:tc>
          <w:tcPr>
            <w:tcW w:w="42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93"/>
        </w:trPr>
        <w:tc>
          <w:tcPr>
            <w:tcW w:w="460" w:type="dxa"/>
            <w:vAlign w:val="bottom"/>
          </w:tcPr>
          <w:p>
            <w:pPr>
              <w:spacing w:after="0"/>
              <w:rPr>
                <w:sz w:val="20"/>
                <w:szCs w:val="20"/>
                <w:color w:val="auto"/>
              </w:rPr>
            </w:pPr>
            <w:r>
              <w:rPr>
                <w:rFonts w:ascii="Arial" w:cs="Arial" w:eastAsia="Arial" w:hAnsi="Arial"/>
                <w:sz w:val="17"/>
                <w:szCs w:val="17"/>
                <w:color w:val="auto"/>
              </w:rPr>
              <w:t>II.</w:t>
            </w:r>
          </w:p>
        </w:tc>
        <w:tc>
          <w:tcPr>
            <w:tcW w:w="6700" w:type="dxa"/>
            <w:vAlign w:val="bottom"/>
          </w:tcPr>
          <w:p>
            <w:pPr>
              <w:ind w:left="240"/>
              <w:spacing w:after="0"/>
              <w:rPr>
                <w:sz w:val="20"/>
                <w:szCs w:val="20"/>
                <w:color w:val="auto"/>
              </w:rPr>
            </w:pPr>
            <w:r>
              <w:rPr>
                <w:rFonts w:ascii="Arial" w:cs="Arial" w:eastAsia="Arial" w:hAnsi="Arial"/>
                <w:sz w:val="17"/>
                <w:szCs w:val="17"/>
                <w:color w:val="auto"/>
              </w:rPr>
              <w:t>BUILDING</w:t>
            </w:r>
          </w:p>
        </w:tc>
        <w:tc>
          <w:tcPr>
            <w:tcW w:w="42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2"/>
        </w:trPr>
        <w:tc>
          <w:tcPr>
            <w:tcW w:w="460" w:type="dxa"/>
            <w:vAlign w:val="bottom"/>
          </w:tcPr>
          <w:p>
            <w:pPr>
              <w:spacing w:after="0"/>
              <w:rPr>
                <w:sz w:val="17"/>
                <w:szCs w:val="17"/>
                <w:color w:val="auto"/>
              </w:rPr>
            </w:pPr>
          </w:p>
        </w:tc>
        <w:tc>
          <w:tcPr>
            <w:tcW w:w="6700" w:type="dxa"/>
            <w:vAlign w:val="bottom"/>
          </w:tcPr>
          <w:p>
            <w:pPr>
              <w:ind w:left="240"/>
              <w:spacing w:after="0"/>
              <w:rPr>
                <w:sz w:val="20"/>
                <w:szCs w:val="20"/>
                <w:color w:val="auto"/>
              </w:rPr>
            </w:pPr>
            <w:r>
              <w:rPr>
                <w:rFonts w:ascii="Arial" w:cs="Arial" w:eastAsia="Arial" w:hAnsi="Arial"/>
                <w:sz w:val="17"/>
                <w:szCs w:val="17"/>
                <w:color w:val="auto"/>
              </w:rPr>
              <w:t>A. SITEWORK</w:t>
            </w:r>
          </w:p>
        </w:tc>
        <w:tc>
          <w:tcPr>
            <w:tcW w:w="42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2"/>
        </w:trPr>
        <w:tc>
          <w:tcPr>
            <w:tcW w:w="460" w:type="dxa"/>
            <w:vAlign w:val="bottom"/>
          </w:tcPr>
          <w:p>
            <w:pPr>
              <w:spacing w:after="0"/>
              <w:rPr>
                <w:sz w:val="17"/>
                <w:szCs w:val="17"/>
                <w:color w:val="auto"/>
              </w:rPr>
            </w:pPr>
          </w:p>
        </w:tc>
        <w:tc>
          <w:tcPr>
            <w:tcW w:w="6700" w:type="dxa"/>
            <w:vAlign w:val="bottom"/>
          </w:tcPr>
          <w:p>
            <w:pPr>
              <w:ind w:left="240"/>
              <w:spacing w:after="0"/>
              <w:rPr>
                <w:sz w:val="20"/>
                <w:szCs w:val="20"/>
                <w:color w:val="auto"/>
              </w:rPr>
            </w:pPr>
            <w:r>
              <w:rPr>
                <w:rFonts w:ascii="Arial" w:cs="Arial" w:eastAsia="Arial" w:hAnsi="Arial"/>
                <w:sz w:val="17"/>
                <w:szCs w:val="17"/>
                <w:color w:val="auto"/>
              </w:rPr>
              <w:t>B. STRUCTURE</w:t>
            </w:r>
          </w:p>
        </w:tc>
        <w:tc>
          <w:tcPr>
            <w:tcW w:w="426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2"/>
        </w:trPr>
        <w:tc>
          <w:tcPr>
            <w:tcW w:w="460" w:type="dxa"/>
            <w:vAlign w:val="bottom"/>
          </w:tcPr>
          <w:p>
            <w:pPr>
              <w:spacing w:after="0"/>
              <w:rPr>
                <w:sz w:val="17"/>
                <w:szCs w:val="17"/>
                <w:color w:val="auto"/>
              </w:rPr>
            </w:pPr>
          </w:p>
        </w:tc>
        <w:tc>
          <w:tcPr>
            <w:tcW w:w="6700" w:type="dxa"/>
            <w:vAlign w:val="bottom"/>
          </w:tcPr>
          <w:p>
            <w:pPr>
              <w:ind w:left="240"/>
              <w:spacing w:after="0"/>
              <w:rPr>
                <w:sz w:val="20"/>
                <w:szCs w:val="20"/>
                <w:color w:val="auto"/>
              </w:rPr>
            </w:pPr>
            <w:r>
              <w:rPr>
                <w:rFonts w:ascii="Arial" w:cs="Arial" w:eastAsia="Arial" w:hAnsi="Arial"/>
                <w:sz w:val="17"/>
                <w:szCs w:val="17"/>
                <w:color w:val="auto"/>
              </w:rPr>
              <w:t>C. EXTERIOR ENCLOSURE</w:t>
            </w:r>
          </w:p>
        </w:tc>
        <w:tc>
          <w:tcPr>
            <w:tcW w:w="42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2"/>
        </w:trPr>
        <w:tc>
          <w:tcPr>
            <w:tcW w:w="460" w:type="dxa"/>
            <w:vAlign w:val="bottom"/>
          </w:tcPr>
          <w:p>
            <w:pPr>
              <w:spacing w:after="0"/>
              <w:rPr>
                <w:sz w:val="17"/>
                <w:szCs w:val="17"/>
                <w:color w:val="auto"/>
              </w:rPr>
            </w:pPr>
          </w:p>
        </w:tc>
        <w:tc>
          <w:tcPr>
            <w:tcW w:w="6700" w:type="dxa"/>
            <w:vAlign w:val="bottom"/>
          </w:tcPr>
          <w:p>
            <w:pPr>
              <w:ind w:left="240"/>
              <w:spacing w:after="0"/>
              <w:rPr>
                <w:sz w:val="20"/>
                <w:szCs w:val="20"/>
                <w:color w:val="auto"/>
              </w:rPr>
            </w:pPr>
            <w:r>
              <w:rPr>
                <w:rFonts w:ascii="Arial" w:cs="Arial" w:eastAsia="Arial" w:hAnsi="Arial"/>
                <w:sz w:val="17"/>
                <w:szCs w:val="17"/>
                <w:color w:val="auto"/>
              </w:rPr>
              <w:t>D. INTERIOR FINISHES</w:t>
            </w:r>
          </w:p>
        </w:tc>
        <w:tc>
          <w:tcPr>
            <w:tcW w:w="42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2"/>
        </w:trPr>
        <w:tc>
          <w:tcPr>
            <w:tcW w:w="460" w:type="dxa"/>
            <w:vAlign w:val="bottom"/>
          </w:tcPr>
          <w:p>
            <w:pPr>
              <w:spacing w:after="0"/>
              <w:rPr>
                <w:sz w:val="17"/>
                <w:szCs w:val="17"/>
                <w:color w:val="auto"/>
              </w:rPr>
            </w:pPr>
          </w:p>
        </w:tc>
        <w:tc>
          <w:tcPr>
            <w:tcW w:w="6700" w:type="dxa"/>
            <w:vAlign w:val="bottom"/>
          </w:tcPr>
          <w:p>
            <w:pPr>
              <w:ind w:left="240"/>
              <w:spacing w:after="0"/>
              <w:rPr>
                <w:sz w:val="20"/>
                <w:szCs w:val="20"/>
                <w:color w:val="auto"/>
              </w:rPr>
            </w:pPr>
            <w:r>
              <w:rPr>
                <w:rFonts w:ascii="Arial" w:cs="Arial" w:eastAsia="Arial" w:hAnsi="Arial"/>
                <w:sz w:val="17"/>
                <w:szCs w:val="17"/>
                <w:color w:val="auto"/>
              </w:rPr>
              <w:t>E. SPECIAL S YSTEMS</w:t>
            </w:r>
          </w:p>
        </w:tc>
        <w:tc>
          <w:tcPr>
            <w:tcW w:w="42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2"/>
        </w:trPr>
        <w:tc>
          <w:tcPr>
            <w:tcW w:w="460" w:type="dxa"/>
            <w:vAlign w:val="bottom"/>
          </w:tcPr>
          <w:p>
            <w:pPr>
              <w:spacing w:after="0"/>
              <w:rPr>
                <w:sz w:val="17"/>
                <w:szCs w:val="17"/>
                <w:color w:val="auto"/>
              </w:rPr>
            </w:pPr>
          </w:p>
        </w:tc>
        <w:tc>
          <w:tcPr>
            <w:tcW w:w="6700" w:type="dxa"/>
            <w:vAlign w:val="bottom"/>
          </w:tcPr>
          <w:p>
            <w:pPr>
              <w:ind w:left="240"/>
              <w:spacing w:after="0"/>
              <w:rPr>
                <w:sz w:val="20"/>
                <w:szCs w:val="20"/>
                <w:color w:val="auto"/>
              </w:rPr>
            </w:pPr>
            <w:r>
              <w:rPr>
                <w:rFonts w:ascii="Arial" w:cs="Arial" w:eastAsia="Arial" w:hAnsi="Arial"/>
                <w:sz w:val="17"/>
                <w:szCs w:val="17"/>
                <w:color w:val="auto"/>
              </w:rPr>
              <w:t>F. MECHANICAL SYSTEMS</w:t>
            </w:r>
          </w:p>
        </w:tc>
        <w:tc>
          <w:tcPr>
            <w:tcW w:w="42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4"/>
        </w:trPr>
        <w:tc>
          <w:tcPr>
            <w:tcW w:w="46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7"/>
                <w:szCs w:val="17"/>
                <w:color w:val="auto"/>
              </w:rPr>
              <w:t>G. ELECTRICAL SYSTEMS</w:t>
            </w:r>
          </w:p>
        </w:tc>
        <w:tc>
          <w:tcPr>
            <w:tcW w:w="42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405"/>
        </w:trPr>
        <w:tc>
          <w:tcPr>
            <w:tcW w:w="460" w:type="dxa"/>
            <w:vAlign w:val="bottom"/>
          </w:tcPr>
          <w:p>
            <w:pPr>
              <w:spacing w:after="0"/>
              <w:rPr>
                <w:sz w:val="20"/>
                <w:szCs w:val="20"/>
                <w:color w:val="auto"/>
              </w:rPr>
            </w:pPr>
            <w:r>
              <w:rPr>
                <w:rFonts w:ascii="Arial" w:cs="Arial" w:eastAsia="Arial" w:hAnsi="Arial"/>
                <w:sz w:val="17"/>
                <w:szCs w:val="17"/>
                <w:color w:val="auto"/>
              </w:rPr>
              <w:t>III.</w:t>
            </w:r>
          </w:p>
        </w:tc>
        <w:tc>
          <w:tcPr>
            <w:tcW w:w="6700" w:type="dxa"/>
            <w:vAlign w:val="bottom"/>
          </w:tcPr>
          <w:p>
            <w:pPr>
              <w:ind w:left="240"/>
              <w:spacing w:after="0"/>
              <w:rPr>
                <w:sz w:val="20"/>
                <w:szCs w:val="20"/>
                <w:color w:val="auto"/>
              </w:rPr>
            </w:pPr>
            <w:r>
              <w:rPr>
                <w:rFonts w:ascii="Arial" w:cs="Arial" w:eastAsia="Arial" w:hAnsi="Arial"/>
                <w:sz w:val="17"/>
                <w:szCs w:val="17"/>
                <w:color w:val="auto"/>
              </w:rPr>
              <w:t>EXCLUSIONS</w:t>
            </w:r>
          </w:p>
        </w:tc>
        <w:tc>
          <w:tcPr>
            <w:tcW w:w="42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1241"/>
        </w:trPr>
        <w:tc>
          <w:tcPr>
            <w:tcW w:w="4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63"/>
        </w:trPr>
        <w:tc>
          <w:tcPr>
            <w:tcW w:w="460" w:type="dxa"/>
            <w:vAlign w:val="bottom"/>
            <w:shd w:val="clear" w:color="auto" w:fill="000000"/>
          </w:tcPr>
          <w:p>
            <w:pPr>
              <w:spacing w:after="0"/>
              <w:rPr>
                <w:sz w:val="5"/>
                <w:szCs w:val="5"/>
                <w:color w:val="auto"/>
              </w:rPr>
            </w:pPr>
          </w:p>
        </w:tc>
        <w:tc>
          <w:tcPr>
            <w:tcW w:w="6700" w:type="dxa"/>
            <w:vAlign w:val="bottom"/>
            <w:shd w:val="clear" w:color="auto" w:fill="000000"/>
          </w:tcPr>
          <w:p>
            <w:pPr>
              <w:spacing w:after="0"/>
              <w:rPr>
                <w:sz w:val="5"/>
                <w:szCs w:val="5"/>
                <w:color w:val="auto"/>
              </w:rPr>
            </w:pPr>
          </w:p>
        </w:tc>
        <w:tc>
          <w:tcPr>
            <w:tcW w:w="42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228"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7"/>
          <w:szCs w:val="17"/>
          <w:color w:val="auto"/>
        </w:rPr>
        <w:t>Page 3 of 13</w:t>
      </w:r>
    </w:p>
    <w:p>
      <w:pPr>
        <w:spacing w:after="0" w:line="209" w:lineRule="exact"/>
        <w:rPr>
          <w:sz w:val="20"/>
          <w:szCs w:val="20"/>
          <w:color w:val="auto"/>
        </w:rPr>
      </w:pPr>
    </w:p>
    <w:p>
      <w:pPr>
        <w:ind w:left="480" w:right="8900" w:hanging="479"/>
        <w:spacing w:after="0" w:line="528" w:lineRule="auto"/>
        <w:tabs>
          <w:tab w:leader="none" w:pos="38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GENERAL REQUIREMENTS A. INTENT</w:t>
      </w:r>
    </w:p>
    <w:p>
      <w:pPr>
        <w:ind w:left="1380" w:right="620" w:hanging="417"/>
        <w:spacing w:after="0" w:line="271" w:lineRule="auto"/>
        <w:tabs>
          <w:tab w:leader="none" w:pos="1380" w:val="left"/>
        </w:tabs>
        <w:numPr>
          <w:ilvl w:val="2"/>
          <w:numId w:val="123"/>
        </w:numPr>
        <w:rPr>
          <w:rFonts w:ascii="Arial" w:cs="Arial" w:eastAsia="Arial" w:hAnsi="Arial"/>
          <w:sz w:val="17"/>
          <w:szCs w:val="17"/>
          <w:color w:val="auto"/>
        </w:rPr>
      </w:pPr>
      <w:r>
        <w:rPr>
          <w:rFonts w:ascii="Arial" w:cs="Arial" w:eastAsia="Arial" w:hAnsi="Arial"/>
          <w:sz w:val="17"/>
          <w:szCs w:val="17"/>
          <w:color w:val="auto"/>
        </w:rPr>
        <w:t>This scope document defines the general scope of work for the build to suit office building at the Northwest Quadrant Development in New Brighton, Minnesota utilizing the services of Ryan Companies US. Inc. (Design/Builder).</w:t>
      </w:r>
    </w:p>
    <w:p>
      <w:pPr>
        <w:spacing w:after="0" w:line="166"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7"/>
          <w:szCs w:val="17"/>
          <w:color w:val="auto"/>
        </w:rPr>
        <w:t>IL</w:t>
      </w:r>
      <w:r>
        <w:rPr>
          <w:sz w:val="20"/>
          <w:szCs w:val="20"/>
          <w:color w:val="auto"/>
        </w:rPr>
        <w:tab/>
      </w:r>
      <w:r>
        <w:rPr>
          <w:rFonts w:ascii="Arial" w:cs="Arial" w:eastAsia="Arial" w:hAnsi="Arial"/>
          <w:sz w:val="17"/>
          <w:szCs w:val="17"/>
          <w:color w:val="auto"/>
        </w:rPr>
        <w:t>GENERAL PROJECT SCOPE</w:t>
      </w:r>
    </w:p>
    <w:p>
      <w:pPr>
        <w:spacing w:after="0" w:line="209" w:lineRule="exact"/>
        <w:rPr>
          <w:sz w:val="20"/>
          <w:szCs w:val="20"/>
          <w:color w:val="auto"/>
        </w:rPr>
      </w:pPr>
    </w:p>
    <w:p>
      <w:pPr>
        <w:ind w:left="1400" w:hanging="427"/>
        <w:spacing w:after="0"/>
        <w:tabs>
          <w:tab w:leader="none" w:pos="14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general project scope is listed as follows:</w:t>
      </w:r>
    </w:p>
    <w:p>
      <w:pPr>
        <w:spacing w:after="0" w:line="209" w:lineRule="exact"/>
        <w:rPr>
          <w:rFonts w:ascii="Arial" w:cs="Arial" w:eastAsia="Arial" w:hAnsi="Arial"/>
          <w:sz w:val="17"/>
          <w:szCs w:val="17"/>
          <w:color w:val="auto"/>
        </w:rPr>
      </w:pPr>
    </w:p>
    <w:p>
      <w:pPr>
        <w:ind w:left="1940" w:hanging="484"/>
        <w:spacing w:after="0"/>
        <w:tabs>
          <w:tab w:leader="none" w:pos="194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Site Size 5.92 acres.</w:t>
      </w:r>
    </w:p>
    <w:p>
      <w:pPr>
        <w:spacing w:after="0" w:line="18" w:lineRule="exact"/>
        <w:rPr>
          <w:rFonts w:ascii="Arial" w:cs="Arial" w:eastAsia="Arial" w:hAnsi="Arial"/>
          <w:sz w:val="17"/>
          <w:szCs w:val="17"/>
          <w:color w:val="auto"/>
        </w:rPr>
      </w:pPr>
    </w:p>
    <w:p>
      <w:pPr>
        <w:ind w:left="1940" w:hanging="484"/>
        <w:spacing w:after="0"/>
        <w:tabs>
          <w:tab w:leader="none" w:pos="194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Gross Square Feet of Building 120,000 sf.</w:t>
      </w:r>
    </w:p>
    <w:p>
      <w:pPr>
        <w:spacing w:after="0" w:line="6" w:lineRule="exact"/>
        <w:rPr>
          <w:rFonts w:ascii="Arial" w:cs="Arial" w:eastAsia="Arial" w:hAnsi="Arial"/>
          <w:sz w:val="17"/>
          <w:szCs w:val="17"/>
          <w:color w:val="auto"/>
        </w:rPr>
      </w:pPr>
    </w:p>
    <w:p>
      <w:pPr>
        <w:ind w:left="1940" w:hanging="484"/>
        <w:spacing w:after="0"/>
        <w:tabs>
          <w:tab w:leader="none" w:pos="194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Rentable Square Feet approximately 114,000 rentable square feet.</w:t>
      </w:r>
    </w:p>
    <w:p>
      <w:pPr>
        <w:spacing w:after="0" w:line="6" w:lineRule="exact"/>
        <w:rPr>
          <w:rFonts w:ascii="Arial" w:cs="Arial" w:eastAsia="Arial" w:hAnsi="Arial"/>
          <w:sz w:val="17"/>
          <w:szCs w:val="17"/>
          <w:color w:val="auto"/>
        </w:rPr>
      </w:pPr>
    </w:p>
    <w:p>
      <w:pPr>
        <w:ind w:left="1940" w:hanging="484"/>
        <w:spacing w:after="0"/>
        <w:tabs>
          <w:tab w:leader="none" w:pos="194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Parking Provided:</w:t>
      </w:r>
    </w:p>
    <w:p>
      <w:pPr>
        <w:spacing w:after="0" w:line="6" w:lineRule="exact"/>
        <w:rPr>
          <w:rFonts w:ascii="Arial" w:cs="Arial" w:eastAsia="Arial" w:hAnsi="Arial"/>
          <w:sz w:val="17"/>
          <w:szCs w:val="17"/>
          <w:color w:val="auto"/>
        </w:rPr>
      </w:pPr>
    </w:p>
    <w:p>
      <w:pPr>
        <w:ind w:left="2340" w:hanging="395"/>
        <w:spacing w:after="0"/>
        <w:tabs>
          <w:tab w:leader="none" w:pos="2340" w:val="left"/>
        </w:tabs>
        <w:numPr>
          <w:ilvl w:val="2"/>
          <w:numId w:val="124"/>
        </w:numPr>
        <w:rPr>
          <w:rFonts w:ascii="Arial" w:cs="Arial" w:eastAsia="Arial" w:hAnsi="Arial"/>
          <w:sz w:val="17"/>
          <w:szCs w:val="17"/>
          <w:color w:val="auto"/>
        </w:rPr>
      </w:pPr>
      <w:r>
        <w:rPr>
          <w:rFonts w:ascii="Arial" w:cs="Arial" w:eastAsia="Arial" w:hAnsi="Arial"/>
          <w:sz w:val="17"/>
          <w:szCs w:val="17"/>
          <w:color w:val="auto"/>
        </w:rPr>
        <w:t>Automobile</w:t>
      </w:r>
    </w:p>
    <w:p>
      <w:pPr>
        <w:spacing w:after="0" w:line="7" w:lineRule="exact"/>
        <w:rPr>
          <w:sz w:val="20"/>
          <w:szCs w:val="20"/>
          <w:color w:val="auto"/>
        </w:rPr>
      </w:pPr>
    </w:p>
    <w:p>
      <w:pPr>
        <w:ind w:left="2440"/>
        <w:spacing w:after="0"/>
        <w:tabs>
          <w:tab w:leader="none" w:pos="2900" w:val="left"/>
          <w:tab w:leader="none" w:pos="384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Provided</w:t>
      </w:r>
      <w:r>
        <w:rPr>
          <w:sz w:val="20"/>
          <w:szCs w:val="20"/>
          <w:color w:val="auto"/>
        </w:rPr>
        <w:tab/>
      </w:r>
      <w:r>
        <w:rPr>
          <w:rFonts w:ascii="Arial" w:cs="Arial" w:eastAsia="Arial" w:hAnsi="Arial"/>
          <w:sz w:val="15"/>
          <w:szCs w:val="15"/>
          <w:color w:val="auto"/>
        </w:rPr>
        <w:t>453 (3.78/1000 gsf) stalls</w:t>
      </w:r>
    </w:p>
    <w:p>
      <w:pPr>
        <w:spacing w:after="0" w:line="198" w:lineRule="exact"/>
        <w:rPr>
          <w:sz w:val="20"/>
          <w:szCs w:val="20"/>
          <w:color w:val="auto"/>
        </w:rPr>
      </w:pPr>
    </w:p>
    <w:p>
      <w:pPr>
        <w:ind w:left="1400" w:hanging="427"/>
        <w:spacing w:after="0"/>
        <w:tabs>
          <w:tab w:leader="none" w:pos="140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Regulatory Requirements:</w:t>
      </w:r>
    </w:p>
    <w:p>
      <w:pPr>
        <w:spacing w:after="0" w:line="209" w:lineRule="exact"/>
        <w:rPr>
          <w:rFonts w:ascii="Arial" w:cs="Arial" w:eastAsia="Arial" w:hAnsi="Arial"/>
          <w:sz w:val="17"/>
          <w:szCs w:val="17"/>
          <w:color w:val="auto"/>
        </w:rPr>
      </w:pPr>
    </w:p>
    <w:p>
      <w:pPr>
        <w:ind w:left="1940" w:hanging="484"/>
        <w:spacing w:after="0"/>
        <w:tabs>
          <w:tab w:leader="none" w:pos="1940" w:val="left"/>
        </w:tabs>
        <w:numPr>
          <w:ilvl w:val="2"/>
          <w:numId w:val="125"/>
        </w:numPr>
        <w:rPr>
          <w:rFonts w:ascii="Arial" w:cs="Arial" w:eastAsia="Arial" w:hAnsi="Arial"/>
          <w:sz w:val="17"/>
          <w:szCs w:val="17"/>
          <w:color w:val="auto"/>
        </w:rPr>
      </w:pPr>
      <w:r>
        <w:rPr>
          <w:rFonts w:ascii="Arial" w:cs="Arial" w:eastAsia="Arial" w:hAnsi="Arial"/>
          <w:sz w:val="17"/>
          <w:szCs w:val="17"/>
          <w:color w:val="auto"/>
        </w:rPr>
        <w:t>Tenant shall he responsible to secure all permits relating to Tenant operations.</w:t>
      </w:r>
    </w:p>
    <w:p>
      <w:pPr>
        <w:spacing w:after="0" w:line="18" w:lineRule="exact"/>
        <w:rPr>
          <w:rFonts w:ascii="Arial" w:cs="Arial" w:eastAsia="Arial" w:hAnsi="Arial"/>
          <w:sz w:val="17"/>
          <w:szCs w:val="17"/>
          <w:color w:val="auto"/>
        </w:rPr>
      </w:pPr>
    </w:p>
    <w:p>
      <w:pPr>
        <w:ind w:left="1940" w:hanging="484"/>
        <w:spacing w:after="0"/>
        <w:tabs>
          <w:tab w:leader="none" w:pos="1940" w:val="left"/>
        </w:tabs>
        <w:numPr>
          <w:ilvl w:val="2"/>
          <w:numId w:val="125"/>
        </w:numPr>
        <w:rPr>
          <w:rFonts w:ascii="Arial" w:cs="Arial" w:eastAsia="Arial" w:hAnsi="Arial"/>
          <w:sz w:val="17"/>
          <w:szCs w:val="17"/>
          <w:color w:val="auto"/>
        </w:rPr>
      </w:pPr>
      <w:r>
        <w:rPr>
          <w:rFonts w:ascii="Arial" w:cs="Arial" w:eastAsia="Arial" w:hAnsi="Arial"/>
          <w:sz w:val="17"/>
          <w:szCs w:val="17"/>
          <w:color w:val="auto"/>
        </w:rPr>
        <w:t>Forty-two (46) SAC/WAC units are included in building shell.</w:t>
      </w:r>
    </w:p>
    <w:p>
      <w:pPr>
        <w:spacing w:after="0" w:line="6" w:lineRule="exact"/>
        <w:rPr>
          <w:rFonts w:ascii="Arial" w:cs="Arial" w:eastAsia="Arial" w:hAnsi="Arial"/>
          <w:sz w:val="17"/>
          <w:szCs w:val="17"/>
          <w:color w:val="auto"/>
        </w:rPr>
      </w:pPr>
    </w:p>
    <w:p>
      <w:pPr>
        <w:ind w:left="1940" w:hanging="484"/>
        <w:spacing w:after="0"/>
        <w:tabs>
          <w:tab w:leader="none" w:pos="1940" w:val="left"/>
        </w:tabs>
        <w:numPr>
          <w:ilvl w:val="2"/>
          <w:numId w:val="125"/>
        </w:numPr>
        <w:rPr>
          <w:rFonts w:ascii="Arial" w:cs="Arial" w:eastAsia="Arial" w:hAnsi="Arial"/>
          <w:sz w:val="16"/>
          <w:szCs w:val="16"/>
          <w:color w:val="auto"/>
        </w:rPr>
      </w:pPr>
      <w:r>
        <w:rPr>
          <w:rFonts w:ascii="Arial" w:cs="Arial" w:eastAsia="Arial" w:hAnsi="Arial"/>
          <w:sz w:val="16"/>
          <w:szCs w:val="16"/>
          <w:color w:val="auto"/>
        </w:rPr>
        <w:t>Additional SAC and WAC charges resulting from Tenant Improvements shall be paid for under the Tenant Improvement Costs.</w:t>
      </w:r>
    </w:p>
    <w:p>
      <w:pPr>
        <w:spacing w:after="0" w:line="209"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7"/>
          <w:szCs w:val="17"/>
          <w:color w:val="auto"/>
        </w:rPr>
        <w:t>C. WARRANTY</w:t>
      </w:r>
    </w:p>
    <w:p>
      <w:pPr>
        <w:spacing w:after="0" w:line="209" w:lineRule="exact"/>
        <w:rPr>
          <w:rFonts w:ascii="Arial" w:cs="Arial" w:eastAsia="Arial" w:hAnsi="Arial"/>
          <w:sz w:val="16"/>
          <w:szCs w:val="16"/>
          <w:color w:val="auto"/>
        </w:rPr>
      </w:pPr>
    </w:p>
    <w:p>
      <w:pPr>
        <w:ind w:left="1440" w:right="260" w:hanging="477"/>
        <w:spacing w:after="0" w:line="255" w:lineRule="auto"/>
        <w:tabs>
          <w:tab w:leader="none" w:pos="144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Design/Builder shall repair or replace any defective or faulty work for a period of one year from the date of substantial completion or certificate of occupancy, which ever is earlier.</w:t>
      </w:r>
    </w:p>
    <w:p>
      <w:pPr>
        <w:spacing w:after="0" w:line="1" w:lineRule="exact"/>
        <w:rPr>
          <w:rFonts w:ascii="Arial" w:cs="Arial" w:eastAsia="Arial" w:hAnsi="Arial"/>
          <w:sz w:val="17"/>
          <w:szCs w:val="17"/>
          <w:color w:val="auto"/>
        </w:rPr>
      </w:pPr>
    </w:p>
    <w:p>
      <w:pPr>
        <w:ind w:left="1440" w:right="280" w:hanging="477"/>
        <w:spacing w:after="0" w:line="257" w:lineRule="auto"/>
        <w:tabs>
          <w:tab w:leader="none" w:pos="144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10 months after substantial completion, Design/Builder and Developer will inspect the project and identify any defects which shall be corrected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393700</wp:posOffset>
            </wp:positionV>
            <wp:extent cx="7255510" cy="400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7"/>
          <w:szCs w:val="17"/>
          <w:color w:val="auto"/>
        </w:rPr>
        <w:t>Page 4 of 13</w:t>
      </w:r>
    </w:p>
    <w:p>
      <w:pPr>
        <w:spacing w:after="0" w:line="2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IL</w:t>
      </w:r>
      <w:r>
        <w:rPr>
          <w:sz w:val="20"/>
          <w:szCs w:val="20"/>
          <w:color w:val="auto"/>
        </w:rPr>
        <w:tab/>
      </w:r>
      <w:r>
        <w:rPr>
          <w:rFonts w:ascii="Arial" w:cs="Arial" w:eastAsia="Arial" w:hAnsi="Arial"/>
          <w:sz w:val="17"/>
          <w:szCs w:val="17"/>
          <w:color w:val="auto"/>
        </w:rPr>
        <w:t>BUILDING</w:t>
      </w:r>
    </w:p>
    <w:p>
      <w:pPr>
        <w:spacing w:after="0" w:line="209" w:lineRule="exact"/>
        <w:rPr>
          <w:sz w:val="20"/>
          <w:szCs w:val="20"/>
          <w:color w:val="auto"/>
        </w:rPr>
      </w:pPr>
    </w:p>
    <w:p>
      <w:pPr>
        <w:ind w:left="940" w:hanging="453"/>
        <w:spacing w:after="0"/>
        <w:tabs>
          <w:tab w:leader="none" w:pos="9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SITEWORK</w:t>
      </w:r>
    </w:p>
    <w:p>
      <w:pPr>
        <w:spacing w:after="0" w:line="209" w:lineRule="exact"/>
        <w:rPr>
          <w:rFonts w:ascii="Arial" w:cs="Arial" w:eastAsia="Arial" w:hAnsi="Arial"/>
          <w:sz w:val="17"/>
          <w:szCs w:val="17"/>
          <w:color w:val="auto"/>
        </w:rPr>
      </w:pPr>
    </w:p>
    <w:p>
      <w:pPr>
        <w:ind w:left="1400" w:hanging="427"/>
        <w:spacing w:after="0"/>
        <w:tabs>
          <w:tab w:leader="none" w:pos="140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Utilities.</w:t>
      </w:r>
    </w:p>
    <w:p>
      <w:pPr>
        <w:spacing w:after="0" w:line="209" w:lineRule="exact"/>
        <w:rPr>
          <w:rFonts w:ascii="Arial" w:cs="Arial" w:eastAsia="Arial" w:hAnsi="Arial"/>
          <w:sz w:val="17"/>
          <w:szCs w:val="17"/>
          <w:color w:val="auto"/>
        </w:rPr>
      </w:pPr>
    </w:p>
    <w:p>
      <w:pPr>
        <w:ind w:left="1880" w:hanging="421"/>
        <w:spacing w:after="0"/>
        <w:tabs>
          <w:tab w:leader="none" w:pos="188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Electrical Service.</w:t>
      </w:r>
    </w:p>
    <w:p>
      <w:pPr>
        <w:spacing w:after="0" w:line="209" w:lineRule="exact"/>
        <w:rPr>
          <w:rFonts w:ascii="Arial" w:cs="Arial" w:eastAsia="Arial" w:hAnsi="Arial"/>
          <w:sz w:val="17"/>
          <w:szCs w:val="17"/>
          <w:color w:val="auto"/>
        </w:rPr>
      </w:pPr>
    </w:p>
    <w:p>
      <w:pPr>
        <w:ind w:left="2420" w:hanging="483"/>
        <w:spacing w:after="0"/>
        <w:tabs>
          <w:tab w:leader="none" w:pos="2420" w:val="left"/>
        </w:tabs>
        <w:numPr>
          <w:ilvl w:val="3"/>
          <w:numId w:val="127"/>
        </w:numPr>
        <w:rPr>
          <w:rFonts w:ascii="Arial" w:cs="Arial" w:eastAsia="Arial" w:hAnsi="Arial"/>
          <w:sz w:val="17"/>
          <w:szCs w:val="17"/>
          <w:color w:val="auto"/>
        </w:rPr>
      </w:pPr>
      <w:r>
        <w:rPr>
          <w:rFonts w:ascii="Arial" w:cs="Arial" w:eastAsia="Arial" w:hAnsi="Arial"/>
          <w:sz w:val="17"/>
          <w:szCs w:val="17"/>
          <w:color w:val="auto"/>
        </w:rPr>
        <w:t>The serving electrical utility company will place and connect a transformer on the proposed site.</w:t>
      </w:r>
    </w:p>
    <w:p>
      <w:pPr>
        <w:spacing w:after="0" w:line="18" w:lineRule="exact"/>
        <w:rPr>
          <w:rFonts w:ascii="Arial" w:cs="Arial" w:eastAsia="Arial" w:hAnsi="Arial"/>
          <w:sz w:val="17"/>
          <w:szCs w:val="17"/>
          <w:color w:val="auto"/>
        </w:rPr>
      </w:pPr>
    </w:p>
    <w:p>
      <w:pPr>
        <w:ind w:left="2420" w:right="260" w:hanging="483"/>
        <w:spacing w:after="0" w:line="257" w:lineRule="auto"/>
        <w:tabs>
          <w:tab w:leader="none" w:pos="2420" w:val="left"/>
        </w:tabs>
        <w:numPr>
          <w:ilvl w:val="3"/>
          <w:numId w:val="127"/>
        </w:numPr>
        <w:rPr>
          <w:rFonts w:ascii="Arial" w:cs="Arial" w:eastAsia="Arial" w:hAnsi="Arial"/>
          <w:sz w:val="17"/>
          <w:szCs w:val="17"/>
          <w:color w:val="auto"/>
        </w:rPr>
      </w:pPr>
      <w:r>
        <w:rPr>
          <w:rFonts w:ascii="Arial" w:cs="Arial" w:eastAsia="Arial" w:hAnsi="Arial"/>
          <w:sz w:val="17"/>
          <w:szCs w:val="17"/>
          <w:color w:val="auto"/>
        </w:rPr>
        <w:t>Service size is 2000 amp at 480/277 volts. Four (4) 4" conduits are installed to provide an entrance for the primary and secondary feeders.</w:t>
      </w:r>
    </w:p>
    <w:p>
      <w:pPr>
        <w:spacing w:after="0" w:line="176" w:lineRule="exact"/>
        <w:rPr>
          <w:rFonts w:ascii="Arial" w:cs="Arial" w:eastAsia="Arial" w:hAnsi="Arial"/>
          <w:sz w:val="17"/>
          <w:szCs w:val="17"/>
          <w:color w:val="auto"/>
        </w:rPr>
      </w:pPr>
    </w:p>
    <w:p>
      <w:pPr>
        <w:ind w:left="1880" w:hanging="421"/>
        <w:spacing w:after="0"/>
        <w:tabs>
          <w:tab w:leader="none" w:pos="188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Gas Service.</w:t>
      </w:r>
    </w:p>
    <w:p>
      <w:pPr>
        <w:spacing w:after="0" w:line="209" w:lineRule="exact"/>
        <w:rPr>
          <w:rFonts w:ascii="Arial" w:cs="Arial" w:eastAsia="Arial" w:hAnsi="Arial"/>
          <w:sz w:val="17"/>
          <w:szCs w:val="17"/>
          <w:color w:val="auto"/>
        </w:rPr>
      </w:pPr>
    </w:p>
    <w:p>
      <w:pPr>
        <w:ind w:left="2420" w:hanging="483"/>
        <w:spacing w:after="0"/>
        <w:tabs>
          <w:tab w:leader="none" w:pos="2420" w:val="left"/>
        </w:tabs>
        <w:numPr>
          <w:ilvl w:val="3"/>
          <w:numId w:val="127"/>
        </w:numPr>
        <w:rPr>
          <w:rFonts w:ascii="Arial" w:cs="Arial" w:eastAsia="Arial" w:hAnsi="Arial"/>
          <w:sz w:val="17"/>
          <w:szCs w:val="17"/>
          <w:color w:val="auto"/>
        </w:rPr>
      </w:pPr>
      <w:r>
        <w:rPr>
          <w:rFonts w:ascii="Arial" w:cs="Arial" w:eastAsia="Arial" w:hAnsi="Arial"/>
          <w:sz w:val="17"/>
          <w:szCs w:val="17"/>
          <w:color w:val="auto"/>
        </w:rPr>
        <w:t>The serving gas utility company will place and connect a gas meter on the proposed site.</w:t>
      </w:r>
    </w:p>
    <w:p>
      <w:pPr>
        <w:spacing w:after="0" w:line="209" w:lineRule="exact"/>
        <w:rPr>
          <w:rFonts w:ascii="Arial" w:cs="Arial" w:eastAsia="Arial" w:hAnsi="Arial"/>
          <w:sz w:val="17"/>
          <w:szCs w:val="17"/>
          <w:color w:val="auto"/>
        </w:rPr>
      </w:pPr>
    </w:p>
    <w:p>
      <w:pPr>
        <w:ind w:left="1860" w:hanging="401"/>
        <w:spacing w:after="0"/>
        <w:tabs>
          <w:tab w:leader="none" w:pos="186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Telephone.</w:t>
      </w:r>
    </w:p>
    <w:p>
      <w:pPr>
        <w:spacing w:after="0" w:line="209" w:lineRule="exact"/>
        <w:rPr>
          <w:rFonts w:ascii="Arial" w:cs="Arial" w:eastAsia="Arial" w:hAnsi="Arial"/>
          <w:sz w:val="17"/>
          <w:szCs w:val="17"/>
          <w:color w:val="auto"/>
        </w:rPr>
      </w:pPr>
    </w:p>
    <w:p>
      <w:pPr>
        <w:ind w:left="2420" w:right="380" w:hanging="483"/>
        <w:spacing w:after="0" w:line="271" w:lineRule="auto"/>
        <w:tabs>
          <w:tab w:leader="none" w:pos="2420" w:val="left"/>
        </w:tabs>
        <w:numPr>
          <w:ilvl w:val="3"/>
          <w:numId w:val="127"/>
        </w:numPr>
        <w:rPr>
          <w:rFonts w:ascii="Arial" w:cs="Arial" w:eastAsia="Arial" w:hAnsi="Arial"/>
          <w:sz w:val="17"/>
          <w:szCs w:val="17"/>
          <w:color w:val="auto"/>
        </w:rPr>
      </w:pPr>
      <w:r>
        <w:rPr>
          <w:rFonts w:ascii="Arial" w:cs="Arial" w:eastAsia="Arial" w:hAnsi="Arial"/>
          <w:sz w:val="17"/>
          <w:szCs w:val="17"/>
          <w:color w:val="auto"/>
        </w:rPr>
        <w:t>The serving telephone utility company will bring telephone service line to the demarcation location in the building. Fiber optics and cable television shall be pulled by tenant if required.</w:t>
      </w:r>
    </w:p>
    <w:p>
      <w:pPr>
        <w:spacing w:after="0" w:line="165" w:lineRule="exact"/>
        <w:rPr>
          <w:rFonts w:ascii="Arial" w:cs="Arial" w:eastAsia="Arial" w:hAnsi="Arial"/>
          <w:sz w:val="17"/>
          <w:szCs w:val="17"/>
          <w:color w:val="auto"/>
        </w:rPr>
      </w:pPr>
    </w:p>
    <w:p>
      <w:pPr>
        <w:ind w:left="1880" w:hanging="421"/>
        <w:spacing w:after="0"/>
        <w:tabs>
          <w:tab w:leader="none" w:pos="188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Sanitary Sewer.</w:t>
      </w:r>
    </w:p>
    <w:p>
      <w:pPr>
        <w:spacing w:after="0" w:line="209" w:lineRule="exact"/>
        <w:rPr>
          <w:rFonts w:ascii="Arial" w:cs="Arial" w:eastAsia="Arial" w:hAnsi="Arial"/>
          <w:sz w:val="17"/>
          <w:szCs w:val="17"/>
          <w:color w:val="auto"/>
        </w:rPr>
      </w:pPr>
    </w:p>
    <w:p>
      <w:pPr>
        <w:ind w:left="2420" w:right="180" w:hanging="483"/>
        <w:spacing w:after="0" w:line="271" w:lineRule="auto"/>
        <w:tabs>
          <w:tab w:leader="none" w:pos="2420" w:val="left"/>
        </w:tabs>
        <w:numPr>
          <w:ilvl w:val="3"/>
          <w:numId w:val="127"/>
        </w:numPr>
        <w:rPr>
          <w:rFonts w:ascii="Arial" w:cs="Arial" w:eastAsia="Arial" w:hAnsi="Arial"/>
          <w:sz w:val="17"/>
          <w:szCs w:val="17"/>
          <w:color w:val="auto"/>
        </w:rPr>
      </w:pPr>
      <w:r>
        <w:rPr>
          <w:rFonts w:ascii="Arial" w:cs="Arial" w:eastAsia="Arial" w:hAnsi="Arial"/>
          <w:sz w:val="17"/>
          <w:szCs w:val="17"/>
          <w:color w:val="auto"/>
        </w:rPr>
        <w:t>Sanitary sewer service will be provided complete including connection to the sewer main in the street and an on-site sewer main to the building.</w:t>
      </w:r>
    </w:p>
    <w:p>
      <w:pPr>
        <w:spacing w:after="0" w:line="165" w:lineRule="exact"/>
        <w:rPr>
          <w:rFonts w:ascii="Arial" w:cs="Arial" w:eastAsia="Arial" w:hAnsi="Arial"/>
          <w:sz w:val="17"/>
          <w:szCs w:val="17"/>
          <w:color w:val="auto"/>
        </w:rPr>
      </w:pPr>
    </w:p>
    <w:p>
      <w:pPr>
        <w:ind w:left="1860" w:hanging="401"/>
        <w:spacing w:after="0"/>
        <w:tabs>
          <w:tab w:leader="none" w:pos="186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Water.</w:t>
      </w:r>
    </w:p>
    <w:p>
      <w:pPr>
        <w:spacing w:after="0" w:line="209" w:lineRule="exact"/>
        <w:rPr>
          <w:rFonts w:ascii="Arial" w:cs="Arial" w:eastAsia="Arial" w:hAnsi="Arial"/>
          <w:sz w:val="17"/>
          <w:szCs w:val="17"/>
          <w:color w:val="auto"/>
        </w:rPr>
      </w:pPr>
    </w:p>
    <w:p>
      <w:pPr>
        <w:jc w:val="both"/>
        <w:ind w:left="2420" w:right="200" w:hanging="483"/>
        <w:spacing w:after="0" w:line="260" w:lineRule="auto"/>
        <w:tabs>
          <w:tab w:leader="none" w:pos="2420" w:val="left"/>
        </w:tabs>
        <w:numPr>
          <w:ilvl w:val="3"/>
          <w:numId w:val="127"/>
        </w:numPr>
        <w:rPr>
          <w:rFonts w:ascii="Arial" w:cs="Arial" w:eastAsia="Arial" w:hAnsi="Arial"/>
          <w:sz w:val="17"/>
          <w:szCs w:val="17"/>
          <w:color w:val="auto"/>
        </w:rPr>
      </w:pPr>
      <w:r>
        <w:rPr>
          <w:rFonts w:ascii="Arial" w:cs="Arial" w:eastAsia="Arial" w:hAnsi="Arial"/>
          <w:sz w:val="17"/>
          <w:szCs w:val="17"/>
          <w:color w:val="auto"/>
        </w:rPr>
        <w:t>Water service will be provided to the building for domestic water and fire protection systems complete including connection to the water main in the street and on-site water main to the building, In addition, water mains and fire hydrants will be provided for fire service as required by the local Fire Marshall.</w:t>
      </w:r>
    </w:p>
    <w:p>
      <w:pPr>
        <w:spacing w:after="0" w:line="174" w:lineRule="exact"/>
        <w:rPr>
          <w:rFonts w:ascii="Arial" w:cs="Arial" w:eastAsia="Arial" w:hAnsi="Arial"/>
          <w:sz w:val="17"/>
          <w:szCs w:val="17"/>
          <w:color w:val="auto"/>
        </w:rPr>
      </w:pPr>
    </w:p>
    <w:p>
      <w:pPr>
        <w:ind w:left="1860" w:hanging="401"/>
        <w:spacing w:after="0"/>
        <w:tabs>
          <w:tab w:leader="none" w:pos="186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Storm Sewer.</w:t>
      </w:r>
    </w:p>
    <w:p>
      <w:pPr>
        <w:spacing w:after="0" w:line="209" w:lineRule="exact"/>
        <w:rPr>
          <w:rFonts w:ascii="Arial" w:cs="Arial" w:eastAsia="Arial" w:hAnsi="Arial"/>
          <w:sz w:val="17"/>
          <w:szCs w:val="17"/>
          <w:color w:val="auto"/>
        </w:rPr>
      </w:pPr>
    </w:p>
    <w:p>
      <w:pPr>
        <w:ind w:left="2420" w:right="140" w:hanging="483"/>
        <w:spacing w:after="0" w:line="271" w:lineRule="auto"/>
        <w:tabs>
          <w:tab w:leader="none" w:pos="2420" w:val="left"/>
        </w:tabs>
        <w:numPr>
          <w:ilvl w:val="3"/>
          <w:numId w:val="127"/>
        </w:numPr>
        <w:rPr>
          <w:rFonts w:ascii="Arial" w:cs="Arial" w:eastAsia="Arial" w:hAnsi="Arial"/>
          <w:sz w:val="17"/>
          <w:szCs w:val="17"/>
          <w:color w:val="auto"/>
        </w:rPr>
      </w:pPr>
      <w:r>
        <w:rPr>
          <w:rFonts w:ascii="Arial" w:cs="Arial" w:eastAsia="Arial" w:hAnsi="Arial"/>
          <w:sz w:val="17"/>
          <w:szCs w:val="17"/>
          <w:color w:val="auto"/>
        </w:rPr>
        <w:t>Provisions will be made for the proper drainage of storm water from roof, parking, drive and landscaped areas. Storm drainage will be piped to the overall development's storm system.</w:t>
      </w:r>
    </w:p>
    <w:p>
      <w:pPr>
        <w:spacing w:after="0" w:line="165" w:lineRule="exact"/>
        <w:rPr>
          <w:rFonts w:ascii="Arial" w:cs="Arial" w:eastAsia="Arial" w:hAnsi="Arial"/>
          <w:sz w:val="17"/>
          <w:szCs w:val="17"/>
          <w:color w:val="auto"/>
        </w:rPr>
      </w:pPr>
    </w:p>
    <w:p>
      <w:pPr>
        <w:ind w:left="1400" w:hanging="427"/>
        <w:spacing w:after="0"/>
        <w:tabs>
          <w:tab w:leader="none" w:pos="140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Bituminous and Concrete Paving.</w:t>
      </w:r>
    </w:p>
    <w:p>
      <w:pPr>
        <w:spacing w:after="0" w:line="209" w:lineRule="exact"/>
        <w:rPr>
          <w:rFonts w:ascii="Arial" w:cs="Arial" w:eastAsia="Arial" w:hAnsi="Arial"/>
          <w:sz w:val="17"/>
          <w:szCs w:val="17"/>
          <w:color w:val="auto"/>
        </w:rPr>
      </w:pPr>
    </w:p>
    <w:p>
      <w:pPr>
        <w:ind w:left="1880" w:hanging="421"/>
        <w:spacing w:after="0"/>
        <w:tabs>
          <w:tab w:leader="none" w:pos="188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Bituminous Paving.</w:t>
      </w:r>
    </w:p>
    <w:p>
      <w:pPr>
        <w:spacing w:after="0" w:line="209" w:lineRule="exact"/>
        <w:rPr>
          <w:rFonts w:ascii="Arial" w:cs="Arial" w:eastAsia="Arial" w:hAnsi="Arial"/>
          <w:sz w:val="17"/>
          <w:szCs w:val="17"/>
          <w:color w:val="auto"/>
        </w:rPr>
      </w:pPr>
    </w:p>
    <w:p>
      <w:pPr>
        <w:ind w:left="2420" w:hanging="483"/>
        <w:spacing w:after="0"/>
        <w:tabs>
          <w:tab w:leader="none" w:pos="2420" w:val="left"/>
        </w:tabs>
        <w:numPr>
          <w:ilvl w:val="3"/>
          <w:numId w:val="127"/>
        </w:numPr>
        <w:rPr>
          <w:rFonts w:ascii="Arial" w:cs="Arial" w:eastAsia="Arial" w:hAnsi="Arial"/>
          <w:sz w:val="17"/>
          <w:szCs w:val="17"/>
          <w:color w:val="auto"/>
        </w:rPr>
      </w:pPr>
      <w:r>
        <w:rPr>
          <w:rFonts w:ascii="Arial" w:cs="Arial" w:eastAsia="Arial" w:hAnsi="Arial"/>
          <w:sz w:val="17"/>
          <w:szCs w:val="17"/>
          <w:color w:val="auto"/>
        </w:rPr>
        <w:t>Bituminous paving will be provided complete including curb cuts and driveways.</w:t>
      </w:r>
    </w:p>
    <w:p>
      <w:pPr>
        <w:spacing w:after="0" w:line="209" w:lineRule="exact"/>
        <w:rPr>
          <w:rFonts w:ascii="Arial" w:cs="Arial" w:eastAsia="Arial" w:hAnsi="Arial"/>
          <w:sz w:val="17"/>
          <w:szCs w:val="17"/>
          <w:color w:val="auto"/>
        </w:rPr>
      </w:pPr>
    </w:p>
    <w:p>
      <w:pPr>
        <w:ind w:left="2420" w:right="80" w:hanging="483"/>
        <w:spacing w:after="0" w:line="260" w:lineRule="auto"/>
        <w:tabs>
          <w:tab w:leader="none" w:pos="2420" w:val="left"/>
        </w:tabs>
        <w:numPr>
          <w:ilvl w:val="3"/>
          <w:numId w:val="127"/>
        </w:numPr>
        <w:rPr>
          <w:rFonts w:ascii="Arial" w:cs="Arial" w:eastAsia="Arial" w:hAnsi="Arial"/>
          <w:sz w:val="17"/>
          <w:szCs w:val="17"/>
          <w:color w:val="auto"/>
        </w:rPr>
      </w:pPr>
      <w:r>
        <w:rPr>
          <w:rFonts w:ascii="Arial" w:cs="Arial" w:eastAsia="Arial" w:hAnsi="Arial"/>
          <w:sz w:val="17"/>
          <w:szCs w:val="17"/>
          <w:color w:val="auto"/>
        </w:rPr>
        <w:t>Paved areas subject to heavy truck traffic will consist of 8" of aggregate base and 4" of bituminous surface. Paved areas subject to light truck and car traffic consist of 6" of aggregate base and 3" of bituminous surface. Parking area striping and traffic markings are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391795</wp:posOffset>
            </wp:positionV>
            <wp:extent cx="7255510" cy="400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7"/>
          <w:szCs w:val="17"/>
          <w:color w:val="auto"/>
        </w:rPr>
        <w:t>Page 5 of 13</w:t>
      </w:r>
    </w:p>
    <w:p>
      <w:pPr>
        <w:spacing w:after="0" w:line="209" w:lineRule="exact"/>
        <w:rPr>
          <w:sz w:val="20"/>
          <w:szCs w:val="20"/>
          <w:color w:val="auto"/>
        </w:rPr>
      </w:pPr>
    </w:p>
    <w:p>
      <w:pPr>
        <w:ind w:left="1400" w:hanging="427"/>
        <w:spacing w:after="0"/>
        <w:tabs>
          <w:tab w:leader="none" w:pos="1400" w:val="left"/>
        </w:tabs>
        <w:numPr>
          <w:ilvl w:val="3"/>
          <w:numId w:val="128"/>
        </w:numPr>
        <w:rPr>
          <w:rFonts w:ascii="Arial" w:cs="Arial" w:eastAsia="Arial" w:hAnsi="Arial"/>
          <w:sz w:val="17"/>
          <w:szCs w:val="17"/>
          <w:color w:val="auto"/>
        </w:rPr>
      </w:pPr>
      <w:r>
        <w:rPr>
          <w:rFonts w:ascii="Arial" w:cs="Arial" w:eastAsia="Arial" w:hAnsi="Arial"/>
          <w:sz w:val="17"/>
          <w:szCs w:val="17"/>
          <w:color w:val="auto"/>
        </w:rPr>
        <w:t>Concrete Paving.</w:t>
      </w:r>
    </w:p>
    <w:p>
      <w:pPr>
        <w:spacing w:after="0" w:line="209" w:lineRule="exact"/>
        <w:rPr>
          <w:rFonts w:ascii="Arial" w:cs="Arial" w:eastAsia="Arial" w:hAnsi="Arial"/>
          <w:sz w:val="17"/>
          <w:szCs w:val="17"/>
          <w:color w:val="auto"/>
        </w:rPr>
      </w:pPr>
    </w:p>
    <w:p>
      <w:pPr>
        <w:ind w:left="1940" w:hanging="484"/>
        <w:spacing w:after="0"/>
        <w:tabs>
          <w:tab w:leader="none" w:pos="1940" w:val="left"/>
        </w:tabs>
        <w:numPr>
          <w:ilvl w:val="4"/>
          <w:numId w:val="128"/>
        </w:numPr>
        <w:rPr>
          <w:rFonts w:ascii="Arial" w:cs="Arial" w:eastAsia="Arial" w:hAnsi="Arial"/>
          <w:sz w:val="17"/>
          <w:szCs w:val="17"/>
          <w:color w:val="auto"/>
        </w:rPr>
      </w:pPr>
      <w:r>
        <w:rPr>
          <w:rFonts w:ascii="Arial" w:cs="Arial" w:eastAsia="Arial" w:hAnsi="Arial"/>
          <w:sz w:val="17"/>
          <w:szCs w:val="17"/>
          <w:color w:val="auto"/>
        </w:rPr>
        <w:t>Cast-in-place concrete curb and gutter (B612) will be provided at the perimeter of all paved parking and drive areas.</w:t>
      </w:r>
    </w:p>
    <w:p>
      <w:pPr>
        <w:spacing w:after="0" w:line="18" w:lineRule="exact"/>
        <w:rPr>
          <w:rFonts w:ascii="Arial" w:cs="Arial" w:eastAsia="Arial" w:hAnsi="Arial"/>
          <w:sz w:val="17"/>
          <w:szCs w:val="17"/>
          <w:color w:val="auto"/>
        </w:rPr>
      </w:pPr>
    </w:p>
    <w:p>
      <w:pPr>
        <w:ind w:left="1940" w:right="480" w:hanging="484"/>
        <w:spacing w:after="0" w:line="248" w:lineRule="auto"/>
        <w:tabs>
          <w:tab w:leader="none" w:pos="1940" w:val="left"/>
        </w:tabs>
        <w:numPr>
          <w:ilvl w:val="4"/>
          <w:numId w:val="128"/>
        </w:numPr>
        <w:rPr>
          <w:rFonts w:ascii="Arial" w:cs="Arial" w:eastAsia="Arial" w:hAnsi="Arial"/>
          <w:sz w:val="17"/>
          <w:szCs w:val="17"/>
          <w:color w:val="auto"/>
        </w:rPr>
      </w:pPr>
      <w:r>
        <w:rPr>
          <w:rFonts w:ascii="Arial" w:cs="Arial" w:eastAsia="Arial" w:hAnsi="Arial"/>
          <w:sz w:val="17"/>
          <w:szCs w:val="17"/>
          <w:color w:val="auto"/>
        </w:rPr>
        <w:t>Sidewalks are constructed with 4000 p.s.i., air entrained, non-reinforced concrete. Sidewalks shall be broom finished unless indicated otherwise on the drawings.</w:t>
      </w:r>
    </w:p>
    <w:p>
      <w:pPr>
        <w:ind w:left="1940" w:hanging="484"/>
        <w:spacing w:after="0"/>
        <w:tabs>
          <w:tab w:leader="none" w:pos="1940" w:val="left"/>
        </w:tabs>
        <w:numPr>
          <w:ilvl w:val="4"/>
          <w:numId w:val="128"/>
        </w:numPr>
        <w:rPr>
          <w:rFonts w:ascii="Arial" w:cs="Arial" w:eastAsia="Arial" w:hAnsi="Arial"/>
          <w:sz w:val="17"/>
          <w:szCs w:val="17"/>
          <w:color w:val="auto"/>
        </w:rPr>
      </w:pPr>
      <w:r>
        <w:rPr>
          <w:rFonts w:ascii="Arial" w:cs="Arial" w:eastAsia="Arial" w:hAnsi="Arial"/>
          <w:sz w:val="17"/>
          <w:szCs w:val="17"/>
          <w:color w:val="auto"/>
        </w:rPr>
        <w:t>Pedestrian ramps are provided at sidewalks.</w:t>
      </w:r>
    </w:p>
    <w:p>
      <w:pPr>
        <w:spacing w:after="0" w:line="197" w:lineRule="exact"/>
        <w:rPr>
          <w:rFonts w:ascii="Arial" w:cs="Arial" w:eastAsia="Arial" w:hAnsi="Arial"/>
          <w:sz w:val="17"/>
          <w:szCs w:val="17"/>
          <w:color w:val="auto"/>
        </w:rPr>
      </w:pPr>
    </w:p>
    <w:p>
      <w:pPr>
        <w:ind w:left="900" w:hanging="413"/>
        <w:spacing w:after="0"/>
        <w:tabs>
          <w:tab w:leader="none" w:pos="90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Landscaping.</w:t>
      </w:r>
    </w:p>
    <w:p>
      <w:pPr>
        <w:spacing w:after="0" w:line="209" w:lineRule="exact"/>
        <w:rPr>
          <w:rFonts w:ascii="Arial" w:cs="Arial" w:eastAsia="Arial" w:hAnsi="Arial"/>
          <w:sz w:val="17"/>
          <w:szCs w:val="17"/>
          <w:color w:val="auto"/>
        </w:rPr>
      </w:pPr>
    </w:p>
    <w:p>
      <w:pPr>
        <w:ind w:left="1380" w:hanging="407"/>
        <w:spacing w:after="0"/>
        <w:tabs>
          <w:tab w:leader="none" w:pos="1380" w:val="left"/>
        </w:tabs>
        <w:numPr>
          <w:ilvl w:val="3"/>
          <w:numId w:val="129"/>
        </w:numPr>
        <w:rPr>
          <w:rFonts w:ascii="Arial" w:cs="Arial" w:eastAsia="Arial" w:hAnsi="Arial"/>
          <w:sz w:val="17"/>
          <w:szCs w:val="17"/>
          <w:color w:val="auto"/>
        </w:rPr>
      </w:pPr>
      <w:r>
        <w:rPr>
          <w:rFonts w:ascii="Arial" w:cs="Arial" w:eastAsia="Arial" w:hAnsi="Arial"/>
          <w:sz w:val="17"/>
          <w:szCs w:val="17"/>
          <w:color w:val="auto"/>
        </w:rPr>
        <w:t>Landscaping.</w:t>
      </w:r>
    </w:p>
    <w:p>
      <w:pPr>
        <w:spacing w:after="0" w:line="209" w:lineRule="exact"/>
        <w:rPr>
          <w:rFonts w:ascii="Arial" w:cs="Arial" w:eastAsia="Arial" w:hAnsi="Arial"/>
          <w:sz w:val="17"/>
          <w:szCs w:val="17"/>
          <w:color w:val="auto"/>
        </w:rPr>
      </w:pPr>
    </w:p>
    <w:p>
      <w:pPr>
        <w:ind w:left="1880" w:right="200" w:hanging="424"/>
        <w:spacing w:after="0" w:line="271" w:lineRule="auto"/>
        <w:tabs>
          <w:tab w:leader="none" w:pos="1880" w:val="left"/>
        </w:tabs>
        <w:numPr>
          <w:ilvl w:val="4"/>
          <w:numId w:val="129"/>
        </w:numPr>
        <w:rPr>
          <w:rFonts w:ascii="Arial" w:cs="Arial" w:eastAsia="Arial" w:hAnsi="Arial"/>
          <w:sz w:val="17"/>
          <w:szCs w:val="17"/>
          <w:color w:val="auto"/>
        </w:rPr>
      </w:pPr>
      <w:r>
        <w:rPr>
          <w:rFonts w:ascii="Arial" w:cs="Arial" w:eastAsia="Arial" w:hAnsi="Arial"/>
          <w:sz w:val="17"/>
          <w:szCs w:val="17"/>
          <w:color w:val="auto"/>
        </w:rPr>
        <w:t>An allowance will be included for site landscaping; landscaping shall be designed and installed in accordance with the requirements of the Northwest Quadrant per the City of New Brighton.</w:t>
      </w:r>
    </w:p>
    <w:p>
      <w:pPr>
        <w:spacing w:after="0" w:line="165" w:lineRule="exact"/>
        <w:rPr>
          <w:rFonts w:ascii="Arial" w:cs="Arial" w:eastAsia="Arial" w:hAnsi="Arial"/>
          <w:sz w:val="17"/>
          <w:szCs w:val="17"/>
          <w:color w:val="auto"/>
        </w:rPr>
      </w:pPr>
    </w:p>
    <w:p>
      <w:pPr>
        <w:ind w:left="900" w:hanging="413"/>
        <w:spacing w:after="0"/>
        <w:tabs>
          <w:tab w:leader="none" w:pos="90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Site Signage.</w:t>
      </w:r>
    </w:p>
    <w:p>
      <w:pPr>
        <w:spacing w:after="0" w:line="209" w:lineRule="exact"/>
        <w:rPr>
          <w:rFonts w:ascii="Arial" w:cs="Arial" w:eastAsia="Arial" w:hAnsi="Arial"/>
          <w:sz w:val="17"/>
          <w:szCs w:val="17"/>
          <w:color w:val="auto"/>
        </w:rPr>
      </w:pPr>
    </w:p>
    <w:p>
      <w:pPr>
        <w:ind w:left="1440" w:hanging="477"/>
        <w:spacing w:after="0"/>
        <w:tabs>
          <w:tab w:leader="none" w:pos="1440" w:val="left"/>
        </w:tabs>
        <w:numPr>
          <w:ilvl w:val="2"/>
          <w:numId w:val="129"/>
        </w:numPr>
        <w:rPr>
          <w:rFonts w:ascii="Arial" w:cs="Arial" w:eastAsia="Arial" w:hAnsi="Arial"/>
          <w:sz w:val="17"/>
          <w:szCs w:val="17"/>
          <w:color w:val="auto"/>
        </w:rPr>
      </w:pPr>
      <w:r>
        <w:rPr>
          <w:rFonts w:ascii="Arial" w:cs="Arial" w:eastAsia="Arial" w:hAnsi="Arial"/>
          <w:sz w:val="17"/>
          <w:szCs w:val="17"/>
          <w:color w:val="auto"/>
        </w:rPr>
        <w:t>Monument sign shall be designed and installed per City requirements.</w:t>
      </w:r>
    </w:p>
    <w:p>
      <w:pPr>
        <w:spacing w:after="0" w:line="18" w:lineRule="exact"/>
        <w:rPr>
          <w:rFonts w:ascii="Arial" w:cs="Arial" w:eastAsia="Arial" w:hAnsi="Arial"/>
          <w:sz w:val="17"/>
          <w:szCs w:val="17"/>
          <w:color w:val="auto"/>
        </w:rPr>
      </w:pPr>
    </w:p>
    <w:p>
      <w:pPr>
        <w:ind w:left="1440" w:hanging="477"/>
        <w:spacing w:after="0"/>
        <w:tabs>
          <w:tab w:leader="none" w:pos="1440" w:val="left"/>
        </w:tabs>
        <w:numPr>
          <w:ilvl w:val="2"/>
          <w:numId w:val="129"/>
        </w:numPr>
        <w:rPr>
          <w:rFonts w:ascii="Arial" w:cs="Arial" w:eastAsia="Arial" w:hAnsi="Arial"/>
          <w:sz w:val="17"/>
          <w:szCs w:val="17"/>
          <w:color w:val="auto"/>
        </w:rPr>
      </w:pPr>
      <w:r>
        <w:rPr>
          <w:rFonts w:ascii="Arial" w:cs="Arial" w:eastAsia="Arial" w:hAnsi="Arial"/>
          <w:sz w:val="17"/>
          <w:szCs w:val="17"/>
          <w:color w:val="auto"/>
        </w:rPr>
        <w:t>A $10,000 allowance will be included for the design. construction and installation of the monument sign.</w:t>
      </w:r>
    </w:p>
    <w:p>
      <w:pPr>
        <w:spacing w:after="0" w:line="6" w:lineRule="exact"/>
        <w:rPr>
          <w:rFonts w:ascii="Arial" w:cs="Arial" w:eastAsia="Arial" w:hAnsi="Arial"/>
          <w:sz w:val="17"/>
          <w:szCs w:val="17"/>
          <w:color w:val="auto"/>
        </w:rPr>
      </w:pPr>
    </w:p>
    <w:p>
      <w:pPr>
        <w:ind w:left="1440" w:hanging="477"/>
        <w:spacing w:after="0"/>
        <w:tabs>
          <w:tab w:leader="none" w:pos="1440" w:val="left"/>
        </w:tabs>
        <w:numPr>
          <w:ilvl w:val="2"/>
          <w:numId w:val="129"/>
        </w:numPr>
        <w:rPr>
          <w:rFonts w:ascii="Arial" w:cs="Arial" w:eastAsia="Arial" w:hAnsi="Arial"/>
          <w:sz w:val="17"/>
          <w:szCs w:val="17"/>
          <w:color w:val="auto"/>
        </w:rPr>
      </w:pPr>
      <w:r>
        <w:rPr>
          <w:rFonts w:ascii="Arial" w:cs="Arial" w:eastAsia="Arial" w:hAnsi="Arial"/>
          <w:sz w:val="17"/>
          <w:szCs w:val="17"/>
          <w:color w:val="auto"/>
        </w:rPr>
        <w:t>Monument sign to be lighted.</w:t>
      </w:r>
    </w:p>
    <w:p>
      <w:pPr>
        <w:spacing w:after="0" w:line="6" w:lineRule="exact"/>
        <w:rPr>
          <w:rFonts w:ascii="Arial" w:cs="Arial" w:eastAsia="Arial" w:hAnsi="Arial"/>
          <w:sz w:val="17"/>
          <w:szCs w:val="17"/>
          <w:color w:val="auto"/>
        </w:rPr>
      </w:pPr>
    </w:p>
    <w:p>
      <w:pPr>
        <w:ind w:left="1440" w:hanging="477"/>
        <w:spacing w:after="0"/>
        <w:tabs>
          <w:tab w:leader="none" w:pos="1440" w:val="left"/>
        </w:tabs>
        <w:numPr>
          <w:ilvl w:val="2"/>
          <w:numId w:val="129"/>
        </w:numPr>
        <w:rPr>
          <w:rFonts w:ascii="Arial" w:cs="Arial" w:eastAsia="Arial" w:hAnsi="Arial"/>
          <w:sz w:val="17"/>
          <w:szCs w:val="17"/>
          <w:color w:val="auto"/>
        </w:rPr>
      </w:pPr>
      <w:r>
        <w:rPr>
          <w:rFonts w:ascii="Arial" w:cs="Arial" w:eastAsia="Arial" w:hAnsi="Arial"/>
          <w:sz w:val="17"/>
          <w:szCs w:val="17"/>
          <w:color w:val="auto"/>
        </w:rPr>
        <w:t>Traffic Signage.</w:t>
      </w:r>
    </w:p>
    <w:p>
      <w:pPr>
        <w:spacing w:after="0" w:line="6" w:lineRule="exact"/>
        <w:rPr>
          <w:rFonts w:ascii="Arial" w:cs="Arial" w:eastAsia="Arial" w:hAnsi="Arial"/>
          <w:sz w:val="17"/>
          <w:szCs w:val="17"/>
          <w:color w:val="auto"/>
        </w:rPr>
      </w:pPr>
    </w:p>
    <w:p>
      <w:pPr>
        <w:ind w:left="1880" w:hanging="424"/>
        <w:spacing w:after="0"/>
        <w:tabs>
          <w:tab w:leader="none" w:pos="1880" w:val="left"/>
        </w:tabs>
        <w:numPr>
          <w:ilvl w:val="4"/>
          <w:numId w:val="129"/>
        </w:numPr>
        <w:rPr>
          <w:rFonts w:ascii="Arial" w:cs="Arial" w:eastAsia="Arial" w:hAnsi="Arial"/>
          <w:sz w:val="17"/>
          <w:szCs w:val="17"/>
          <w:color w:val="auto"/>
        </w:rPr>
      </w:pPr>
      <w:r>
        <w:rPr>
          <w:rFonts w:ascii="Arial" w:cs="Arial" w:eastAsia="Arial" w:hAnsi="Arial"/>
          <w:sz w:val="17"/>
          <w:szCs w:val="17"/>
          <w:color w:val="auto"/>
        </w:rPr>
        <w:t>Traffic control signage is provided and installed per city requirements.</w:t>
      </w:r>
    </w:p>
    <w:p>
      <w:pPr>
        <w:spacing w:after="0" w:line="197" w:lineRule="exact"/>
        <w:rPr>
          <w:rFonts w:ascii="Arial" w:cs="Arial" w:eastAsia="Arial" w:hAnsi="Arial"/>
          <w:sz w:val="17"/>
          <w:szCs w:val="17"/>
          <w:color w:val="auto"/>
        </w:rPr>
      </w:pPr>
    </w:p>
    <w:p>
      <w:pPr>
        <w:ind w:left="900" w:hanging="413"/>
        <w:spacing w:after="0"/>
        <w:tabs>
          <w:tab w:leader="none" w:pos="90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Site Exterior Lighting.</w:t>
      </w:r>
    </w:p>
    <w:p>
      <w:pPr>
        <w:spacing w:after="0" w:line="209" w:lineRule="exact"/>
        <w:rPr>
          <w:rFonts w:ascii="Arial" w:cs="Arial" w:eastAsia="Arial" w:hAnsi="Arial"/>
          <w:sz w:val="17"/>
          <w:szCs w:val="17"/>
          <w:color w:val="auto"/>
        </w:rPr>
      </w:pPr>
    </w:p>
    <w:p>
      <w:pPr>
        <w:ind w:left="1380" w:hanging="407"/>
        <w:spacing w:after="0"/>
        <w:tabs>
          <w:tab w:leader="none" w:pos="1380" w:val="left"/>
        </w:tabs>
        <w:numPr>
          <w:ilvl w:val="3"/>
          <w:numId w:val="129"/>
        </w:numPr>
        <w:rPr>
          <w:rFonts w:ascii="Arial" w:cs="Arial" w:eastAsia="Arial" w:hAnsi="Arial"/>
          <w:sz w:val="17"/>
          <w:szCs w:val="17"/>
          <w:color w:val="auto"/>
        </w:rPr>
      </w:pPr>
      <w:r>
        <w:rPr>
          <w:rFonts w:ascii="Arial" w:cs="Arial" w:eastAsia="Arial" w:hAnsi="Arial"/>
          <w:sz w:val="17"/>
          <w:szCs w:val="17"/>
          <w:color w:val="auto"/>
        </w:rPr>
        <w:t>Site Lighting.</w:t>
      </w:r>
    </w:p>
    <w:p>
      <w:pPr>
        <w:spacing w:after="0" w:line="209" w:lineRule="exact"/>
        <w:rPr>
          <w:rFonts w:ascii="Arial" w:cs="Arial" w:eastAsia="Arial" w:hAnsi="Arial"/>
          <w:sz w:val="17"/>
          <w:szCs w:val="17"/>
          <w:color w:val="auto"/>
        </w:rPr>
      </w:pPr>
    </w:p>
    <w:p>
      <w:pPr>
        <w:ind w:left="1880" w:right="480" w:hanging="424"/>
        <w:spacing w:after="0" w:line="303" w:lineRule="auto"/>
        <w:tabs>
          <w:tab w:leader="none" w:pos="1880" w:val="left"/>
        </w:tabs>
        <w:numPr>
          <w:ilvl w:val="4"/>
          <w:numId w:val="129"/>
        </w:numPr>
        <w:rPr>
          <w:rFonts w:ascii="Arial" w:cs="Arial" w:eastAsia="Arial" w:hAnsi="Arial"/>
          <w:sz w:val="16"/>
          <w:szCs w:val="16"/>
          <w:color w:val="auto"/>
        </w:rPr>
      </w:pPr>
      <w:r>
        <w:rPr>
          <w:rFonts w:ascii="Arial" w:cs="Arial" w:eastAsia="Arial" w:hAnsi="Arial"/>
          <w:sz w:val="16"/>
          <w:szCs w:val="16"/>
          <w:color w:val="auto"/>
        </w:rPr>
        <w:t>Parking and drive areas are lighted with 30 foot high, pole mounted fixtures mounted on concrete bases, with photocell and time clock control. Building mounted fixtures are utilized where possible. Foot-candles will meet city minimum requirements.</w:t>
      </w:r>
    </w:p>
    <w:p>
      <w:pPr>
        <w:spacing w:after="0" w:line="1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    STRUCTURE</w:t>
      </w:r>
    </w:p>
    <w:p>
      <w:pPr>
        <w:spacing w:after="0" w:line="209" w:lineRule="exact"/>
        <w:rPr>
          <w:rFonts w:ascii="Arial" w:cs="Arial" w:eastAsia="Arial" w:hAnsi="Arial"/>
          <w:sz w:val="16"/>
          <w:szCs w:val="16"/>
          <w:color w:val="auto"/>
        </w:rPr>
      </w:pPr>
    </w:p>
    <w:p>
      <w:pPr>
        <w:ind w:left="900" w:hanging="413"/>
        <w:spacing w:after="0"/>
        <w:tabs>
          <w:tab w:leader="none" w:pos="90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Concrete.</w:t>
      </w:r>
    </w:p>
    <w:p>
      <w:pPr>
        <w:spacing w:after="0" w:line="209" w:lineRule="exact"/>
        <w:rPr>
          <w:rFonts w:ascii="Arial" w:cs="Arial" w:eastAsia="Arial" w:hAnsi="Arial"/>
          <w:sz w:val="17"/>
          <w:szCs w:val="17"/>
          <w:color w:val="auto"/>
        </w:rPr>
      </w:pPr>
    </w:p>
    <w:p>
      <w:pPr>
        <w:ind w:left="1440" w:hanging="477"/>
        <w:spacing w:after="0"/>
        <w:tabs>
          <w:tab w:leader="none" w:pos="1440" w:val="left"/>
        </w:tabs>
        <w:numPr>
          <w:ilvl w:val="2"/>
          <w:numId w:val="130"/>
        </w:numPr>
        <w:rPr>
          <w:rFonts w:ascii="Arial" w:cs="Arial" w:eastAsia="Arial" w:hAnsi="Arial"/>
          <w:sz w:val="17"/>
          <w:szCs w:val="17"/>
          <w:color w:val="auto"/>
        </w:rPr>
      </w:pPr>
      <w:r>
        <w:rPr>
          <w:rFonts w:ascii="Arial" w:cs="Arial" w:eastAsia="Arial" w:hAnsi="Arial"/>
          <w:sz w:val="17"/>
          <w:szCs w:val="17"/>
          <w:color w:val="auto"/>
        </w:rPr>
        <w:t>Concrete Foundations.</w:t>
      </w:r>
    </w:p>
    <w:p>
      <w:pPr>
        <w:spacing w:after="0" w:line="18" w:lineRule="exact"/>
        <w:rPr>
          <w:rFonts w:ascii="Arial" w:cs="Arial" w:eastAsia="Arial" w:hAnsi="Arial"/>
          <w:sz w:val="17"/>
          <w:szCs w:val="17"/>
          <w:color w:val="auto"/>
        </w:rPr>
      </w:pPr>
    </w:p>
    <w:p>
      <w:pPr>
        <w:ind w:left="1880" w:right="60" w:hanging="424"/>
        <w:spacing w:after="0" w:line="257" w:lineRule="auto"/>
        <w:tabs>
          <w:tab w:leader="none" w:pos="1880" w:val="left"/>
        </w:tabs>
        <w:numPr>
          <w:ilvl w:val="4"/>
          <w:numId w:val="130"/>
        </w:numPr>
        <w:rPr>
          <w:rFonts w:ascii="Arial" w:cs="Arial" w:eastAsia="Arial" w:hAnsi="Arial"/>
          <w:sz w:val="17"/>
          <w:szCs w:val="17"/>
          <w:color w:val="auto"/>
        </w:rPr>
      </w:pPr>
      <w:r>
        <w:rPr>
          <w:rFonts w:ascii="Arial" w:cs="Arial" w:eastAsia="Arial" w:hAnsi="Arial"/>
          <w:sz w:val="17"/>
          <w:szCs w:val="17"/>
          <w:color w:val="auto"/>
        </w:rPr>
        <w:t>Concrete foundations are spread footings consisting of strip footings. pacts and cast-in-place walls constructed with concrete and reinforcing steel as required by the final structural design.</w:t>
      </w:r>
    </w:p>
    <w:p>
      <w:pPr>
        <w:spacing w:after="0" w:line="176" w:lineRule="exact"/>
        <w:rPr>
          <w:rFonts w:ascii="Arial" w:cs="Arial" w:eastAsia="Arial" w:hAnsi="Arial"/>
          <w:sz w:val="17"/>
          <w:szCs w:val="17"/>
          <w:color w:val="auto"/>
        </w:rPr>
      </w:pPr>
    </w:p>
    <w:p>
      <w:pPr>
        <w:ind w:left="1440" w:hanging="477"/>
        <w:spacing w:after="0"/>
        <w:tabs>
          <w:tab w:leader="none" w:pos="1440" w:val="left"/>
        </w:tabs>
        <w:numPr>
          <w:ilvl w:val="3"/>
          <w:numId w:val="130"/>
        </w:numPr>
        <w:rPr>
          <w:rFonts w:ascii="Arial" w:cs="Arial" w:eastAsia="Arial" w:hAnsi="Arial"/>
          <w:sz w:val="17"/>
          <w:szCs w:val="17"/>
          <w:color w:val="auto"/>
        </w:rPr>
      </w:pPr>
      <w:r>
        <w:rPr>
          <w:rFonts w:ascii="Arial" w:cs="Arial" w:eastAsia="Arial" w:hAnsi="Arial"/>
          <w:sz w:val="17"/>
          <w:szCs w:val="17"/>
          <w:color w:val="auto"/>
        </w:rPr>
        <w:t>Concrete Slabs.</w:t>
      </w:r>
    </w:p>
    <w:p>
      <w:pPr>
        <w:spacing w:after="0" w:line="18" w:lineRule="exact"/>
        <w:rPr>
          <w:rFonts w:ascii="Arial" w:cs="Arial" w:eastAsia="Arial" w:hAnsi="Arial"/>
          <w:sz w:val="17"/>
          <w:szCs w:val="17"/>
          <w:color w:val="auto"/>
        </w:rPr>
      </w:pPr>
    </w:p>
    <w:p>
      <w:pPr>
        <w:ind w:left="1900" w:hanging="441"/>
        <w:spacing w:after="0"/>
        <w:tabs>
          <w:tab w:leader="none" w:pos="1900" w:val="left"/>
        </w:tabs>
        <w:numPr>
          <w:ilvl w:val="4"/>
          <w:numId w:val="130"/>
        </w:numPr>
        <w:rPr>
          <w:rFonts w:ascii="Arial" w:cs="Arial" w:eastAsia="Arial" w:hAnsi="Arial"/>
          <w:sz w:val="17"/>
          <w:szCs w:val="17"/>
          <w:color w:val="auto"/>
        </w:rPr>
      </w:pPr>
      <w:r>
        <w:rPr>
          <w:rFonts w:ascii="Arial" w:cs="Arial" w:eastAsia="Arial" w:hAnsi="Arial"/>
          <w:sz w:val="17"/>
          <w:szCs w:val="17"/>
          <w:color w:val="auto"/>
        </w:rPr>
        <w:t>Floors.</w:t>
      </w:r>
    </w:p>
    <w:p>
      <w:pPr>
        <w:spacing w:after="0" w:line="6" w:lineRule="exact"/>
        <w:rPr>
          <w:rFonts w:ascii="Arial" w:cs="Arial" w:eastAsia="Arial" w:hAnsi="Arial"/>
          <w:sz w:val="17"/>
          <w:szCs w:val="17"/>
          <w:color w:val="auto"/>
        </w:rPr>
      </w:pPr>
    </w:p>
    <w:p>
      <w:pPr>
        <w:ind w:left="2420" w:hanging="483"/>
        <w:spacing w:after="0"/>
        <w:tabs>
          <w:tab w:leader="none" w:pos="2420" w:val="left"/>
        </w:tabs>
        <w:numPr>
          <w:ilvl w:val="5"/>
          <w:numId w:val="130"/>
        </w:numPr>
        <w:rPr>
          <w:rFonts w:ascii="Arial" w:cs="Arial" w:eastAsia="Arial" w:hAnsi="Arial"/>
          <w:sz w:val="17"/>
          <w:szCs w:val="17"/>
          <w:color w:val="auto"/>
        </w:rPr>
      </w:pPr>
      <w:r>
        <w:rPr>
          <w:rFonts w:ascii="Arial" w:cs="Arial" w:eastAsia="Arial" w:hAnsi="Arial"/>
          <w:sz w:val="17"/>
          <w:szCs w:val="17"/>
          <w:color w:val="auto"/>
        </w:rPr>
        <w:t>Slab on grade 4" thick 3500 psi. non--reinforced concrete in approximately 28.500 SF.</w:t>
      </w:r>
    </w:p>
    <w:p>
      <w:pPr>
        <w:spacing w:after="0" w:line="6" w:lineRule="exact"/>
        <w:rPr>
          <w:rFonts w:ascii="Arial" w:cs="Arial" w:eastAsia="Arial" w:hAnsi="Arial"/>
          <w:sz w:val="17"/>
          <w:szCs w:val="17"/>
          <w:color w:val="auto"/>
        </w:rPr>
      </w:pPr>
    </w:p>
    <w:p>
      <w:pPr>
        <w:ind w:left="2420" w:hanging="483"/>
        <w:spacing w:after="0"/>
        <w:tabs>
          <w:tab w:leader="none" w:pos="2420" w:val="left"/>
        </w:tabs>
        <w:numPr>
          <w:ilvl w:val="5"/>
          <w:numId w:val="130"/>
        </w:numPr>
        <w:rPr>
          <w:rFonts w:ascii="Arial" w:cs="Arial" w:eastAsia="Arial" w:hAnsi="Arial"/>
          <w:sz w:val="17"/>
          <w:szCs w:val="17"/>
          <w:color w:val="auto"/>
        </w:rPr>
      </w:pPr>
      <w:r>
        <w:rPr>
          <w:rFonts w:ascii="Arial" w:cs="Arial" w:eastAsia="Arial" w:hAnsi="Arial"/>
          <w:sz w:val="17"/>
          <w:szCs w:val="17"/>
          <w:color w:val="auto"/>
        </w:rPr>
        <w:t>Slab on grade 5" thick 3500 psi over approximately 1.500 SF</w:t>
      </w:r>
    </w:p>
    <w:p>
      <w:pPr>
        <w:spacing w:after="0" w:line="6" w:lineRule="exact"/>
        <w:rPr>
          <w:rFonts w:ascii="Arial" w:cs="Arial" w:eastAsia="Arial" w:hAnsi="Arial"/>
          <w:sz w:val="17"/>
          <w:szCs w:val="17"/>
          <w:color w:val="auto"/>
        </w:rPr>
      </w:pPr>
    </w:p>
    <w:p>
      <w:pPr>
        <w:ind w:left="2420" w:hanging="483"/>
        <w:spacing w:after="0"/>
        <w:tabs>
          <w:tab w:leader="none" w:pos="2420" w:val="left"/>
        </w:tabs>
        <w:numPr>
          <w:ilvl w:val="5"/>
          <w:numId w:val="130"/>
        </w:numPr>
        <w:rPr>
          <w:rFonts w:ascii="Arial" w:cs="Arial" w:eastAsia="Arial" w:hAnsi="Arial"/>
          <w:sz w:val="17"/>
          <w:szCs w:val="17"/>
          <w:color w:val="auto"/>
        </w:rPr>
      </w:pPr>
      <w:r>
        <w:rPr>
          <w:rFonts w:ascii="Arial" w:cs="Arial" w:eastAsia="Arial" w:hAnsi="Arial"/>
          <w:sz w:val="17"/>
          <w:szCs w:val="17"/>
          <w:color w:val="auto"/>
        </w:rPr>
        <w:t>Slab on deck will be 4" 3500 psi non-reinforced concrete in approximately 45,000 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406400</wp:posOffset>
            </wp:positionV>
            <wp:extent cx="7255510" cy="400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7"/>
          <w:szCs w:val="17"/>
          <w:color w:val="auto"/>
        </w:rPr>
        <w:t>Page 6 of 13</w:t>
      </w:r>
    </w:p>
    <w:p>
      <w:pPr>
        <w:spacing w:after="0" w:line="209" w:lineRule="exact"/>
        <w:rPr>
          <w:sz w:val="20"/>
          <w:szCs w:val="20"/>
          <w:color w:val="auto"/>
        </w:rPr>
      </w:pPr>
    </w:p>
    <w:p>
      <w:pPr>
        <w:ind w:left="2240" w:hanging="483"/>
        <w:spacing w:after="0"/>
        <w:tabs>
          <w:tab w:leader="none" w:pos="2240" w:val="left"/>
        </w:tabs>
        <w:numPr>
          <w:ilvl w:val="5"/>
          <w:numId w:val="131"/>
        </w:numPr>
        <w:rPr>
          <w:rFonts w:ascii="Arial" w:cs="Arial" w:eastAsia="Arial" w:hAnsi="Arial"/>
          <w:sz w:val="17"/>
          <w:szCs w:val="17"/>
          <w:color w:val="auto"/>
        </w:rPr>
      </w:pPr>
      <w:r>
        <w:rPr>
          <w:rFonts w:ascii="Arial" w:cs="Arial" w:eastAsia="Arial" w:hAnsi="Arial"/>
          <w:sz w:val="17"/>
          <w:szCs w:val="17"/>
          <w:color w:val="auto"/>
        </w:rPr>
        <w:t>Smooth dowel connections are provided at slab on grade. construction joints.</w:t>
      </w:r>
    </w:p>
    <w:p>
      <w:pPr>
        <w:spacing w:after="0" w:line="18" w:lineRule="exact"/>
        <w:rPr>
          <w:rFonts w:ascii="Arial" w:cs="Arial" w:eastAsia="Arial" w:hAnsi="Arial"/>
          <w:sz w:val="17"/>
          <w:szCs w:val="17"/>
          <w:color w:val="auto"/>
        </w:rPr>
      </w:pPr>
    </w:p>
    <w:p>
      <w:pPr>
        <w:ind w:left="2240" w:right="1060" w:hanging="483"/>
        <w:spacing w:after="0" w:line="248" w:lineRule="auto"/>
        <w:tabs>
          <w:tab w:leader="none" w:pos="2240" w:val="left"/>
        </w:tabs>
        <w:numPr>
          <w:ilvl w:val="5"/>
          <w:numId w:val="131"/>
        </w:numPr>
        <w:rPr>
          <w:rFonts w:ascii="Arial" w:cs="Arial" w:eastAsia="Arial" w:hAnsi="Arial"/>
          <w:sz w:val="17"/>
          <w:szCs w:val="17"/>
          <w:color w:val="auto"/>
        </w:rPr>
      </w:pPr>
      <w:r>
        <w:rPr>
          <w:rFonts w:ascii="Arial" w:cs="Arial" w:eastAsia="Arial" w:hAnsi="Arial"/>
          <w:sz w:val="17"/>
          <w:szCs w:val="17"/>
          <w:color w:val="auto"/>
        </w:rPr>
        <w:t>Sawcut control joints are provided for the control of shrinkage cracking. Filling of exposed sawcut joints to be Tenant Improvement cost.</w:t>
      </w:r>
    </w:p>
    <w:p>
      <w:pPr>
        <w:ind w:left="2240" w:hanging="483"/>
        <w:spacing w:after="0"/>
        <w:tabs>
          <w:tab w:leader="none" w:pos="2240" w:val="left"/>
        </w:tabs>
        <w:numPr>
          <w:ilvl w:val="5"/>
          <w:numId w:val="131"/>
        </w:numPr>
        <w:rPr>
          <w:rFonts w:ascii="Arial" w:cs="Arial" w:eastAsia="Arial" w:hAnsi="Arial"/>
          <w:sz w:val="17"/>
          <w:szCs w:val="17"/>
          <w:color w:val="auto"/>
        </w:rPr>
      </w:pPr>
      <w:r>
        <w:rPr>
          <w:rFonts w:ascii="Arial" w:cs="Arial" w:eastAsia="Arial" w:hAnsi="Arial"/>
          <w:sz w:val="17"/>
          <w:szCs w:val="17"/>
          <w:color w:val="auto"/>
        </w:rPr>
        <w:t>Concrete slabs are treated with liquid applied dissipating curing/sealing compound.</w:t>
      </w:r>
    </w:p>
    <w:p>
      <w:pPr>
        <w:spacing w:after="0" w:line="6" w:lineRule="exact"/>
        <w:rPr>
          <w:rFonts w:ascii="Arial" w:cs="Arial" w:eastAsia="Arial" w:hAnsi="Arial"/>
          <w:sz w:val="17"/>
          <w:szCs w:val="17"/>
          <w:color w:val="auto"/>
        </w:rPr>
      </w:pPr>
    </w:p>
    <w:p>
      <w:pPr>
        <w:ind w:left="2240" w:hanging="483"/>
        <w:spacing w:after="0"/>
        <w:tabs>
          <w:tab w:leader="none" w:pos="2240" w:val="left"/>
        </w:tabs>
        <w:numPr>
          <w:ilvl w:val="5"/>
          <w:numId w:val="131"/>
        </w:numPr>
        <w:rPr>
          <w:rFonts w:ascii="Arial" w:cs="Arial" w:eastAsia="Arial" w:hAnsi="Arial"/>
          <w:sz w:val="17"/>
          <w:szCs w:val="17"/>
          <w:color w:val="auto"/>
        </w:rPr>
      </w:pPr>
      <w:r>
        <w:rPr>
          <w:rFonts w:ascii="Arial" w:cs="Arial" w:eastAsia="Arial" w:hAnsi="Arial"/>
          <w:sz w:val="17"/>
          <w:szCs w:val="17"/>
          <w:color w:val="auto"/>
        </w:rPr>
        <w:t>Vapor barrier will be provided as part of the underslab venting system.</w:t>
      </w:r>
    </w:p>
    <w:p>
      <w:pPr>
        <w:spacing w:after="0" w:line="197" w:lineRule="exact"/>
        <w:rPr>
          <w:rFonts w:ascii="Arial" w:cs="Arial" w:eastAsia="Arial" w:hAnsi="Arial"/>
          <w:sz w:val="17"/>
          <w:szCs w:val="17"/>
          <w:color w:val="auto"/>
        </w:rPr>
      </w:pPr>
    </w:p>
    <w:p>
      <w:pPr>
        <w:ind w:left="1480" w:hanging="444"/>
        <w:spacing w:after="0"/>
        <w:tabs>
          <w:tab w:leader="none" w:pos="1480" w:val="left"/>
        </w:tabs>
        <w:numPr>
          <w:ilvl w:val="3"/>
          <w:numId w:val="132"/>
        </w:numPr>
        <w:rPr>
          <w:rFonts w:ascii="Arial" w:cs="Arial" w:eastAsia="Arial" w:hAnsi="Arial"/>
          <w:sz w:val="17"/>
          <w:szCs w:val="17"/>
          <w:color w:val="auto"/>
        </w:rPr>
      </w:pPr>
      <w:r>
        <w:rPr>
          <w:rFonts w:ascii="Arial" w:cs="Arial" w:eastAsia="Arial" w:hAnsi="Arial"/>
          <w:sz w:val="17"/>
          <w:szCs w:val="17"/>
          <w:color w:val="auto"/>
        </w:rPr>
        <w:t>Underslab Venting System (to be paid by City of New Brighton)</w:t>
      </w:r>
    </w:p>
    <w:p>
      <w:pPr>
        <w:spacing w:after="0" w:line="209" w:lineRule="exact"/>
        <w:rPr>
          <w:rFonts w:ascii="Arial" w:cs="Arial" w:eastAsia="Arial" w:hAnsi="Arial"/>
          <w:sz w:val="17"/>
          <w:szCs w:val="17"/>
          <w:color w:val="auto"/>
        </w:rPr>
      </w:pPr>
    </w:p>
    <w:p>
      <w:pPr>
        <w:ind w:left="2000" w:right="520" w:hanging="478"/>
        <w:spacing w:after="0" w:line="287" w:lineRule="auto"/>
        <w:tabs>
          <w:tab w:leader="none" w:pos="2240" w:val="left"/>
        </w:tabs>
        <w:numPr>
          <w:ilvl w:val="4"/>
          <w:numId w:val="132"/>
        </w:numPr>
        <w:rPr>
          <w:rFonts w:ascii="Arial" w:cs="Arial" w:eastAsia="Arial" w:hAnsi="Arial"/>
          <w:sz w:val="15"/>
          <w:szCs w:val="15"/>
          <w:color w:val="auto"/>
        </w:rPr>
      </w:pPr>
      <w:r>
        <w:rPr>
          <w:rFonts w:ascii="Arial" w:cs="Arial" w:eastAsia="Arial" w:hAnsi="Arial"/>
          <w:sz w:val="15"/>
          <w:szCs w:val="15"/>
          <w:color w:val="auto"/>
        </w:rPr>
        <w:t>A passive sub-slab venting system will he provided under the SOG. The system will consist of 4-inch schedule 40 PVC collection piping spaced 50 feet on center in rounded washed gravel or pea rock filled trenches which are, approximately 8 to 10-inches in depth. Areas between the collection piping will have a 4-inch thick layer of rounded washed gravel or pea rock.</w:t>
      </w:r>
    </w:p>
    <w:p>
      <w:pPr>
        <w:ind w:left="2000" w:right="460" w:hanging="478"/>
        <w:spacing w:after="0" w:line="248" w:lineRule="auto"/>
        <w:tabs>
          <w:tab w:leader="none" w:pos="2207" w:val="left"/>
        </w:tabs>
        <w:numPr>
          <w:ilvl w:val="4"/>
          <w:numId w:val="132"/>
        </w:numPr>
        <w:rPr>
          <w:rFonts w:ascii="Arial" w:cs="Arial" w:eastAsia="Arial" w:hAnsi="Arial"/>
          <w:sz w:val="17"/>
          <w:szCs w:val="17"/>
          <w:color w:val="auto"/>
        </w:rPr>
      </w:pPr>
      <w:r>
        <w:rPr>
          <w:rFonts w:ascii="Arial" w:cs="Arial" w:eastAsia="Arial" w:hAnsi="Arial"/>
          <w:sz w:val="17"/>
          <w:szCs w:val="17"/>
          <w:color w:val="auto"/>
        </w:rPr>
        <w:t>A vapor barrier will be constructed of either two layers of 15-millimeter (mill) polyethylene, with 2-inch overlay on sheets and taped) or one layer of Stegowrap vapor barrier. The vapor barrier will be secured to the foundation wall with adhesive and penetrations will be sealed with gas-tight boots.</w:t>
      </w:r>
    </w:p>
    <w:p>
      <w:pPr>
        <w:spacing w:after="0" w:line="1" w:lineRule="exact"/>
        <w:rPr>
          <w:rFonts w:ascii="Arial" w:cs="Arial" w:eastAsia="Arial" w:hAnsi="Arial"/>
          <w:sz w:val="17"/>
          <w:szCs w:val="17"/>
          <w:color w:val="auto"/>
        </w:rPr>
      </w:pPr>
    </w:p>
    <w:p>
      <w:pPr>
        <w:ind w:left="900" w:hanging="411"/>
        <w:spacing w:after="0"/>
        <w:tabs>
          <w:tab w:leader="none" w:pos="90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Concrete Walls.</w:t>
      </w:r>
    </w:p>
    <w:p>
      <w:pPr>
        <w:spacing w:after="0" w:line="197" w:lineRule="exact"/>
        <w:rPr>
          <w:rFonts w:ascii="Arial" w:cs="Arial" w:eastAsia="Arial" w:hAnsi="Arial"/>
          <w:sz w:val="17"/>
          <w:szCs w:val="17"/>
          <w:color w:val="auto"/>
        </w:rPr>
      </w:pPr>
    </w:p>
    <w:p>
      <w:pPr>
        <w:ind w:left="1520" w:hanging="484"/>
        <w:spacing w:after="0"/>
        <w:tabs>
          <w:tab w:leader="none" w:pos="1520" w:val="left"/>
        </w:tabs>
        <w:numPr>
          <w:ilvl w:val="3"/>
          <w:numId w:val="133"/>
        </w:numPr>
        <w:rPr>
          <w:rFonts w:ascii="Arial" w:cs="Arial" w:eastAsia="Arial" w:hAnsi="Arial"/>
          <w:sz w:val="17"/>
          <w:szCs w:val="17"/>
          <w:color w:val="auto"/>
        </w:rPr>
      </w:pPr>
      <w:r>
        <w:rPr>
          <w:rFonts w:ascii="Arial" w:cs="Arial" w:eastAsia="Arial" w:hAnsi="Arial"/>
          <w:sz w:val="17"/>
          <w:szCs w:val="17"/>
          <w:color w:val="auto"/>
        </w:rPr>
        <w:t>Concrete foundation walls will be provided around the building perimeter. All exposed walls have grout rubbed finish.</w:t>
      </w:r>
    </w:p>
    <w:p>
      <w:pPr>
        <w:spacing w:after="0" w:line="18" w:lineRule="exact"/>
        <w:rPr>
          <w:rFonts w:ascii="Arial" w:cs="Arial" w:eastAsia="Arial" w:hAnsi="Arial"/>
          <w:sz w:val="17"/>
          <w:szCs w:val="17"/>
          <w:color w:val="auto"/>
        </w:rPr>
      </w:pPr>
    </w:p>
    <w:p>
      <w:pPr>
        <w:ind w:left="1520" w:hanging="484"/>
        <w:spacing w:after="0"/>
        <w:tabs>
          <w:tab w:leader="none" w:pos="1520" w:val="left"/>
        </w:tabs>
        <w:numPr>
          <w:ilvl w:val="3"/>
          <w:numId w:val="133"/>
        </w:numPr>
        <w:rPr>
          <w:rFonts w:ascii="Arial" w:cs="Arial" w:eastAsia="Arial" w:hAnsi="Arial"/>
          <w:sz w:val="17"/>
          <w:szCs w:val="17"/>
          <w:color w:val="auto"/>
        </w:rPr>
      </w:pPr>
      <w:r>
        <w:rPr>
          <w:rFonts w:ascii="Arial" w:cs="Arial" w:eastAsia="Arial" w:hAnsi="Arial"/>
          <w:sz w:val="17"/>
          <w:szCs w:val="17"/>
          <w:color w:val="auto"/>
        </w:rPr>
        <w:t>Perimeter foundation walls and dock walls to have rigid insulation.</w:t>
      </w:r>
    </w:p>
    <w:p>
      <w:pPr>
        <w:spacing w:after="0" w:line="6" w:lineRule="exact"/>
        <w:rPr>
          <w:rFonts w:ascii="Arial" w:cs="Arial" w:eastAsia="Arial" w:hAnsi="Arial"/>
          <w:sz w:val="17"/>
          <w:szCs w:val="17"/>
          <w:color w:val="auto"/>
        </w:rPr>
      </w:pPr>
    </w:p>
    <w:p>
      <w:pPr>
        <w:ind w:left="1520" w:hanging="484"/>
        <w:spacing w:after="0"/>
        <w:tabs>
          <w:tab w:leader="none" w:pos="1520" w:val="left"/>
        </w:tabs>
        <w:numPr>
          <w:ilvl w:val="3"/>
          <w:numId w:val="133"/>
        </w:numPr>
        <w:rPr>
          <w:rFonts w:ascii="Arial" w:cs="Arial" w:eastAsia="Arial" w:hAnsi="Arial"/>
          <w:sz w:val="17"/>
          <w:szCs w:val="17"/>
          <w:color w:val="auto"/>
        </w:rPr>
      </w:pPr>
      <w:r>
        <w:rPr>
          <w:rFonts w:ascii="Arial" w:cs="Arial" w:eastAsia="Arial" w:hAnsi="Arial"/>
          <w:sz w:val="17"/>
          <w:szCs w:val="17"/>
          <w:color w:val="auto"/>
        </w:rPr>
        <w:t>One dock pit is included. An additional Dock pit will be. part of Tenant Improvement costs,</w:t>
      </w:r>
    </w:p>
    <w:p>
      <w:pPr>
        <w:spacing w:after="0" w:line="197" w:lineRule="exact"/>
        <w:rPr>
          <w:rFonts w:ascii="Arial" w:cs="Arial" w:eastAsia="Arial" w:hAnsi="Arial"/>
          <w:sz w:val="17"/>
          <w:szCs w:val="17"/>
          <w:color w:val="auto"/>
        </w:rPr>
      </w:pPr>
    </w:p>
    <w:p>
      <w:pPr>
        <w:ind w:left="920" w:hanging="431"/>
        <w:spacing w:after="0"/>
        <w:tabs>
          <w:tab w:leader="none" w:pos="92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Stair Treads.</w:t>
      </w:r>
    </w:p>
    <w:p>
      <w:pPr>
        <w:spacing w:after="0" w:line="209" w:lineRule="exact"/>
        <w:rPr>
          <w:rFonts w:ascii="Arial" w:cs="Arial" w:eastAsia="Arial" w:hAnsi="Arial"/>
          <w:sz w:val="17"/>
          <w:szCs w:val="17"/>
          <w:color w:val="auto"/>
        </w:rPr>
      </w:pPr>
    </w:p>
    <w:p>
      <w:pPr>
        <w:ind w:left="1460" w:hanging="487"/>
        <w:spacing w:after="0"/>
        <w:tabs>
          <w:tab w:leader="none" w:pos="1460" w:val="left"/>
        </w:tabs>
        <w:numPr>
          <w:ilvl w:val="2"/>
          <w:numId w:val="133"/>
        </w:numPr>
        <w:rPr>
          <w:rFonts w:ascii="Arial" w:cs="Arial" w:eastAsia="Arial" w:hAnsi="Arial"/>
          <w:sz w:val="17"/>
          <w:szCs w:val="17"/>
          <w:color w:val="auto"/>
        </w:rPr>
      </w:pPr>
      <w:r>
        <w:rPr>
          <w:rFonts w:ascii="Arial" w:cs="Arial" w:eastAsia="Arial" w:hAnsi="Arial"/>
          <w:sz w:val="17"/>
          <w:szCs w:val="17"/>
          <w:color w:val="auto"/>
        </w:rPr>
        <w:t>Metal pan stair treads and landings shall be provided with concrete fill. troweled smooth and sealed.</w:t>
      </w:r>
    </w:p>
    <w:p>
      <w:pPr>
        <w:spacing w:after="0" w:line="209" w:lineRule="exact"/>
        <w:rPr>
          <w:rFonts w:ascii="Arial" w:cs="Arial" w:eastAsia="Arial" w:hAnsi="Arial"/>
          <w:sz w:val="17"/>
          <w:szCs w:val="17"/>
          <w:color w:val="auto"/>
        </w:rPr>
      </w:pPr>
    </w:p>
    <w:p>
      <w:pPr>
        <w:ind w:left="420" w:hanging="417"/>
        <w:spacing w:after="0"/>
        <w:tabs>
          <w:tab w:leader="none" w:pos="4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Masonry.</w:t>
      </w:r>
    </w:p>
    <w:p>
      <w:pPr>
        <w:spacing w:after="0" w:line="209" w:lineRule="exact"/>
        <w:rPr>
          <w:rFonts w:ascii="Arial" w:cs="Arial" w:eastAsia="Arial" w:hAnsi="Arial"/>
          <w:sz w:val="17"/>
          <w:szCs w:val="17"/>
          <w:color w:val="auto"/>
        </w:rPr>
      </w:pPr>
    </w:p>
    <w:p>
      <w:pPr>
        <w:ind w:left="900" w:hanging="411"/>
        <w:spacing w:after="0"/>
        <w:tabs>
          <w:tab w:leader="none" w:pos="90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Masonry Details.</w:t>
      </w:r>
    </w:p>
    <w:p>
      <w:pPr>
        <w:spacing w:after="0" w:line="209" w:lineRule="exact"/>
        <w:rPr>
          <w:rFonts w:ascii="Arial" w:cs="Arial" w:eastAsia="Arial" w:hAnsi="Arial"/>
          <w:sz w:val="17"/>
          <w:szCs w:val="17"/>
          <w:color w:val="auto"/>
        </w:rPr>
      </w:pPr>
    </w:p>
    <w:p>
      <w:pPr>
        <w:ind w:left="1520" w:hanging="484"/>
        <w:spacing w:after="0"/>
        <w:tabs>
          <w:tab w:leader="none" w:pos="1520" w:val="left"/>
        </w:tabs>
        <w:numPr>
          <w:ilvl w:val="3"/>
          <w:numId w:val="134"/>
        </w:numPr>
        <w:rPr>
          <w:rFonts w:ascii="Arial" w:cs="Arial" w:eastAsia="Arial" w:hAnsi="Arial"/>
          <w:sz w:val="17"/>
          <w:szCs w:val="17"/>
          <w:color w:val="auto"/>
        </w:rPr>
      </w:pPr>
      <w:r>
        <w:rPr>
          <w:rFonts w:ascii="Arial" w:cs="Arial" w:eastAsia="Arial" w:hAnsi="Arial"/>
          <w:sz w:val="17"/>
          <w:szCs w:val="17"/>
          <w:color w:val="auto"/>
        </w:rPr>
        <w:t>Sealed control joints are provided at exterior masonry walls for control of thermal and structural movement.</w:t>
      </w:r>
    </w:p>
    <w:p>
      <w:pPr>
        <w:spacing w:after="0" w:line="18" w:lineRule="exact"/>
        <w:rPr>
          <w:rFonts w:ascii="Arial" w:cs="Arial" w:eastAsia="Arial" w:hAnsi="Arial"/>
          <w:sz w:val="17"/>
          <w:szCs w:val="17"/>
          <w:color w:val="auto"/>
        </w:rPr>
      </w:pPr>
    </w:p>
    <w:p>
      <w:pPr>
        <w:ind w:left="1520" w:hanging="484"/>
        <w:spacing w:after="0"/>
        <w:tabs>
          <w:tab w:leader="none" w:pos="1520" w:val="left"/>
        </w:tabs>
        <w:numPr>
          <w:ilvl w:val="3"/>
          <w:numId w:val="134"/>
        </w:numPr>
        <w:rPr>
          <w:rFonts w:ascii="Arial" w:cs="Arial" w:eastAsia="Arial" w:hAnsi="Arial"/>
          <w:sz w:val="17"/>
          <w:szCs w:val="17"/>
          <w:color w:val="auto"/>
        </w:rPr>
      </w:pPr>
      <w:r>
        <w:rPr>
          <w:rFonts w:ascii="Arial" w:cs="Arial" w:eastAsia="Arial" w:hAnsi="Arial"/>
          <w:sz w:val="17"/>
          <w:szCs w:val="17"/>
          <w:color w:val="auto"/>
        </w:rPr>
        <w:t>Exterior walls are a combination of integral color rockface and integral color burnished concrete block.</w:t>
      </w:r>
    </w:p>
    <w:p>
      <w:pPr>
        <w:spacing w:after="0" w:line="197" w:lineRule="exact"/>
        <w:rPr>
          <w:rFonts w:ascii="Arial" w:cs="Arial" w:eastAsia="Arial" w:hAnsi="Arial"/>
          <w:sz w:val="17"/>
          <w:szCs w:val="17"/>
          <w:color w:val="auto"/>
        </w:rPr>
      </w:pPr>
    </w:p>
    <w:p>
      <w:pPr>
        <w:ind w:left="420" w:hanging="417"/>
        <w:spacing w:after="0"/>
        <w:tabs>
          <w:tab w:leader="none" w:pos="4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Metals.</w:t>
      </w:r>
    </w:p>
    <w:p>
      <w:pPr>
        <w:spacing w:after="0" w:line="209" w:lineRule="exact"/>
        <w:rPr>
          <w:rFonts w:ascii="Arial" w:cs="Arial" w:eastAsia="Arial" w:hAnsi="Arial"/>
          <w:sz w:val="17"/>
          <w:szCs w:val="17"/>
          <w:color w:val="auto"/>
        </w:rPr>
      </w:pPr>
    </w:p>
    <w:p>
      <w:pPr>
        <w:ind w:left="900" w:hanging="411"/>
        <w:spacing w:after="0"/>
        <w:tabs>
          <w:tab w:leader="none" w:pos="90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Structural Steel.</w:t>
      </w:r>
    </w:p>
    <w:p>
      <w:pPr>
        <w:spacing w:after="0" w:line="86" w:lineRule="exact"/>
        <w:rPr>
          <w:rFonts w:ascii="Arial" w:cs="Arial" w:eastAsia="Arial" w:hAnsi="Arial"/>
          <w:sz w:val="17"/>
          <w:szCs w:val="17"/>
          <w:color w:val="auto"/>
        </w:rPr>
      </w:pPr>
    </w:p>
    <w:p>
      <w:pPr>
        <w:ind w:left="1460" w:hanging="424"/>
        <w:spacing w:after="0"/>
        <w:tabs>
          <w:tab w:leader="none" w:pos="1460" w:val="left"/>
        </w:tabs>
        <w:numPr>
          <w:ilvl w:val="3"/>
          <w:numId w:val="135"/>
        </w:numPr>
        <w:rPr>
          <w:rFonts w:ascii="Arial" w:cs="Arial" w:eastAsia="Arial" w:hAnsi="Arial"/>
          <w:sz w:val="17"/>
          <w:szCs w:val="17"/>
          <w:color w:val="auto"/>
        </w:rPr>
      </w:pPr>
      <w:r>
        <w:rPr>
          <w:rFonts w:ascii="Arial" w:cs="Arial" w:eastAsia="Arial" w:hAnsi="Arial"/>
          <w:sz w:val="17"/>
          <w:szCs w:val="17"/>
          <w:color w:val="auto"/>
        </w:rPr>
        <w:t>The structural framing system for the building consists of steel col mans, beams, bar</w:t>
      </w:r>
      <w:r>
        <w:rPr>
          <w:rFonts w:ascii="Arial" w:cs="Arial" w:eastAsia="Arial" w:hAnsi="Arial"/>
          <w:sz w:val="28"/>
          <w:szCs w:val="28"/>
          <w:color w:val="auto"/>
          <w:vertAlign w:val="subscript"/>
        </w:rPr>
        <w:t>.</w:t>
      </w:r>
      <w:r>
        <w:rPr>
          <w:rFonts w:ascii="Arial" w:cs="Arial" w:eastAsia="Arial" w:hAnsi="Arial"/>
          <w:sz w:val="17"/>
          <w:szCs w:val="17"/>
          <w:color w:val="auto"/>
        </w:rPr>
        <w:t xml:space="preserve"> joists, and metal roof deck.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419735</wp:posOffset>
            </wp:positionV>
            <wp:extent cx="7255510" cy="400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240"/>
          </w:cols>
          <w:pgMar w:left="420" w:top="228"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7"/>
          <w:szCs w:val="17"/>
          <w:color w:val="auto"/>
        </w:rPr>
        <w:t>Page 7 of 13</w:t>
      </w:r>
    </w:p>
    <w:p>
      <w:pPr>
        <w:spacing w:after="0" w:line="209" w:lineRule="exact"/>
        <w:rPr>
          <w:sz w:val="20"/>
          <w:szCs w:val="20"/>
          <w:color w:val="auto"/>
        </w:rPr>
      </w:pPr>
    </w:p>
    <w:p>
      <w:pPr>
        <w:ind w:left="460" w:hanging="459"/>
        <w:spacing w:after="0"/>
        <w:tabs>
          <w:tab w:leader="none" w:pos="4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EXTERIOR ENCLOSURE</w:t>
      </w:r>
    </w:p>
    <w:p>
      <w:pPr>
        <w:spacing w:after="0" w:line="209" w:lineRule="exact"/>
        <w:rPr>
          <w:rFonts w:ascii="Arial" w:cs="Arial" w:eastAsia="Arial" w:hAnsi="Arial"/>
          <w:sz w:val="17"/>
          <w:szCs w:val="17"/>
          <w:color w:val="auto"/>
        </w:rPr>
      </w:pPr>
    </w:p>
    <w:p>
      <w:pPr>
        <w:ind w:left="900" w:hanging="413"/>
        <w:spacing w:after="0"/>
        <w:tabs>
          <w:tab w:leader="none" w:pos="90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Roof.</w:t>
      </w:r>
    </w:p>
    <w:p>
      <w:pPr>
        <w:spacing w:after="0" w:line="209" w:lineRule="exact"/>
        <w:rPr>
          <w:rFonts w:ascii="Arial" w:cs="Arial" w:eastAsia="Arial" w:hAnsi="Arial"/>
          <w:sz w:val="17"/>
          <w:szCs w:val="17"/>
          <w:color w:val="auto"/>
        </w:rPr>
      </w:pPr>
    </w:p>
    <w:p>
      <w:pPr>
        <w:ind w:left="1380" w:hanging="407"/>
        <w:spacing w:after="0"/>
        <w:tabs>
          <w:tab w:leader="none" w:pos="1380" w:val="left"/>
        </w:tabs>
        <w:numPr>
          <w:ilvl w:val="3"/>
          <w:numId w:val="136"/>
        </w:numPr>
        <w:rPr>
          <w:rFonts w:ascii="Arial" w:cs="Arial" w:eastAsia="Arial" w:hAnsi="Arial"/>
          <w:sz w:val="17"/>
          <w:szCs w:val="17"/>
          <w:color w:val="auto"/>
        </w:rPr>
      </w:pPr>
      <w:r>
        <w:rPr>
          <w:rFonts w:ascii="Arial" w:cs="Arial" w:eastAsia="Arial" w:hAnsi="Arial"/>
          <w:sz w:val="17"/>
          <w:szCs w:val="17"/>
          <w:color w:val="auto"/>
        </w:rPr>
        <w:t>Roof System.</w:t>
      </w:r>
    </w:p>
    <w:p>
      <w:pPr>
        <w:spacing w:after="0" w:line="209" w:lineRule="exact"/>
        <w:rPr>
          <w:rFonts w:ascii="Arial" w:cs="Arial" w:eastAsia="Arial" w:hAnsi="Arial"/>
          <w:sz w:val="17"/>
          <w:szCs w:val="17"/>
          <w:color w:val="auto"/>
        </w:rPr>
      </w:pPr>
    </w:p>
    <w:p>
      <w:pPr>
        <w:ind w:left="2000" w:hanging="480"/>
        <w:spacing w:after="0"/>
        <w:tabs>
          <w:tab w:leader="none" w:pos="2000" w:val="left"/>
        </w:tabs>
        <w:numPr>
          <w:ilvl w:val="5"/>
          <w:numId w:val="136"/>
        </w:numPr>
        <w:rPr>
          <w:rFonts w:ascii="Arial" w:cs="Arial" w:eastAsia="Arial" w:hAnsi="Arial"/>
          <w:sz w:val="17"/>
          <w:szCs w:val="17"/>
          <w:color w:val="auto"/>
        </w:rPr>
      </w:pPr>
      <w:r>
        <w:rPr>
          <w:rFonts w:ascii="Arial" w:cs="Arial" w:eastAsia="Arial" w:hAnsi="Arial"/>
          <w:sz w:val="17"/>
          <w:szCs w:val="17"/>
          <w:color w:val="auto"/>
        </w:rPr>
        <w:t>Roof system is a single-ply, 45 mil, ballasted EPDM membrane.</w:t>
      </w:r>
    </w:p>
    <w:p>
      <w:pPr>
        <w:spacing w:after="0" w:line="18" w:lineRule="exact"/>
        <w:rPr>
          <w:rFonts w:ascii="Arial" w:cs="Arial" w:eastAsia="Arial" w:hAnsi="Arial"/>
          <w:sz w:val="17"/>
          <w:szCs w:val="17"/>
          <w:color w:val="auto"/>
        </w:rPr>
      </w:pPr>
    </w:p>
    <w:p>
      <w:pPr>
        <w:ind w:left="2000" w:hanging="480"/>
        <w:spacing w:after="0"/>
        <w:tabs>
          <w:tab w:leader="none" w:pos="2000" w:val="left"/>
        </w:tabs>
        <w:numPr>
          <w:ilvl w:val="5"/>
          <w:numId w:val="136"/>
        </w:numPr>
        <w:rPr>
          <w:rFonts w:ascii="Arial" w:cs="Arial" w:eastAsia="Arial" w:hAnsi="Arial"/>
          <w:sz w:val="17"/>
          <w:szCs w:val="17"/>
          <w:color w:val="auto"/>
        </w:rPr>
      </w:pPr>
      <w:r>
        <w:rPr>
          <w:rFonts w:ascii="Arial" w:cs="Arial" w:eastAsia="Arial" w:hAnsi="Arial"/>
          <w:sz w:val="17"/>
          <w:szCs w:val="17"/>
          <w:color w:val="auto"/>
        </w:rPr>
        <w:t>Roof edge fascia and other visible flashings are pre-finished metal.</w:t>
      </w:r>
    </w:p>
    <w:p>
      <w:pPr>
        <w:spacing w:after="0" w:line="6" w:lineRule="exact"/>
        <w:rPr>
          <w:rFonts w:ascii="Arial" w:cs="Arial" w:eastAsia="Arial" w:hAnsi="Arial"/>
          <w:sz w:val="17"/>
          <w:szCs w:val="17"/>
          <w:color w:val="auto"/>
        </w:rPr>
      </w:pPr>
    </w:p>
    <w:p>
      <w:pPr>
        <w:ind w:left="2000" w:right="180" w:hanging="480"/>
        <w:spacing w:after="0" w:line="248" w:lineRule="auto"/>
        <w:tabs>
          <w:tab w:leader="none" w:pos="2000" w:val="left"/>
        </w:tabs>
        <w:numPr>
          <w:ilvl w:val="5"/>
          <w:numId w:val="136"/>
        </w:numPr>
        <w:rPr>
          <w:rFonts w:ascii="Arial" w:cs="Arial" w:eastAsia="Arial" w:hAnsi="Arial"/>
          <w:sz w:val="17"/>
          <w:szCs w:val="17"/>
          <w:color w:val="auto"/>
        </w:rPr>
      </w:pPr>
      <w:r>
        <w:rPr>
          <w:rFonts w:ascii="Arial" w:cs="Arial" w:eastAsia="Arial" w:hAnsi="Arial"/>
          <w:sz w:val="17"/>
          <w:szCs w:val="17"/>
          <w:color w:val="auto"/>
        </w:rPr>
        <w:t>The roofing system materials are guaranteed free from defects for a period of 10 years by the roofing system manufacturer directly to the Owner.</w:t>
      </w:r>
    </w:p>
    <w:p>
      <w:pPr>
        <w:ind w:left="2000" w:hanging="480"/>
        <w:spacing w:after="0"/>
        <w:tabs>
          <w:tab w:leader="none" w:pos="2000" w:val="left"/>
        </w:tabs>
        <w:numPr>
          <w:ilvl w:val="5"/>
          <w:numId w:val="136"/>
        </w:numPr>
        <w:rPr>
          <w:rFonts w:ascii="Arial" w:cs="Arial" w:eastAsia="Arial" w:hAnsi="Arial"/>
          <w:sz w:val="17"/>
          <w:szCs w:val="17"/>
          <w:color w:val="auto"/>
        </w:rPr>
      </w:pPr>
      <w:r>
        <w:rPr>
          <w:rFonts w:ascii="Arial" w:cs="Arial" w:eastAsia="Arial" w:hAnsi="Arial"/>
          <w:sz w:val="17"/>
          <w:szCs w:val="17"/>
          <w:color w:val="auto"/>
        </w:rPr>
        <w:t>Roof areas are insulated with rigid insulation installed over metal deck to provide a minimum overall R value of 22.5.</w:t>
      </w:r>
    </w:p>
    <w:p>
      <w:pPr>
        <w:spacing w:after="0" w:line="197" w:lineRule="exact"/>
        <w:rPr>
          <w:rFonts w:ascii="Arial" w:cs="Arial" w:eastAsia="Arial" w:hAnsi="Arial"/>
          <w:sz w:val="17"/>
          <w:szCs w:val="17"/>
          <w:color w:val="auto"/>
        </w:rPr>
      </w:pPr>
    </w:p>
    <w:p>
      <w:pPr>
        <w:ind w:left="1400" w:hanging="427"/>
        <w:spacing w:after="0"/>
        <w:tabs>
          <w:tab w:leader="none" w:pos="1400" w:val="left"/>
        </w:tabs>
        <w:numPr>
          <w:ilvl w:val="3"/>
          <w:numId w:val="136"/>
        </w:numPr>
        <w:rPr>
          <w:rFonts w:ascii="Arial" w:cs="Arial" w:eastAsia="Arial" w:hAnsi="Arial"/>
          <w:sz w:val="17"/>
          <w:szCs w:val="17"/>
          <w:color w:val="auto"/>
        </w:rPr>
      </w:pPr>
      <w:r>
        <w:rPr>
          <w:rFonts w:ascii="Arial" w:cs="Arial" w:eastAsia="Arial" w:hAnsi="Arial"/>
          <w:sz w:val="17"/>
          <w:szCs w:val="17"/>
          <w:color w:val="auto"/>
        </w:rPr>
        <w:t>Roof Drainage.</w:t>
      </w:r>
    </w:p>
    <w:p>
      <w:pPr>
        <w:spacing w:after="0" w:line="209" w:lineRule="exact"/>
        <w:rPr>
          <w:rFonts w:ascii="Arial" w:cs="Arial" w:eastAsia="Arial" w:hAnsi="Arial"/>
          <w:sz w:val="17"/>
          <w:szCs w:val="17"/>
          <w:color w:val="auto"/>
        </w:rPr>
      </w:pPr>
    </w:p>
    <w:p>
      <w:pPr>
        <w:ind w:left="2000" w:hanging="480"/>
        <w:spacing w:after="0"/>
        <w:tabs>
          <w:tab w:leader="none" w:pos="2000" w:val="left"/>
        </w:tabs>
        <w:numPr>
          <w:ilvl w:val="5"/>
          <w:numId w:val="136"/>
        </w:numPr>
        <w:rPr>
          <w:rFonts w:ascii="Arial" w:cs="Arial" w:eastAsia="Arial" w:hAnsi="Arial"/>
          <w:sz w:val="17"/>
          <w:szCs w:val="17"/>
          <w:color w:val="auto"/>
        </w:rPr>
      </w:pPr>
      <w:r>
        <w:rPr>
          <w:rFonts w:ascii="Arial" w:cs="Arial" w:eastAsia="Arial" w:hAnsi="Arial"/>
          <w:sz w:val="17"/>
          <w:szCs w:val="17"/>
          <w:color w:val="auto"/>
        </w:rPr>
        <w:t>Internal roof drains and PVC rain leader discharge to the storm sewer system.</w:t>
      </w:r>
    </w:p>
    <w:p>
      <w:pPr>
        <w:spacing w:after="0" w:line="18" w:lineRule="exact"/>
        <w:rPr>
          <w:rFonts w:ascii="Arial" w:cs="Arial" w:eastAsia="Arial" w:hAnsi="Arial"/>
          <w:sz w:val="17"/>
          <w:szCs w:val="17"/>
          <w:color w:val="auto"/>
        </w:rPr>
      </w:pPr>
    </w:p>
    <w:p>
      <w:pPr>
        <w:ind w:left="2000" w:hanging="480"/>
        <w:spacing w:after="0"/>
        <w:tabs>
          <w:tab w:leader="none" w:pos="2000" w:val="left"/>
        </w:tabs>
        <w:numPr>
          <w:ilvl w:val="5"/>
          <w:numId w:val="136"/>
        </w:numPr>
        <w:rPr>
          <w:rFonts w:ascii="Arial" w:cs="Arial" w:eastAsia="Arial" w:hAnsi="Arial"/>
          <w:sz w:val="17"/>
          <w:szCs w:val="17"/>
          <w:color w:val="auto"/>
        </w:rPr>
      </w:pPr>
      <w:r>
        <w:rPr>
          <w:rFonts w:ascii="Arial" w:cs="Arial" w:eastAsia="Arial" w:hAnsi="Arial"/>
          <w:sz w:val="17"/>
          <w:szCs w:val="17"/>
          <w:color w:val="auto"/>
        </w:rPr>
        <w:t>Above grade, horizontal portions of the roof drain piping are insulated.</w:t>
      </w:r>
    </w:p>
    <w:p>
      <w:pPr>
        <w:spacing w:after="0" w:line="6" w:lineRule="exact"/>
        <w:rPr>
          <w:rFonts w:ascii="Arial" w:cs="Arial" w:eastAsia="Arial" w:hAnsi="Arial"/>
          <w:sz w:val="17"/>
          <w:szCs w:val="17"/>
          <w:color w:val="auto"/>
        </w:rPr>
      </w:pPr>
    </w:p>
    <w:p>
      <w:pPr>
        <w:ind w:left="2000" w:hanging="480"/>
        <w:spacing w:after="0"/>
        <w:tabs>
          <w:tab w:leader="none" w:pos="2000" w:val="left"/>
        </w:tabs>
        <w:numPr>
          <w:ilvl w:val="5"/>
          <w:numId w:val="136"/>
        </w:numPr>
        <w:rPr>
          <w:rFonts w:ascii="Arial" w:cs="Arial" w:eastAsia="Arial" w:hAnsi="Arial"/>
          <w:sz w:val="17"/>
          <w:szCs w:val="17"/>
          <w:color w:val="auto"/>
        </w:rPr>
      </w:pPr>
      <w:r>
        <w:rPr>
          <w:rFonts w:ascii="Arial" w:cs="Arial" w:eastAsia="Arial" w:hAnsi="Arial"/>
          <w:sz w:val="17"/>
          <w:szCs w:val="17"/>
          <w:color w:val="auto"/>
        </w:rPr>
        <w:t>Overflow scuppers arc provided at the exterior of the building.</w:t>
      </w:r>
    </w:p>
    <w:p>
      <w:pPr>
        <w:spacing w:after="0" w:line="197" w:lineRule="exact"/>
        <w:rPr>
          <w:rFonts w:ascii="Arial" w:cs="Arial" w:eastAsia="Arial" w:hAnsi="Arial"/>
          <w:sz w:val="17"/>
          <w:szCs w:val="17"/>
          <w:color w:val="auto"/>
        </w:rPr>
      </w:pPr>
    </w:p>
    <w:p>
      <w:pPr>
        <w:ind w:left="1380" w:hanging="407"/>
        <w:spacing w:after="0"/>
        <w:tabs>
          <w:tab w:leader="none" w:pos="1380" w:val="left"/>
        </w:tabs>
        <w:numPr>
          <w:ilvl w:val="3"/>
          <w:numId w:val="136"/>
        </w:numPr>
        <w:rPr>
          <w:rFonts w:ascii="Arial" w:cs="Arial" w:eastAsia="Arial" w:hAnsi="Arial"/>
          <w:sz w:val="17"/>
          <w:szCs w:val="17"/>
          <w:color w:val="auto"/>
        </w:rPr>
      </w:pPr>
      <w:r>
        <w:rPr>
          <w:rFonts w:ascii="Arial" w:cs="Arial" w:eastAsia="Arial" w:hAnsi="Arial"/>
          <w:sz w:val="17"/>
          <w:szCs w:val="17"/>
          <w:color w:val="auto"/>
        </w:rPr>
        <w:t>Roof Access.</w:t>
      </w:r>
    </w:p>
    <w:p>
      <w:pPr>
        <w:spacing w:after="0" w:line="209" w:lineRule="exact"/>
        <w:rPr>
          <w:rFonts w:ascii="Arial" w:cs="Arial" w:eastAsia="Arial" w:hAnsi="Arial"/>
          <w:sz w:val="17"/>
          <w:szCs w:val="17"/>
          <w:color w:val="auto"/>
        </w:rPr>
      </w:pPr>
    </w:p>
    <w:p>
      <w:pPr>
        <w:ind w:left="1940" w:hanging="421"/>
        <w:spacing w:after="0"/>
        <w:tabs>
          <w:tab w:leader="none" w:pos="1940" w:val="left"/>
        </w:tabs>
        <w:numPr>
          <w:ilvl w:val="5"/>
          <w:numId w:val="136"/>
        </w:numPr>
        <w:rPr>
          <w:rFonts w:ascii="Arial" w:cs="Arial" w:eastAsia="Arial" w:hAnsi="Arial"/>
          <w:sz w:val="17"/>
          <w:szCs w:val="17"/>
          <w:color w:val="auto"/>
        </w:rPr>
      </w:pPr>
      <w:r>
        <w:rPr>
          <w:rFonts w:ascii="Arial" w:cs="Arial" w:eastAsia="Arial" w:hAnsi="Arial"/>
          <w:sz w:val="17"/>
          <w:szCs w:val="17"/>
          <w:color w:val="auto"/>
        </w:rPr>
        <w:t>A ships ladder and roof hatch is provided for roof access.</w:t>
      </w:r>
    </w:p>
    <w:p>
      <w:pPr>
        <w:spacing w:after="0" w:line="209" w:lineRule="exact"/>
        <w:rPr>
          <w:rFonts w:ascii="Arial" w:cs="Arial" w:eastAsia="Arial" w:hAnsi="Arial"/>
          <w:sz w:val="17"/>
          <w:szCs w:val="17"/>
          <w:color w:val="auto"/>
        </w:rPr>
      </w:pPr>
    </w:p>
    <w:p>
      <w:pPr>
        <w:ind w:left="900" w:hanging="413"/>
        <w:spacing w:after="0"/>
        <w:tabs>
          <w:tab w:leader="none" w:pos="90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Exterior Walls.</w:t>
      </w:r>
    </w:p>
    <w:p>
      <w:pPr>
        <w:spacing w:after="0" w:line="209" w:lineRule="exact"/>
        <w:rPr>
          <w:rFonts w:ascii="Arial" w:cs="Arial" w:eastAsia="Arial" w:hAnsi="Arial"/>
          <w:sz w:val="17"/>
          <w:szCs w:val="17"/>
          <w:color w:val="auto"/>
        </w:rPr>
      </w:pPr>
    </w:p>
    <w:p>
      <w:pPr>
        <w:ind w:left="1380" w:hanging="407"/>
        <w:spacing w:after="0"/>
        <w:tabs>
          <w:tab w:leader="none" w:pos="1380" w:val="left"/>
        </w:tabs>
        <w:numPr>
          <w:ilvl w:val="3"/>
          <w:numId w:val="136"/>
        </w:numPr>
        <w:rPr>
          <w:rFonts w:ascii="Arial" w:cs="Arial" w:eastAsia="Arial" w:hAnsi="Arial"/>
          <w:sz w:val="17"/>
          <w:szCs w:val="17"/>
          <w:color w:val="auto"/>
        </w:rPr>
      </w:pPr>
      <w:r>
        <w:rPr>
          <w:rFonts w:ascii="Arial" w:cs="Arial" w:eastAsia="Arial" w:hAnsi="Arial"/>
          <w:sz w:val="17"/>
          <w:szCs w:val="17"/>
          <w:color w:val="auto"/>
        </w:rPr>
        <w:t>Concrete Block.</w:t>
      </w:r>
    </w:p>
    <w:p>
      <w:pPr>
        <w:spacing w:after="0" w:line="209" w:lineRule="exact"/>
        <w:rPr>
          <w:rFonts w:ascii="Arial" w:cs="Arial" w:eastAsia="Arial" w:hAnsi="Arial"/>
          <w:sz w:val="17"/>
          <w:szCs w:val="17"/>
          <w:color w:val="auto"/>
        </w:rPr>
      </w:pPr>
    </w:p>
    <w:p>
      <w:pPr>
        <w:ind w:left="2000" w:right="480" w:hanging="480"/>
        <w:spacing w:after="0" w:line="255" w:lineRule="auto"/>
        <w:tabs>
          <w:tab w:leader="none" w:pos="2000" w:val="left"/>
        </w:tabs>
        <w:numPr>
          <w:ilvl w:val="5"/>
          <w:numId w:val="136"/>
        </w:numPr>
        <w:rPr>
          <w:rFonts w:ascii="Arial" w:cs="Arial" w:eastAsia="Arial" w:hAnsi="Arial"/>
          <w:sz w:val="17"/>
          <w:szCs w:val="17"/>
          <w:color w:val="auto"/>
        </w:rPr>
      </w:pPr>
      <w:r>
        <w:rPr>
          <w:rFonts w:ascii="Arial" w:cs="Arial" w:eastAsia="Arial" w:hAnsi="Arial"/>
          <w:sz w:val="17"/>
          <w:szCs w:val="17"/>
          <w:color w:val="auto"/>
        </w:rPr>
        <w:t>The building exterior walls are constructed of integrally colored architectural concrete block (rock face. and burnished) with colored mortar.</w:t>
      </w:r>
    </w:p>
    <w:p>
      <w:pPr>
        <w:spacing w:after="0" w:line="1" w:lineRule="exact"/>
        <w:rPr>
          <w:rFonts w:ascii="Arial" w:cs="Arial" w:eastAsia="Arial" w:hAnsi="Arial"/>
          <w:sz w:val="17"/>
          <w:szCs w:val="17"/>
          <w:color w:val="auto"/>
        </w:rPr>
      </w:pPr>
    </w:p>
    <w:p>
      <w:pPr>
        <w:ind w:left="2000" w:hanging="480"/>
        <w:spacing w:after="0"/>
        <w:tabs>
          <w:tab w:leader="none" w:pos="2000" w:val="left"/>
        </w:tabs>
        <w:numPr>
          <w:ilvl w:val="5"/>
          <w:numId w:val="136"/>
        </w:numPr>
        <w:rPr>
          <w:rFonts w:ascii="Arial" w:cs="Arial" w:eastAsia="Arial" w:hAnsi="Arial"/>
          <w:sz w:val="17"/>
          <w:szCs w:val="17"/>
          <w:color w:val="auto"/>
        </w:rPr>
      </w:pPr>
      <w:r>
        <w:rPr>
          <w:rFonts w:ascii="Arial" w:cs="Arial" w:eastAsia="Arial" w:hAnsi="Arial"/>
          <w:sz w:val="17"/>
          <w:szCs w:val="17"/>
          <w:color w:val="auto"/>
        </w:rPr>
        <w:t>Exterior masonry walls shall be insulated with 2" of foil-faced expanded polystyrene insulation.</w:t>
      </w:r>
    </w:p>
    <w:p>
      <w:pPr>
        <w:spacing w:after="0" w:line="6" w:lineRule="exact"/>
        <w:rPr>
          <w:rFonts w:ascii="Arial" w:cs="Arial" w:eastAsia="Arial" w:hAnsi="Arial"/>
          <w:sz w:val="17"/>
          <w:szCs w:val="17"/>
          <w:color w:val="auto"/>
        </w:rPr>
      </w:pPr>
    </w:p>
    <w:p>
      <w:pPr>
        <w:ind w:left="2000" w:hanging="480"/>
        <w:spacing w:after="0"/>
        <w:tabs>
          <w:tab w:leader="none" w:pos="2000" w:val="left"/>
        </w:tabs>
        <w:numPr>
          <w:ilvl w:val="5"/>
          <w:numId w:val="136"/>
        </w:numPr>
        <w:rPr>
          <w:rFonts w:ascii="Arial" w:cs="Arial" w:eastAsia="Arial" w:hAnsi="Arial"/>
          <w:sz w:val="17"/>
          <w:szCs w:val="17"/>
          <w:color w:val="auto"/>
        </w:rPr>
      </w:pPr>
      <w:r>
        <w:rPr>
          <w:rFonts w:ascii="Arial" w:cs="Arial" w:eastAsia="Arial" w:hAnsi="Arial"/>
          <w:sz w:val="17"/>
          <w:szCs w:val="17"/>
          <w:color w:val="auto"/>
        </w:rPr>
        <w:t>Concrete block walls are constructed with bond beams and reinforcing as required by the final structural design.</w:t>
      </w:r>
    </w:p>
    <w:p>
      <w:pPr>
        <w:spacing w:after="0" w:line="6" w:lineRule="exact"/>
        <w:rPr>
          <w:rFonts w:ascii="Arial" w:cs="Arial" w:eastAsia="Arial" w:hAnsi="Arial"/>
          <w:sz w:val="17"/>
          <w:szCs w:val="17"/>
          <w:color w:val="auto"/>
        </w:rPr>
      </w:pPr>
    </w:p>
    <w:p>
      <w:pPr>
        <w:ind w:left="2000" w:hanging="480"/>
        <w:spacing w:after="0"/>
        <w:tabs>
          <w:tab w:leader="none" w:pos="2000" w:val="left"/>
        </w:tabs>
        <w:numPr>
          <w:ilvl w:val="5"/>
          <w:numId w:val="136"/>
        </w:numPr>
        <w:rPr>
          <w:rFonts w:ascii="Arial" w:cs="Arial" w:eastAsia="Arial" w:hAnsi="Arial"/>
          <w:sz w:val="17"/>
          <w:szCs w:val="17"/>
          <w:color w:val="auto"/>
        </w:rPr>
      </w:pPr>
      <w:r>
        <w:rPr>
          <w:rFonts w:ascii="Arial" w:cs="Arial" w:eastAsia="Arial" w:hAnsi="Arial"/>
          <w:sz w:val="17"/>
          <w:szCs w:val="17"/>
          <w:color w:val="auto"/>
        </w:rPr>
        <w:t>Sealed control joints are provided at masonry walls for control of thermal and structural movement.</w:t>
      </w:r>
    </w:p>
    <w:p>
      <w:pPr>
        <w:spacing w:after="0" w:line="6" w:lineRule="exact"/>
        <w:rPr>
          <w:rFonts w:ascii="Arial" w:cs="Arial" w:eastAsia="Arial" w:hAnsi="Arial"/>
          <w:sz w:val="17"/>
          <w:szCs w:val="17"/>
          <w:color w:val="auto"/>
        </w:rPr>
      </w:pPr>
    </w:p>
    <w:p>
      <w:pPr>
        <w:ind w:left="2000" w:hanging="480"/>
        <w:spacing w:after="0"/>
        <w:tabs>
          <w:tab w:leader="none" w:pos="2000" w:val="left"/>
        </w:tabs>
        <w:numPr>
          <w:ilvl w:val="5"/>
          <w:numId w:val="136"/>
        </w:numPr>
        <w:rPr>
          <w:rFonts w:ascii="Arial" w:cs="Arial" w:eastAsia="Arial" w:hAnsi="Arial"/>
          <w:sz w:val="17"/>
          <w:szCs w:val="17"/>
          <w:color w:val="auto"/>
        </w:rPr>
      </w:pPr>
      <w:r>
        <w:rPr>
          <w:rFonts w:ascii="Arial" w:cs="Arial" w:eastAsia="Arial" w:hAnsi="Arial"/>
          <w:sz w:val="17"/>
          <w:szCs w:val="17"/>
          <w:color w:val="auto"/>
        </w:rPr>
        <w:t>Flashings and weeps are provided at exterior walls as required for control of water infiltration.</w:t>
      </w:r>
    </w:p>
    <w:p>
      <w:pPr>
        <w:spacing w:after="0" w:line="6" w:lineRule="exact"/>
        <w:rPr>
          <w:rFonts w:ascii="Arial" w:cs="Arial" w:eastAsia="Arial" w:hAnsi="Arial"/>
          <w:sz w:val="17"/>
          <w:szCs w:val="17"/>
          <w:color w:val="auto"/>
        </w:rPr>
      </w:pPr>
    </w:p>
    <w:p>
      <w:pPr>
        <w:ind w:left="2000" w:hanging="480"/>
        <w:spacing w:after="0"/>
        <w:tabs>
          <w:tab w:leader="none" w:pos="2000" w:val="left"/>
        </w:tabs>
        <w:numPr>
          <w:ilvl w:val="5"/>
          <w:numId w:val="136"/>
        </w:numPr>
        <w:rPr>
          <w:rFonts w:ascii="Arial" w:cs="Arial" w:eastAsia="Arial" w:hAnsi="Arial"/>
          <w:sz w:val="17"/>
          <w:szCs w:val="17"/>
          <w:color w:val="auto"/>
        </w:rPr>
      </w:pPr>
      <w:r>
        <w:rPr>
          <w:rFonts w:ascii="Arial" w:cs="Arial" w:eastAsia="Arial" w:hAnsi="Arial"/>
          <w:sz w:val="17"/>
          <w:szCs w:val="17"/>
          <w:color w:val="auto"/>
        </w:rPr>
        <w:t>Architectural masonry has a clear coat scaler.</w:t>
      </w:r>
    </w:p>
    <w:p>
      <w:pPr>
        <w:spacing w:after="0" w:line="197" w:lineRule="exact"/>
        <w:rPr>
          <w:rFonts w:ascii="Arial" w:cs="Arial" w:eastAsia="Arial" w:hAnsi="Arial"/>
          <w:sz w:val="17"/>
          <w:szCs w:val="17"/>
          <w:color w:val="auto"/>
        </w:rPr>
      </w:pPr>
    </w:p>
    <w:p>
      <w:pPr>
        <w:ind w:left="900" w:hanging="413"/>
        <w:spacing w:after="0"/>
        <w:tabs>
          <w:tab w:leader="none" w:pos="90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Exterior Insulation Finish System (ELI'S).</w:t>
      </w:r>
    </w:p>
    <w:p>
      <w:pPr>
        <w:spacing w:after="0" w:line="209" w:lineRule="exact"/>
        <w:rPr>
          <w:rFonts w:ascii="Arial" w:cs="Arial" w:eastAsia="Arial" w:hAnsi="Arial"/>
          <w:sz w:val="17"/>
          <w:szCs w:val="17"/>
          <w:color w:val="auto"/>
        </w:rPr>
      </w:pPr>
    </w:p>
    <w:p>
      <w:pPr>
        <w:ind w:left="1960" w:hanging="440"/>
        <w:spacing w:after="0"/>
        <w:tabs>
          <w:tab w:leader="none" w:pos="1960" w:val="left"/>
        </w:tabs>
        <w:numPr>
          <w:ilvl w:val="5"/>
          <w:numId w:val="136"/>
        </w:numPr>
        <w:rPr>
          <w:rFonts w:ascii="Arial" w:cs="Arial" w:eastAsia="Arial" w:hAnsi="Arial"/>
          <w:sz w:val="17"/>
          <w:szCs w:val="17"/>
          <w:color w:val="auto"/>
        </w:rPr>
      </w:pPr>
      <w:r>
        <w:rPr>
          <w:rFonts w:ascii="Arial" w:cs="Arial" w:eastAsia="Arial" w:hAnsi="Arial"/>
          <w:sz w:val="17"/>
          <w:szCs w:val="17"/>
          <w:color w:val="auto"/>
        </w:rPr>
        <w:t>Finish texture to be standard pebble finish.</w:t>
      </w:r>
    </w:p>
    <w:p>
      <w:pPr>
        <w:spacing w:after="0" w:line="209" w:lineRule="exact"/>
        <w:rPr>
          <w:rFonts w:ascii="Arial" w:cs="Arial" w:eastAsia="Arial" w:hAnsi="Arial"/>
          <w:sz w:val="17"/>
          <w:szCs w:val="17"/>
          <w:color w:val="auto"/>
        </w:rPr>
      </w:pPr>
    </w:p>
    <w:p>
      <w:pPr>
        <w:ind w:left="1940" w:right="260" w:hanging="484"/>
        <w:spacing w:after="0" w:line="271" w:lineRule="auto"/>
        <w:tabs>
          <w:tab w:leader="none" w:pos="1940" w:val="left"/>
        </w:tabs>
        <w:numPr>
          <w:ilvl w:val="4"/>
          <w:numId w:val="136"/>
        </w:numPr>
        <w:rPr>
          <w:rFonts w:ascii="Arial" w:cs="Arial" w:eastAsia="Arial" w:hAnsi="Arial"/>
          <w:sz w:val="17"/>
          <w:szCs w:val="17"/>
          <w:color w:val="auto"/>
        </w:rPr>
      </w:pPr>
      <w:r>
        <w:rPr>
          <w:rFonts w:ascii="Arial" w:cs="Arial" w:eastAsia="Arial" w:hAnsi="Arial"/>
          <w:sz w:val="17"/>
          <w:szCs w:val="17"/>
          <w:color w:val="auto"/>
        </w:rPr>
        <w:t>ETES system shall include concrete unit masonry substrate, expanded polystyrene insulation, synthetic base coat, reinforcing fabric, and finish color coal.</w:t>
      </w:r>
    </w:p>
    <w:p>
      <w:pPr>
        <w:spacing w:after="0" w:line="165" w:lineRule="exact"/>
        <w:rPr>
          <w:rFonts w:ascii="Arial" w:cs="Arial" w:eastAsia="Arial" w:hAnsi="Arial"/>
          <w:sz w:val="17"/>
          <w:szCs w:val="17"/>
          <w:color w:val="auto"/>
        </w:rPr>
      </w:pPr>
    </w:p>
    <w:p>
      <w:pPr>
        <w:ind w:left="900" w:hanging="413"/>
        <w:spacing w:after="0"/>
        <w:tabs>
          <w:tab w:leader="none" w:pos="90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Exterior Window System.</w:t>
      </w:r>
    </w:p>
    <w:p>
      <w:pPr>
        <w:spacing w:after="0" w:line="209" w:lineRule="exact"/>
        <w:rPr>
          <w:rFonts w:ascii="Arial" w:cs="Arial" w:eastAsia="Arial" w:hAnsi="Arial"/>
          <w:sz w:val="17"/>
          <w:szCs w:val="17"/>
          <w:color w:val="auto"/>
        </w:rPr>
      </w:pPr>
    </w:p>
    <w:p>
      <w:pPr>
        <w:ind w:left="1500" w:hanging="537"/>
        <w:spacing w:after="0"/>
        <w:tabs>
          <w:tab w:leader="none" w:pos="1500" w:val="left"/>
        </w:tabs>
        <w:numPr>
          <w:ilvl w:val="2"/>
          <w:numId w:val="136"/>
        </w:numPr>
        <w:rPr>
          <w:rFonts w:ascii="Arial" w:cs="Arial" w:eastAsia="Arial" w:hAnsi="Arial"/>
          <w:sz w:val="16"/>
          <w:szCs w:val="16"/>
          <w:color w:val="auto"/>
        </w:rPr>
      </w:pPr>
      <w:r>
        <w:rPr>
          <w:rFonts w:ascii="Arial" w:cs="Arial" w:eastAsia="Arial" w:hAnsi="Arial"/>
          <w:sz w:val="16"/>
          <w:szCs w:val="16"/>
          <w:color w:val="auto"/>
        </w:rPr>
        <w:t>Windows are punched, I" thick, tinted thermal panes set in anodized aluminum frames with thermally-broken design with Low-Pi glass.</w:t>
      </w:r>
    </w:p>
    <w:p>
      <w:pPr>
        <w:spacing w:after="0" w:line="30" w:lineRule="exact"/>
        <w:rPr>
          <w:rFonts w:ascii="Arial" w:cs="Arial" w:eastAsia="Arial" w:hAnsi="Arial"/>
          <w:sz w:val="16"/>
          <w:szCs w:val="16"/>
          <w:color w:val="auto"/>
        </w:rPr>
      </w:pPr>
    </w:p>
    <w:p>
      <w:pPr>
        <w:ind w:left="1500" w:hanging="537"/>
        <w:spacing w:after="0"/>
        <w:tabs>
          <w:tab w:leader="none" w:pos="1500" w:val="left"/>
        </w:tabs>
        <w:numPr>
          <w:ilvl w:val="2"/>
          <w:numId w:val="136"/>
        </w:numPr>
        <w:rPr>
          <w:rFonts w:ascii="Arial" w:cs="Arial" w:eastAsia="Arial" w:hAnsi="Arial"/>
          <w:sz w:val="17"/>
          <w:szCs w:val="17"/>
          <w:color w:val="auto"/>
        </w:rPr>
      </w:pPr>
      <w:r>
        <w:rPr>
          <w:rFonts w:ascii="Arial" w:cs="Arial" w:eastAsia="Arial" w:hAnsi="Arial"/>
          <w:sz w:val="17"/>
          <w:szCs w:val="17"/>
          <w:color w:val="auto"/>
        </w:rPr>
        <w:t>Metal trim and flashing matches the window system on the exterior wall.</w:t>
      </w:r>
    </w:p>
    <w:p>
      <w:pPr>
        <w:spacing w:after="0" w:line="197" w:lineRule="exact"/>
        <w:rPr>
          <w:rFonts w:ascii="Arial" w:cs="Arial" w:eastAsia="Arial" w:hAnsi="Arial"/>
          <w:sz w:val="17"/>
          <w:szCs w:val="17"/>
          <w:color w:val="auto"/>
        </w:rPr>
      </w:pPr>
    </w:p>
    <w:p>
      <w:pPr>
        <w:ind w:left="900" w:hanging="413"/>
        <w:spacing w:after="0"/>
        <w:tabs>
          <w:tab w:leader="none" w:pos="90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Exterior Doors.</w:t>
      </w:r>
    </w:p>
    <w:p>
      <w:pPr>
        <w:spacing w:after="0" w:line="209" w:lineRule="exact"/>
        <w:rPr>
          <w:rFonts w:ascii="Arial" w:cs="Arial" w:eastAsia="Arial" w:hAnsi="Arial"/>
          <w:sz w:val="17"/>
          <w:szCs w:val="17"/>
          <w:color w:val="auto"/>
        </w:rPr>
      </w:pPr>
    </w:p>
    <w:p>
      <w:pPr>
        <w:ind w:left="1380" w:hanging="407"/>
        <w:spacing w:after="0"/>
        <w:tabs>
          <w:tab w:leader="none" w:pos="1380" w:val="left"/>
        </w:tabs>
        <w:numPr>
          <w:ilvl w:val="3"/>
          <w:numId w:val="136"/>
        </w:numPr>
        <w:rPr>
          <w:rFonts w:ascii="Arial" w:cs="Arial" w:eastAsia="Arial" w:hAnsi="Arial"/>
          <w:sz w:val="17"/>
          <w:szCs w:val="17"/>
          <w:color w:val="auto"/>
        </w:rPr>
      </w:pPr>
      <w:r>
        <w:rPr>
          <w:rFonts w:ascii="Arial" w:cs="Arial" w:eastAsia="Arial" w:hAnsi="Arial"/>
          <w:sz w:val="17"/>
          <w:szCs w:val="17"/>
          <w:color w:val="auto"/>
        </w:rPr>
        <w:t>Aluminum Doors.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414020</wp:posOffset>
            </wp:positionV>
            <wp:extent cx="7255510" cy="40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7"/>
          <w:szCs w:val="17"/>
          <w:color w:val="auto"/>
        </w:rPr>
        <w:t>Page 8 of 13</w:t>
      </w:r>
    </w:p>
    <w:p>
      <w:pPr>
        <w:spacing w:after="0" w:line="209" w:lineRule="exact"/>
        <w:rPr>
          <w:sz w:val="20"/>
          <w:szCs w:val="20"/>
          <w:color w:val="auto"/>
        </w:rPr>
      </w:pPr>
    </w:p>
    <w:p>
      <w:pPr>
        <w:ind w:left="1940" w:hanging="480"/>
        <w:spacing w:after="0"/>
        <w:tabs>
          <w:tab w:leader="none" w:pos="1940" w:val="left"/>
        </w:tabs>
        <w:numPr>
          <w:ilvl w:val="3"/>
          <w:numId w:val="137"/>
        </w:numPr>
        <w:rPr>
          <w:rFonts w:ascii="Arial" w:cs="Arial" w:eastAsia="Arial" w:hAnsi="Arial"/>
          <w:sz w:val="17"/>
          <w:szCs w:val="17"/>
          <w:color w:val="auto"/>
        </w:rPr>
      </w:pPr>
      <w:r>
        <w:rPr>
          <w:rFonts w:ascii="Arial" w:cs="Arial" w:eastAsia="Arial" w:hAnsi="Arial"/>
          <w:sz w:val="17"/>
          <w:szCs w:val="17"/>
          <w:color w:val="auto"/>
        </w:rPr>
        <w:t>Finish matches window framing system.</w:t>
      </w:r>
    </w:p>
    <w:p>
      <w:pPr>
        <w:spacing w:after="0" w:line="18" w:lineRule="exact"/>
        <w:rPr>
          <w:rFonts w:ascii="Arial" w:cs="Arial" w:eastAsia="Arial" w:hAnsi="Arial"/>
          <w:sz w:val="17"/>
          <w:szCs w:val="17"/>
          <w:color w:val="auto"/>
        </w:rPr>
      </w:pPr>
    </w:p>
    <w:p>
      <w:pPr>
        <w:ind w:left="1940" w:hanging="480"/>
        <w:spacing w:after="0"/>
        <w:tabs>
          <w:tab w:leader="none" w:pos="1940" w:val="left"/>
        </w:tabs>
        <w:numPr>
          <w:ilvl w:val="3"/>
          <w:numId w:val="137"/>
        </w:numPr>
        <w:rPr>
          <w:rFonts w:ascii="Arial" w:cs="Arial" w:eastAsia="Arial" w:hAnsi="Arial"/>
          <w:sz w:val="17"/>
          <w:szCs w:val="17"/>
          <w:color w:val="auto"/>
        </w:rPr>
      </w:pPr>
      <w:r>
        <w:rPr>
          <w:rFonts w:ascii="Arial" w:cs="Arial" w:eastAsia="Arial" w:hAnsi="Arial"/>
          <w:sz w:val="17"/>
          <w:szCs w:val="17"/>
          <w:color w:val="auto"/>
        </w:rPr>
        <w:t>Aluminum thresholds are provided at exterior doors.</w:t>
      </w:r>
    </w:p>
    <w:p>
      <w:pPr>
        <w:spacing w:after="0" w:line="6" w:lineRule="exact"/>
        <w:rPr>
          <w:rFonts w:ascii="Arial" w:cs="Arial" w:eastAsia="Arial" w:hAnsi="Arial"/>
          <w:sz w:val="17"/>
          <w:szCs w:val="17"/>
          <w:color w:val="auto"/>
        </w:rPr>
      </w:pPr>
    </w:p>
    <w:p>
      <w:pPr>
        <w:ind w:left="1940" w:hanging="480"/>
        <w:spacing w:after="0"/>
        <w:tabs>
          <w:tab w:leader="none" w:pos="1940" w:val="left"/>
        </w:tabs>
        <w:numPr>
          <w:ilvl w:val="3"/>
          <w:numId w:val="137"/>
        </w:numPr>
        <w:rPr>
          <w:rFonts w:ascii="Arial" w:cs="Arial" w:eastAsia="Arial" w:hAnsi="Arial"/>
          <w:sz w:val="17"/>
          <w:szCs w:val="17"/>
          <w:color w:val="auto"/>
        </w:rPr>
      </w:pPr>
      <w:r>
        <w:rPr>
          <w:rFonts w:ascii="Arial" w:cs="Arial" w:eastAsia="Arial" w:hAnsi="Arial"/>
          <w:sz w:val="17"/>
          <w:szCs w:val="17"/>
          <w:color w:val="auto"/>
        </w:rPr>
        <w:t>Panic devices are provided at entrance doors where required by code.</w:t>
      </w:r>
    </w:p>
    <w:p>
      <w:pPr>
        <w:spacing w:after="0" w:line="197" w:lineRule="exact"/>
        <w:rPr>
          <w:rFonts w:ascii="Arial" w:cs="Arial" w:eastAsia="Arial" w:hAnsi="Arial"/>
          <w:sz w:val="17"/>
          <w:szCs w:val="17"/>
          <w:color w:val="auto"/>
        </w:rPr>
      </w:pPr>
    </w:p>
    <w:p>
      <w:pPr>
        <w:ind w:left="1400" w:hanging="426"/>
        <w:spacing w:after="0"/>
        <w:tabs>
          <w:tab w:leader="none" w:pos="1400" w:val="left"/>
        </w:tabs>
        <w:numPr>
          <w:ilvl w:val="2"/>
          <w:numId w:val="138"/>
        </w:numPr>
        <w:rPr>
          <w:rFonts w:ascii="Arial" w:cs="Arial" w:eastAsia="Arial" w:hAnsi="Arial"/>
          <w:sz w:val="17"/>
          <w:szCs w:val="17"/>
          <w:color w:val="auto"/>
        </w:rPr>
      </w:pPr>
      <w:r>
        <w:rPr>
          <w:rFonts w:ascii="Arial" w:cs="Arial" w:eastAsia="Arial" w:hAnsi="Arial"/>
          <w:sz w:val="17"/>
          <w:szCs w:val="17"/>
          <w:color w:val="auto"/>
        </w:rPr>
        <w:t>Exterior Hollow Metal Doors.</w:t>
      </w:r>
    </w:p>
    <w:p>
      <w:pPr>
        <w:spacing w:after="0" w:line="209" w:lineRule="exact"/>
        <w:rPr>
          <w:rFonts w:ascii="Arial" w:cs="Arial" w:eastAsia="Arial" w:hAnsi="Arial"/>
          <w:sz w:val="17"/>
          <w:szCs w:val="17"/>
          <w:color w:val="auto"/>
        </w:rPr>
      </w:pPr>
    </w:p>
    <w:p>
      <w:pPr>
        <w:ind w:left="1880" w:hanging="420"/>
        <w:spacing w:after="0"/>
        <w:tabs>
          <w:tab w:leader="none" w:pos="1880" w:val="left"/>
        </w:tabs>
        <w:numPr>
          <w:ilvl w:val="3"/>
          <w:numId w:val="138"/>
        </w:numPr>
        <w:rPr>
          <w:rFonts w:ascii="Arial" w:cs="Arial" w:eastAsia="Arial" w:hAnsi="Arial"/>
          <w:sz w:val="17"/>
          <w:szCs w:val="17"/>
          <w:color w:val="auto"/>
        </w:rPr>
      </w:pPr>
      <w:r>
        <w:rPr>
          <w:rFonts w:ascii="Arial" w:cs="Arial" w:eastAsia="Arial" w:hAnsi="Arial"/>
          <w:sz w:val="17"/>
          <w:szCs w:val="17"/>
          <w:color w:val="auto"/>
        </w:rPr>
        <w:t>Exterior hollow metal doors are 3'-0" x 7'-0", flush face panel design.</w:t>
      </w:r>
    </w:p>
    <w:p>
      <w:pPr>
        <w:spacing w:after="0" w:line="18" w:lineRule="exact"/>
        <w:rPr>
          <w:rFonts w:ascii="Arial" w:cs="Arial" w:eastAsia="Arial" w:hAnsi="Arial"/>
          <w:sz w:val="17"/>
          <w:szCs w:val="17"/>
          <w:color w:val="auto"/>
        </w:rPr>
      </w:pPr>
    </w:p>
    <w:p>
      <w:pPr>
        <w:ind w:left="2200" w:hanging="740"/>
        <w:spacing w:after="0"/>
        <w:tabs>
          <w:tab w:leader="none" w:pos="2200" w:val="left"/>
        </w:tabs>
        <w:numPr>
          <w:ilvl w:val="3"/>
          <w:numId w:val="138"/>
        </w:numPr>
        <w:rPr>
          <w:rFonts w:ascii="Arial" w:cs="Arial" w:eastAsia="Arial" w:hAnsi="Arial"/>
          <w:sz w:val="17"/>
          <w:szCs w:val="17"/>
          <w:color w:val="auto"/>
        </w:rPr>
      </w:pPr>
      <w:r>
        <w:rPr>
          <w:rFonts w:ascii="Arial" w:cs="Arial" w:eastAsia="Arial" w:hAnsi="Arial"/>
          <w:sz w:val="17"/>
          <w:szCs w:val="17"/>
          <w:color w:val="auto"/>
        </w:rPr>
        <w:t>Exterior hollow metal doors shall be insulated and weather-shipped.</w:t>
      </w:r>
    </w:p>
    <w:p>
      <w:pPr>
        <w:spacing w:after="0" w:line="6" w:lineRule="exact"/>
        <w:rPr>
          <w:rFonts w:ascii="Arial" w:cs="Arial" w:eastAsia="Arial" w:hAnsi="Arial"/>
          <w:sz w:val="17"/>
          <w:szCs w:val="17"/>
          <w:color w:val="auto"/>
        </w:rPr>
      </w:pPr>
    </w:p>
    <w:p>
      <w:pPr>
        <w:ind w:left="2200" w:hanging="740"/>
        <w:spacing w:after="0"/>
        <w:tabs>
          <w:tab w:leader="none" w:pos="2200" w:val="left"/>
        </w:tabs>
        <w:numPr>
          <w:ilvl w:val="3"/>
          <w:numId w:val="138"/>
        </w:numPr>
        <w:rPr>
          <w:rFonts w:ascii="Arial" w:cs="Arial" w:eastAsia="Arial" w:hAnsi="Arial"/>
          <w:sz w:val="17"/>
          <w:szCs w:val="17"/>
          <w:color w:val="auto"/>
        </w:rPr>
      </w:pPr>
      <w:r>
        <w:rPr>
          <w:rFonts w:ascii="Arial" w:cs="Arial" w:eastAsia="Arial" w:hAnsi="Arial"/>
          <w:sz w:val="17"/>
          <w:szCs w:val="17"/>
          <w:color w:val="auto"/>
        </w:rPr>
        <w:t>Hollow metal door will he painted to match exterior.</w:t>
      </w:r>
    </w:p>
    <w:p>
      <w:pPr>
        <w:spacing w:after="0" w:line="197" w:lineRule="exact"/>
        <w:rPr>
          <w:rFonts w:ascii="Arial" w:cs="Arial" w:eastAsia="Arial" w:hAnsi="Arial"/>
          <w:sz w:val="17"/>
          <w:szCs w:val="17"/>
          <w:color w:val="auto"/>
        </w:rPr>
      </w:pPr>
    </w:p>
    <w:p>
      <w:pPr>
        <w:ind w:left="1380" w:hanging="406"/>
        <w:spacing w:after="0"/>
        <w:tabs>
          <w:tab w:leader="none" w:pos="1380" w:val="left"/>
        </w:tabs>
        <w:numPr>
          <w:ilvl w:val="2"/>
          <w:numId w:val="138"/>
        </w:numPr>
        <w:rPr>
          <w:rFonts w:ascii="Arial" w:cs="Arial" w:eastAsia="Arial" w:hAnsi="Arial"/>
          <w:sz w:val="17"/>
          <w:szCs w:val="17"/>
          <w:color w:val="auto"/>
        </w:rPr>
      </w:pPr>
      <w:r>
        <w:rPr>
          <w:rFonts w:ascii="Arial" w:cs="Arial" w:eastAsia="Arial" w:hAnsi="Arial"/>
          <w:sz w:val="17"/>
          <w:szCs w:val="17"/>
          <w:color w:val="auto"/>
        </w:rPr>
        <w:t>Overhead Doors.</w:t>
      </w:r>
    </w:p>
    <w:p>
      <w:pPr>
        <w:spacing w:after="0" w:line="209" w:lineRule="exact"/>
        <w:rPr>
          <w:rFonts w:ascii="Arial" w:cs="Arial" w:eastAsia="Arial" w:hAnsi="Arial"/>
          <w:sz w:val="17"/>
          <w:szCs w:val="17"/>
          <w:color w:val="auto"/>
        </w:rPr>
      </w:pPr>
    </w:p>
    <w:p>
      <w:pPr>
        <w:ind w:left="1940" w:hanging="480"/>
        <w:spacing w:after="0"/>
        <w:tabs>
          <w:tab w:leader="none" w:pos="1940" w:val="left"/>
        </w:tabs>
        <w:numPr>
          <w:ilvl w:val="3"/>
          <w:numId w:val="138"/>
        </w:numPr>
        <w:rPr>
          <w:rFonts w:ascii="Arial" w:cs="Arial" w:eastAsia="Arial" w:hAnsi="Arial"/>
          <w:sz w:val="17"/>
          <w:szCs w:val="17"/>
          <w:color w:val="auto"/>
        </w:rPr>
      </w:pPr>
      <w:r>
        <w:rPr>
          <w:rFonts w:ascii="Arial" w:cs="Arial" w:eastAsia="Arial" w:hAnsi="Arial"/>
          <w:sz w:val="17"/>
          <w:szCs w:val="17"/>
          <w:color w:val="auto"/>
        </w:rPr>
        <w:t>Two exterior insulated sectional doors will be provided.</w:t>
      </w:r>
    </w:p>
    <w:p>
      <w:pPr>
        <w:spacing w:after="0" w:line="18" w:lineRule="exact"/>
        <w:rPr>
          <w:rFonts w:ascii="Arial" w:cs="Arial" w:eastAsia="Arial" w:hAnsi="Arial"/>
          <w:sz w:val="17"/>
          <w:szCs w:val="17"/>
          <w:color w:val="auto"/>
        </w:rPr>
      </w:pPr>
    </w:p>
    <w:p>
      <w:pPr>
        <w:ind w:left="1940" w:hanging="480"/>
        <w:spacing w:after="0"/>
        <w:tabs>
          <w:tab w:leader="none" w:pos="1940" w:val="left"/>
        </w:tabs>
        <w:numPr>
          <w:ilvl w:val="3"/>
          <w:numId w:val="138"/>
        </w:numPr>
        <w:rPr>
          <w:rFonts w:ascii="Arial" w:cs="Arial" w:eastAsia="Arial" w:hAnsi="Arial"/>
          <w:sz w:val="17"/>
          <w:szCs w:val="17"/>
          <w:color w:val="auto"/>
        </w:rPr>
      </w:pPr>
      <w:r>
        <w:rPr>
          <w:rFonts w:ascii="Arial" w:cs="Arial" w:eastAsia="Arial" w:hAnsi="Arial"/>
          <w:sz w:val="17"/>
          <w:szCs w:val="17"/>
          <w:color w:val="auto"/>
        </w:rPr>
        <w:t>Overhead doors will be manually operated.</w:t>
      </w:r>
    </w:p>
    <w:p>
      <w:pPr>
        <w:spacing w:after="0" w:line="6" w:lineRule="exact"/>
        <w:rPr>
          <w:rFonts w:ascii="Arial" w:cs="Arial" w:eastAsia="Arial" w:hAnsi="Arial"/>
          <w:sz w:val="17"/>
          <w:szCs w:val="17"/>
          <w:color w:val="auto"/>
        </w:rPr>
      </w:pPr>
    </w:p>
    <w:p>
      <w:pPr>
        <w:ind w:left="1940" w:hanging="480"/>
        <w:spacing w:after="0"/>
        <w:tabs>
          <w:tab w:leader="none" w:pos="1940" w:val="left"/>
        </w:tabs>
        <w:numPr>
          <w:ilvl w:val="3"/>
          <w:numId w:val="138"/>
        </w:numPr>
        <w:rPr>
          <w:rFonts w:ascii="Arial" w:cs="Arial" w:eastAsia="Arial" w:hAnsi="Arial"/>
          <w:sz w:val="17"/>
          <w:szCs w:val="17"/>
          <w:color w:val="auto"/>
        </w:rPr>
      </w:pPr>
      <w:r>
        <w:rPr>
          <w:rFonts w:ascii="Arial" w:cs="Arial" w:eastAsia="Arial" w:hAnsi="Arial"/>
          <w:sz w:val="17"/>
          <w:szCs w:val="17"/>
          <w:color w:val="auto"/>
        </w:rPr>
        <w:t>Overhead doors will be pre-finished.</w:t>
      </w:r>
    </w:p>
    <w:p>
      <w:pPr>
        <w:spacing w:after="0" w:line="197" w:lineRule="exact"/>
        <w:rPr>
          <w:rFonts w:ascii="Arial" w:cs="Arial" w:eastAsia="Arial" w:hAnsi="Arial"/>
          <w:sz w:val="17"/>
          <w:szCs w:val="17"/>
          <w:color w:val="auto"/>
        </w:rPr>
      </w:pPr>
    </w:p>
    <w:p>
      <w:pPr>
        <w:ind w:left="900" w:hanging="412"/>
        <w:spacing w:after="0"/>
        <w:tabs>
          <w:tab w:leader="none" w:pos="90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Miscellaneous Metals.</w:t>
      </w:r>
    </w:p>
    <w:p>
      <w:pPr>
        <w:spacing w:after="0" w:line="209" w:lineRule="exact"/>
        <w:rPr>
          <w:rFonts w:ascii="Arial" w:cs="Arial" w:eastAsia="Arial" w:hAnsi="Arial"/>
          <w:sz w:val="17"/>
          <w:szCs w:val="17"/>
          <w:color w:val="auto"/>
        </w:rPr>
      </w:pPr>
    </w:p>
    <w:p>
      <w:pPr>
        <w:ind w:left="1720" w:hanging="746"/>
        <w:spacing w:after="0"/>
        <w:tabs>
          <w:tab w:leader="none" w:pos="1720" w:val="left"/>
        </w:tabs>
        <w:numPr>
          <w:ilvl w:val="2"/>
          <w:numId w:val="139"/>
        </w:numPr>
        <w:rPr>
          <w:rFonts w:ascii="Arial" w:cs="Arial" w:eastAsia="Arial" w:hAnsi="Arial"/>
          <w:sz w:val="17"/>
          <w:szCs w:val="17"/>
          <w:color w:val="auto"/>
        </w:rPr>
      </w:pPr>
      <w:r>
        <w:rPr>
          <w:rFonts w:ascii="Arial" w:cs="Arial" w:eastAsia="Arial" w:hAnsi="Arial"/>
          <w:sz w:val="17"/>
          <w:szCs w:val="17"/>
          <w:color w:val="auto"/>
        </w:rPr>
        <w:t>Painted steel tread dock stairs.</w:t>
      </w:r>
    </w:p>
    <w:p>
      <w:pPr>
        <w:spacing w:after="0" w:line="18" w:lineRule="exact"/>
        <w:rPr>
          <w:rFonts w:ascii="Arial" w:cs="Arial" w:eastAsia="Arial" w:hAnsi="Arial"/>
          <w:sz w:val="17"/>
          <w:szCs w:val="17"/>
          <w:color w:val="auto"/>
        </w:rPr>
      </w:pPr>
    </w:p>
    <w:p>
      <w:pPr>
        <w:ind w:left="1740" w:hanging="766"/>
        <w:spacing w:after="0"/>
        <w:tabs>
          <w:tab w:leader="none" w:pos="1740" w:val="left"/>
        </w:tabs>
        <w:numPr>
          <w:ilvl w:val="2"/>
          <w:numId w:val="139"/>
        </w:numPr>
        <w:rPr>
          <w:rFonts w:ascii="Arial" w:cs="Arial" w:eastAsia="Arial" w:hAnsi="Arial"/>
          <w:sz w:val="17"/>
          <w:szCs w:val="17"/>
          <w:color w:val="auto"/>
        </w:rPr>
      </w:pPr>
      <w:r>
        <w:rPr>
          <w:rFonts w:ascii="Arial" w:cs="Arial" w:eastAsia="Arial" w:hAnsi="Arial"/>
          <w:sz w:val="17"/>
          <w:szCs w:val="17"/>
          <w:color w:val="auto"/>
        </w:rPr>
        <w:t>One (1) painted ships ladder is included.</w:t>
      </w:r>
    </w:p>
    <w:p>
      <w:pPr>
        <w:spacing w:after="0" w:line="6" w:lineRule="exact"/>
        <w:rPr>
          <w:rFonts w:ascii="Arial" w:cs="Arial" w:eastAsia="Arial" w:hAnsi="Arial"/>
          <w:sz w:val="17"/>
          <w:szCs w:val="17"/>
          <w:color w:val="auto"/>
        </w:rPr>
      </w:pPr>
    </w:p>
    <w:p>
      <w:pPr>
        <w:ind w:left="1720" w:hanging="746"/>
        <w:spacing w:after="0"/>
        <w:tabs>
          <w:tab w:leader="none" w:pos="1720" w:val="left"/>
        </w:tabs>
        <w:numPr>
          <w:ilvl w:val="2"/>
          <w:numId w:val="139"/>
        </w:numPr>
        <w:rPr>
          <w:rFonts w:ascii="Arial" w:cs="Arial" w:eastAsia="Arial" w:hAnsi="Arial"/>
          <w:sz w:val="17"/>
          <w:szCs w:val="17"/>
          <w:color w:val="auto"/>
        </w:rPr>
      </w:pPr>
      <w:r>
        <w:rPr>
          <w:rFonts w:ascii="Arial" w:cs="Arial" w:eastAsia="Arial" w:hAnsi="Arial"/>
          <w:sz w:val="17"/>
          <w:szCs w:val="17"/>
          <w:color w:val="auto"/>
        </w:rPr>
        <w:t>Painted 6" bollards are provided at dock stairs.</w:t>
      </w:r>
    </w:p>
    <w:p>
      <w:pPr>
        <w:spacing w:after="0" w:line="6" w:lineRule="exact"/>
        <w:rPr>
          <w:rFonts w:ascii="Arial" w:cs="Arial" w:eastAsia="Arial" w:hAnsi="Arial"/>
          <w:sz w:val="17"/>
          <w:szCs w:val="17"/>
          <w:color w:val="auto"/>
        </w:rPr>
      </w:pPr>
    </w:p>
    <w:p>
      <w:pPr>
        <w:ind w:left="1720" w:hanging="746"/>
        <w:spacing w:after="0"/>
        <w:tabs>
          <w:tab w:leader="none" w:pos="1720" w:val="left"/>
        </w:tabs>
        <w:numPr>
          <w:ilvl w:val="2"/>
          <w:numId w:val="139"/>
        </w:numPr>
        <w:rPr>
          <w:rFonts w:ascii="Arial" w:cs="Arial" w:eastAsia="Arial" w:hAnsi="Arial"/>
          <w:sz w:val="17"/>
          <w:szCs w:val="17"/>
          <w:color w:val="auto"/>
        </w:rPr>
      </w:pPr>
      <w:r>
        <w:rPr>
          <w:rFonts w:ascii="Arial" w:cs="Arial" w:eastAsia="Arial" w:hAnsi="Arial"/>
          <w:sz w:val="17"/>
          <w:szCs w:val="17"/>
          <w:color w:val="auto"/>
        </w:rPr>
        <w:t>Track protection and bent plate jambs are provided at each OH door.</w:t>
      </w:r>
    </w:p>
    <w:p>
      <w:pPr>
        <w:spacing w:after="0" w:line="19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D.    INTERIOR FINISHES</w:t>
      </w:r>
    </w:p>
    <w:p>
      <w:pPr>
        <w:spacing w:after="0" w:line="209" w:lineRule="exact"/>
        <w:rPr>
          <w:rFonts w:ascii="Arial" w:cs="Arial" w:eastAsia="Arial" w:hAnsi="Arial"/>
          <w:sz w:val="17"/>
          <w:szCs w:val="17"/>
          <w:color w:val="auto"/>
        </w:rPr>
      </w:pPr>
    </w:p>
    <w:p>
      <w:pPr>
        <w:ind w:left="900" w:hanging="412"/>
        <w:spacing w:after="0"/>
        <w:tabs>
          <w:tab w:leader="none" w:pos="90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Carpentry and Millwork.</w:t>
      </w:r>
    </w:p>
    <w:p>
      <w:pPr>
        <w:spacing w:after="0" w:line="209" w:lineRule="exact"/>
        <w:rPr>
          <w:rFonts w:ascii="Arial" w:cs="Arial" w:eastAsia="Arial" w:hAnsi="Arial"/>
          <w:sz w:val="17"/>
          <w:szCs w:val="17"/>
          <w:color w:val="auto"/>
        </w:rPr>
      </w:pPr>
    </w:p>
    <w:p>
      <w:pPr>
        <w:ind w:left="1380" w:hanging="406"/>
        <w:spacing w:after="0"/>
        <w:tabs>
          <w:tab w:leader="none" w:pos="1380" w:val="left"/>
        </w:tabs>
        <w:numPr>
          <w:ilvl w:val="2"/>
          <w:numId w:val="140"/>
        </w:numPr>
        <w:rPr>
          <w:rFonts w:ascii="Arial" w:cs="Arial" w:eastAsia="Arial" w:hAnsi="Arial"/>
          <w:sz w:val="17"/>
          <w:szCs w:val="17"/>
          <w:color w:val="auto"/>
        </w:rPr>
      </w:pPr>
      <w:r>
        <w:rPr>
          <w:rFonts w:ascii="Arial" w:cs="Arial" w:eastAsia="Arial" w:hAnsi="Arial"/>
          <w:sz w:val="17"/>
          <w:szCs w:val="17"/>
          <w:color w:val="auto"/>
        </w:rPr>
        <w:t>Restroom Vanities.</w:t>
      </w:r>
    </w:p>
    <w:p>
      <w:pPr>
        <w:spacing w:after="0" w:line="209" w:lineRule="exact"/>
        <w:rPr>
          <w:rFonts w:ascii="Arial" w:cs="Arial" w:eastAsia="Arial" w:hAnsi="Arial"/>
          <w:sz w:val="17"/>
          <w:szCs w:val="17"/>
          <w:color w:val="auto"/>
        </w:rPr>
      </w:pPr>
    </w:p>
    <w:p>
      <w:pPr>
        <w:ind w:left="1880" w:hanging="420"/>
        <w:spacing w:after="0"/>
        <w:tabs>
          <w:tab w:leader="none" w:pos="1880" w:val="left"/>
        </w:tabs>
        <w:numPr>
          <w:ilvl w:val="3"/>
          <w:numId w:val="140"/>
        </w:numPr>
        <w:rPr>
          <w:rFonts w:ascii="Arial" w:cs="Arial" w:eastAsia="Arial" w:hAnsi="Arial"/>
          <w:sz w:val="17"/>
          <w:szCs w:val="17"/>
          <w:color w:val="auto"/>
        </w:rPr>
      </w:pPr>
      <w:r>
        <w:rPr>
          <w:rFonts w:ascii="Arial" w:cs="Arial" w:eastAsia="Arial" w:hAnsi="Arial"/>
          <w:sz w:val="17"/>
          <w:szCs w:val="17"/>
          <w:color w:val="auto"/>
        </w:rPr>
        <w:t>Restroom vanities shall be solid surface with self-rimming lavatories with splash blocks at sides, rear and front apron.</w:t>
      </w:r>
    </w:p>
    <w:p>
      <w:pPr>
        <w:spacing w:after="0" w:line="209" w:lineRule="exact"/>
        <w:rPr>
          <w:rFonts w:ascii="Arial" w:cs="Arial" w:eastAsia="Arial" w:hAnsi="Arial"/>
          <w:sz w:val="17"/>
          <w:szCs w:val="17"/>
          <w:color w:val="auto"/>
        </w:rPr>
      </w:pPr>
    </w:p>
    <w:p>
      <w:pPr>
        <w:ind w:left="900" w:hanging="412"/>
        <w:spacing w:after="0"/>
        <w:tabs>
          <w:tab w:leader="none" w:pos="90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Interior Doors and Frames.</w:t>
      </w:r>
    </w:p>
    <w:p>
      <w:pPr>
        <w:spacing w:after="0" w:line="209" w:lineRule="exact"/>
        <w:rPr>
          <w:rFonts w:ascii="Arial" w:cs="Arial" w:eastAsia="Arial" w:hAnsi="Arial"/>
          <w:sz w:val="17"/>
          <w:szCs w:val="17"/>
          <w:color w:val="auto"/>
        </w:rPr>
      </w:pPr>
    </w:p>
    <w:p>
      <w:pPr>
        <w:ind w:left="1720" w:hanging="746"/>
        <w:spacing w:after="0"/>
        <w:tabs>
          <w:tab w:leader="none" w:pos="1720" w:val="left"/>
        </w:tabs>
        <w:numPr>
          <w:ilvl w:val="2"/>
          <w:numId w:val="140"/>
        </w:numPr>
        <w:rPr>
          <w:rFonts w:ascii="Arial" w:cs="Arial" w:eastAsia="Arial" w:hAnsi="Arial"/>
          <w:sz w:val="17"/>
          <w:szCs w:val="17"/>
          <w:color w:val="auto"/>
        </w:rPr>
      </w:pPr>
      <w:r>
        <w:rPr>
          <w:rFonts w:ascii="Arial" w:cs="Arial" w:eastAsia="Arial" w:hAnsi="Arial"/>
          <w:sz w:val="17"/>
          <w:szCs w:val="17"/>
          <w:color w:val="auto"/>
        </w:rPr>
        <w:t>Wood Doors.</w:t>
      </w:r>
    </w:p>
    <w:p>
      <w:pPr>
        <w:spacing w:after="0" w:line="19"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Wood doors shall be 3' -0" x 8</w:t>
      </w:r>
      <w:r>
        <w:rPr>
          <w:rFonts w:ascii="Arial" w:cs="Arial" w:eastAsia="Arial" w:hAnsi="Arial"/>
          <w:sz w:val="28"/>
          <w:szCs w:val="28"/>
          <w:color w:val="auto"/>
          <w:vertAlign w:val="superscript"/>
        </w:rPr>
        <w:t>.</w:t>
      </w:r>
      <w:r>
        <w:rPr>
          <w:rFonts w:ascii="Arial" w:cs="Arial" w:eastAsia="Arial" w:hAnsi="Arial"/>
          <w:sz w:val="17"/>
          <w:szCs w:val="17"/>
          <w:color w:val="auto"/>
        </w:rPr>
        <w:t>-0" solid core refinished maple.</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Doors shall he set 1-1/2" hollow metal frames. •</w:t>
      </w:r>
    </w:p>
    <w:p>
      <w:pPr>
        <w:spacing w:after="0" w:line="209" w:lineRule="exact"/>
        <w:rPr>
          <w:sz w:val="20"/>
          <w:szCs w:val="20"/>
          <w:color w:val="auto"/>
        </w:rPr>
      </w:pPr>
    </w:p>
    <w:p>
      <w:pPr>
        <w:ind w:left="1740" w:hanging="766"/>
        <w:spacing w:after="0"/>
        <w:tabs>
          <w:tab w:leader="none" w:pos="17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Hollow Metal Doors.</w:t>
      </w:r>
    </w:p>
    <w:p>
      <w:pPr>
        <w:spacing w:after="0" w:line="19"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Hollow metal doors shall be 3'-0" x 8'-0" flush face panel design.</w:t>
      </w:r>
    </w:p>
    <w:p>
      <w:pPr>
        <w:spacing w:after="0" w:line="198"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Doors shall be primed finish.</w:t>
      </w:r>
    </w:p>
    <w:p>
      <w:pPr>
        <w:spacing w:after="0" w:line="209"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Doors shall he set in 1-1/2" hollow metal frames</w:t>
      </w:r>
    </w:p>
    <w:p>
      <w:pPr>
        <w:spacing w:after="0" w:line="209" w:lineRule="exact"/>
        <w:rPr>
          <w:sz w:val="20"/>
          <w:szCs w:val="20"/>
          <w:color w:val="auto"/>
        </w:rPr>
      </w:pPr>
    </w:p>
    <w:p>
      <w:pPr>
        <w:ind w:left="1720" w:hanging="746"/>
        <w:spacing w:after="0"/>
        <w:tabs>
          <w:tab w:leader="none" w:pos="17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Hollow Metal Frames.</w:t>
      </w:r>
    </w:p>
    <w:p>
      <w:pPr>
        <w:spacing w:after="0" w:line="19"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All doors and interior glazing shall be set in welded, primed frames.</w:t>
      </w:r>
    </w:p>
    <w:p>
      <w:pPr>
        <w:spacing w:after="0" w:line="198" w:lineRule="exact"/>
        <w:rPr>
          <w:sz w:val="20"/>
          <w:szCs w:val="20"/>
          <w:color w:val="auto"/>
        </w:rPr>
      </w:pPr>
    </w:p>
    <w:p>
      <w:pPr>
        <w:ind w:left="1740" w:hanging="766"/>
        <w:spacing w:after="0"/>
        <w:tabs>
          <w:tab w:leader="none" w:pos="17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Finish Hardware.</w:t>
      </w:r>
    </w:p>
    <w:p>
      <w:pPr>
        <w:spacing w:after="0" w:line="19" w:lineRule="exact"/>
        <w:rPr>
          <w:sz w:val="20"/>
          <w:szCs w:val="20"/>
          <w:color w:val="auto"/>
        </w:rPr>
      </w:pPr>
    </w:p>
    <w:p>
      <w:pPr>
        <w:ind w:left="1460" w:right="520"/>
        <w:spacing w:after="0" w:line="248" w:lineRule="auto"/>
        <w:rPr>
          <w:sz w:val="20"/>
          <w:szCs w:val="20"/>
          <w:color w:val="auto"/>
        </w:rPr>
      </w:pPr>
      <w:r>
        <w:rPr>
          <w:rFonts w:ascii="Arial" w:cs="Arial" w:eastAsia="Arial" w:hAnsi="Arial"/>
          <w:sz w:val="17"/>
          <w:szCs w:val="17"/>
          <w:color w:val="auto"/>
        </w:rPr>
        <w:t>Door hardware shall be manufactured by Schlage, Yale, Corbin or equal commercial grade. USD26 finish, with its function appropriate for its intended use.</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Keying system shall allow doors to be keyed alike within a given area and tied to a building master.</w:t>
      </w:r>
    </w:p>
    <w:p>
      <w:pPr>
        <w:spacing w:after="0" w:line="198" w:lineRule="exact"/>
        <w:rPr>
          <w:sz w:val="20"/>
          <w:szCs w:val="20"/>
          <w:color w:val="auto"/>
        </w:rPr>
      </w:pPr>
    </w:p>
    <w:p>
      <w:pPr>
        <w:ind w:left="900" w:hanging="412"/>
        <w:spacing w:after="0"/>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Gypsum Board Partitions.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414020</wp:posOffset>
            </wp:positionV>
            <wp:extent cx="7255510" cy="400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60"/>
          </w:cols>
          <w:pgMar w:left="300" w:top="229"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7"/>
          <w:szCs w:val="17"/>
          <w:color w:val="auto"/>
        </w:rPr>
        <w:t>Page 9 of 13</w:t>
      </w:r>
    </w:p>
    <w:p>
      <w:pPr>
        <w:spacing w:after="0" w:line="209" w:lineRule="exact"/>
        <w:rPr>
          <w:sz w:val="20"/>
          <w:szCs w:val="20"/>
          <w:color w:val="auto"/>
        </w:rPr>
      </w:pPr>
    </w:p>
    <w:p>
      <w:pPr>
        <w:ind w:left="1020" w:hanging="537"/>
        <w:spacing w:after="0"/>
        <w:tabs>
          <w:tab w:leader="none" w:pos="1020" w:val="left"/>
        </w:tabs>
        <w:numPr>
          <w:ilvl w:val="2"/>
          <w:numId w:val="145"/>
        </w:numPr>
        <w:rPr>
          <w:rFonts w:ascii="Arial" w:cs="Arial" w:eastAsia="Arial" w:hAnsi="Arial"/>
          <w:sz w:val="17"/>
          <w:szCs w:val="17"/>
          <w:color w:val="auto"/>
        </w:rPr>
      </w:pPr>
      <w:r>
        <w:rPr>
          <w:rFonts w:ascii="Arial" w:cs="Arial" w:eastAsia="Arial" w:hAnsi="Arial"/>
          <w:sz w:val="17"/>
          <w:szCs w:val="17"/>
          <w:color w:val="auto"/>
        </w:rPr>
        <w:t>Perimeter walls to be finished taped and sanded and ready for paint.</w:t>
      </w:r>
    </w:p>
    <w:p>
      <w:pPr>
        <w:spacing w:after="0" w:line="18" w:lineRule="exact"/>
        <w:rPr>
          <w:rFonts w:ascii="Arial" w:cs="Arial" w:eastAsia="Arial" w:hAnsi="Arial"/>
          <w:sz w:val="17"/>
          <w:szCs w:val="17"/>
          <w:color w:val="auto"/>
        </w:rPr>
      </w:pPr>
    </w:p>
    <w:p>
      <w:pPr>
        <w:ind w:left="1020" w:hanging="537"/>
        <w:spacing w:after="0"/>
        <w:tabs>
          <w:tab w:leader="none" w:pos="1020" w:val="left"/>
        </w:tabs>
        <w:numPr>
          <w:ilvl w:val="2"/>
          <w:numId w:val="145"/>
        </w:numPr>
        <w:rPr>
          <w:rFonts w:ascii="Arial" w:cs="Arial" w:eastAsia="Arial" w:hAnsi="Arial"/>
          <w:sz w:val="17"/>
          <w:szCs w:val="17"/>
          <w:color w:val="auto"/>
        </w:rPr>
      </w:pPr>
      <w:r>
        <w:rPr>
          <w:rFonts w:ascii="Arial" w:cs="Arial" w:eastAsia="Arial" w:hAnsi="Arial"/>
          <w:sz w:val="17"/>
          <w:szCs w:val="17"/>
          <w:color w:val="auto"/>
        </w:rPr>
        <w:t>Restrooms to be finished taped and sanded to deck.</w:t>
      </w:r>
    </w:p>
    <w:p>
      <w:pPr>
        <w:spacing w:after="0" w:line="6" w:lineRule="exact"/>
        <w:rPr>
          <w:rFonts w:ascii="Arial" w:cs="Arial" w:eastAsia="Arial" w:hAnsi="Arial"/>
          <w:sz w:val="17"/>
          <w:szCs w:val="17"/>
          <w:color w:val="auto"/>
        </w:rPr>
      </w:pPr>
    </w:p>
    <w:p>
      <w:pPr>
        <w:ind w:left="1020" w:hanging="537"/>
        <w:spacing w:after="0"/>
        <w:tabs>
          <w:tab w:leader="none" w:pos="1020" w:val="left"/>
        </w:tabs>
        <w:numPr>
          <w:ilvl w:val="2"/>
          <w:numId w:val="145"/>
        </w:numPr>
        <w:rPr>
          <w:rFonts w:ascii="Arial" w:cs="Arial" w:eastAsia="Arial" w:hAnsi="Arial"/>
          <w:sz w:val="17"/>
          <w:szCs w:val="17"/>
          <w:color w:val="auto"/>
        </w:rPr>
      </w:pPr>
      <w:r>
        <w:rPr>
          <w:rFonts w:ascii="Arial" w:cs="Arial" w:eastAsia="Arial" w:hAnsi="Arial"/>
          <w:sz w:val="17"/>
          <w:szCs w:val="17"/>
          <w:color w:val="auto"/>
        </w:rPr>
        <w:t>The mechanical room walls will be full height to underside of structure with steel studs and 5/8" gypsum board, both sides.</w:t>
      </w:r>
    </w:p>
    <w:p>
      <w:pPr>
        <w:spacing w:after="0" w:line="6" w:lineRule="exact"/>
        <w:rPr>
          <w:rFonts w:ascii="Arial" w:cs="Arial" w:eastAsia="Arial" w:hAnsi="Arial"/>
          <w:sz w:val="17"/>
          <w:szCs w:val="17"/>
          <w:color w:val="auto"/>
        </w:rPr>
      </w:pPr>
    </w:p>
    <w:p>
      <w:pPr>
        <w:ind w:left="1020" w:hanging="537"/>
        <w:spacing w:after="0"/>
        <w:tabs>
          <w:tab w:leader="none" w:pos="1020" w:val="left"/>
        </w:tabs>
        <w:numPr>
          <w:ilvl w:val="2"/>
          <w:numId w:val="145"/>
        </w:numPr>
        <w:rPr>
          <w:rFonts w:ascii="Arial" w:cs="Arial" w:eastAsia="Arial" w:hAnsi="Arial"/>
          <w:sz w:val="17"/>
          <w:szCs w:val="17"/>
          <w:color w:val="auto"/>
        </w:rPr>
      </w:pPr>
      <w:r>
        <w:rPr>
          <w:rFonts w:ascii="Arial" w:cs="Arial" w:eastAsia="Arial" w:hAnsi="Arial"/>
          <w:sz w:val="17"/>
          <w:szCs w:val="17"/>
          <w:color w:val="auto"/>
        </w:rPr>
        <w:t>All gypsum board will be taped and sanded where finishes are to be applied or code required.Floor Coverings</w:t>
      </w:r>
    </w:p>
    <w:p>
      <w:pPr>
        <w:spacing w:after="0" w:line="197" w:lineRule="exact"/>
        <w:rPr>
          <w:rFonts w:ascii="Arial" w:cs="Arial" w:eastAsia="Arial" w:hAnsi="Arial"/>
          <w:sz w:val="17"/>
          <w:szCs w:val="17"/>
          <w:color w:val="auto"/>
        </w:rPr>
      </w:pPr>
    </w:p>
    <w:p>
      <w:pPr>
        <w:ind w:left="340" w:hanging="333"/>
        <w:spacing w:after="0"/>
        <w:tabs>
          <w:tab w:leader="none" w:pos="3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Ceramic Tile. - Restrooms</w:t>
      </w:r>
    </w:p>
    <w:p>
      <w:pPr>
        <w:spacing w:after="0" w:line="209" w:lineRule="exact"/>
        <w:rPr>
          <w:rFonts w:ascii="Arial" w:cs="Arial" w:eastAsia="Arial" w:hAnsi="Arial"/>
          <w:sz w:val="17"/>
          <w:szCs w:val="17"/>
          <w:color w:val="auto"/>
        </w:rPr>
      </w:pPr>
    </w:p>
    <w:p>
      <w:pPr>
        <w:ind w:left="1020" w:hanging="537"/>
        <w:spacing w:after="0"/>
        <w:tabs>
          <w:tab w:leader="none" w:pos="1020" w:val="left"/>
        </w:tabs>
        <w:numPr>
          <w:ilvl w:val="2"/>
          <w:numId w:val="146"/>
        </w:numPr>
        <w:rPr>
          <w:rFonts w:ascii="Arial" w:cs="Arial" w:eastAsia="Arial" w:hAnsi="Arial"/>
          <w:sz w:val="17"/>
          <w:szCs w:val="17"/>
          <w:color w:val="auto"/>
        </w:rPr>
      </w:pPr>
      <w:r>
        <w:rPr>
          <w:rFonts w:ascii="Arial" w:cs="Arial" w:eastAsia="Arial" w:hAnsi="Arial"/>
          <w:sz w:val="17"/>
          <w:szCs w:val="17"/>
          <w:color w:val="auto"/>
        </w:rPr>
        <w:t>Ceramic tile shall be installed by the thin-set method.</w:t>
      </w:r>
    </w:p>
    <w:p>
      <w:pPr>
        <w:spacing w:after="0" w:line="18" w:lineRule="exact"/>
        <w:rPr>
          <w:rFonts w:ascii="Arial" w:cs="Arial" w:eastAsia="Arial" w:hAnsi="Arial"/>
          <w:sz w:val="17"/>
          <w:szCs w:val="17"/>
          <w:color w:val="auto"/>
        </w:rPr>
      </w:pPr>
    </w:p>
    <w:p>
      <w:pPr>
        <w:ind w:left="1020" w:hanging="537"/>
        <w:spacing w:after="0"/>
        <w:tabs>
          <w:tab w:leader="none" w:pos="1020" w:val="left"/>
        </w:tabs>
        <w:numPr>
          <w:ilvl w:val="2"/>
          <w:numId w:val="146"/>
        </w:numPr>
        <w:rPr>
          <w:rFonts w:ascii="Arial" w:cs="Arial" w:eastAsia="Arial" w:hAnsi="Arial"/>
          <w:sz w:val="17"/>
          <w:szCs w:val="17"/>
          <w:color w:val="auto"/>
        </w:rPr>
      </w:pPr>
      <w:r>
        <w:rPr>
          <w:rFonts w:ascii="Arial" w:cs="Arial" w:eastAsia="Arial" w:hAnsi="Arial"/>
          <w:sz w:val="17"/>
          <w:szCs w:val="17"/>
          <w:color w:val="auto"/>
        </w:rPr>
        <w:t>Floor tile shall he Type 1, 8" x 8" x 1/4".</w:t>
      </w:r>
    </w:p>
    <w:p>
      <w:pPr>
        <w:spacing w:after="0" w:line="6" w:lineRule="exact"/>
        <w:rPr>
          <w:rFonts w:ascii="Arial" w:cs="Arial" w:eastAsia="Arial" w:hAnsi="Arial"/>
          <w:sz w:val="17"/>
          <w:szCs w:val="17"/>
          <w:color w:val="auto"/>
        </w:rPr>
      </w:pPr>
    </w:p>
    <w:p>
      <w:pPr>
        <w:ind w:left="1020" w:hanging="537"/>
        <w:spacing w:after="0"/>
        <w:tabs>
          <w:tab w:leader="none" w:pos="1020" w:val="left"/>
        </w:tabs>
        <w:numPr>
          <w:ilvl w:val="2"/>
          <w:numId w:val="146"/>
        </w:numPr>
        <w:rPr>
          <w:rFonts w:ascii="Arial" w:cs="Arial" w:eastAsia="Arial" w:hAnsi="Arial"/>
          <w:sz w:val="17"/>
          <w:szCs w:val="17"/>
          <w:color w:val="auto"/>
        </w:rPr>
      </w:pPr>
      <w:r>
        <w:rPr>
          <w:rFonts w:ascii="Arial" w:cs="Arial" w:eastAsia="Arial" w:hAnsi="Arial"/>
          <w:sz w:val="17"/>
          <w:szCs w:val="17"/>
          <w:color w:val="auto"/>
        </w:rPr>
        <w:t>Wall tile shall be 4" x 4" x 1/4", and shall be applied to wet walls up to 6'-O" above finished floor.</w:t>
      </w:r>
    </w:p>
    <w:p>
      <w:pPr>
        <w:spacing w:after="0" w:line="6" w:lineRule="exact"/>
        <w:rPr>
          <w:rFonts w:ascii="Arial" w:cs="Arial" w:eastAsia="Arial" w:hAnsi="Arial"/>
          <w:sz w:val="17"/>
          <w:szCs w:val="17"/>
          <w:color w:val="auto"/>
        </w:rPr>
      </w:pPr>
    </w:p>
    <w:p>
      <w:pPr>
        <w:ind w:left="1020" w:hanging="537"/>
        <w:spacing w:after="0"/>
        <w:tabs>
          <w:tab w:leader="none" w:pos="1020" w:val="left"/>
        </w:tabs>
        <w:numPr>
          <w:ilvl w:val="2"/>
          <w:numId w:val="146"/>
        </w:numPr>
        <w:rPr>
          <w:rFonts w:ascii="Arial" w:cs="Arial" w:eastAsia="Arial" w:hAnsi="Arial"/>
          <w:sz w:val="17"/>
          <w:szCs w:val="17"/>
          <w:color w:val="auto"/>
        </w:rPr>
      </w:pPr>
      <w:r>
        <w:rPr>
          <w:rFonts w:ascii="Arial" w:cs="Arial" w:eastAsia="Arial" w:hAnsi="Arial"/>
          <w:sz w:val="17"/>
          <w:szCs w:val="17"/>
          <w:color w:val="auto"/>
        </w:rPr>
        <w:t>Ceramic tile coved base shall be provided at the perimeter of ceramic tile floors.</w:t>
      </w:r>
    </w:p>
    <w:p>
      <w:pPr>
        <w:spacing w:after="0" w:line="197" w:lineRule="exact"/>
        <w:rPr>
          <w:rFonts w:ascii="Arial" w:cs="Arial" w:eastAsia="Arial" w:hAnsi="Arial"/>
          <w:sz w:val="17"/>
          <w:szCs w:val="17"/>
          <w:color w:val="auto"/>
        </w:rPr>
      </w:pPr>
    </w:p>
    <w:p>
      <w:pPr>
        <w:ind w:left="400" w:hanging="332"/>
        <w:spacing w:after="0"/>
        <w:tabs>
          <w:tab w:leader="none" w:pos="40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Toilet Partitions and Accessories.</w:t>
      </w:r>
    </w:p>
    <w:p>
      <w:pPr>
        <w:spacing w:after="0" w:line="209" w:lineRule="exact"/>
        <w:rPr>
          <w:rFonts w:ascii="Arial" w:cs="Arial" w:eastAsia="Arial" w:hAnsi="Arial"/>
          <w:sz w:val="17"/>
          <w:szCs w:val="17"/>
          <w:color w:val="auto"/>
        </w:rPr>
      </w:pPr>
    </w:p>
    <w:p>
      <w:pPr>
        <w:ind w:left="1020" w:hanging="537"/>
        <w:spacing w:after="0"/>
        <w:tabs>
          <w:tab w:leader="none" w:pos="1020" w:val="left"/>
        </w:tabs>
        <w:numPr>
          <w:ilvl w:val="2"/>
          <w:numId w:val="146"/>
        </w:numPr>
        <w:rPr>
          <w:rFonts w:ascii="Arial" w:cs="Arial" w:eastAsia="Arial" w:hAnsi="Arial"/>
          <w:sz w:val="17"/>
          <w:szCs w:val="17"/>
          <w:color w:val="auto"/>
        </w:rPr>
      </w:pPr>
      <w:r>
        <w:rPr>
          <w:rFonts w:ascii="Arial" w:cs="Arial" w:eastAsia="Arial" w:hAnsi="Arial"/>
          <w:sz w:val="17"/>
          <w:szCs w:val="17"/>
          <w:color w:val="auto"/>
        </w:rPr>
        <w:t>Toilet partitions shall be floor mounted metal partitions with baked enamel finish complete with baked enamel finish.</w:t>
      </w:r>
    </w:p>
    <w:p>
      <w:pPr>
        <w:spacing w:after="0" w:line="18" w:lineRule="exact"/>
        <w:rPr>
          <w:rFonts w:ascii="Arial" w:cs="Arial" w:eastAsia="Arial" w:hAnsi="Arial"/>
          <w:sz w:val="17"/>
          <w:szCs w:val="17"/>
          <w:color w:val="auto"/>
        </w:rPr>
      </w:pPr>
    </w:p>
    <w:p>
      <w:pPr>
        <w:ind w:left="1020" w:hanging="537"/>
        <w:spacing w:after="0"/>
        <w:tabs>
          <w:tab w:leader="none" w:pos="1020" w:val="left"/>
        </w:tabs>
        <w:numPr>
          <w:ilvl w:val="2"/>
          <w:numId w:val="146"/>
        </w:numPr>
        <w:rPr>
          <w:rFonts w:ascii="Arial" w:cs="Arial" w:eastAsia="Arial" w:hAnsi="Arial"/>
          <w:sz w:val="17"/>
          <w:szCs w:val="17"/>
          <w:color w:val="auto"/>
        </w:rPr>
      </w:pPr>
      <w:r>
        <w:rPr>
          <w:rFonts w:ascii="Arial" w:cs="Arial" w:eastAsia="Arial" w:hAnsi="Arial"/>
          <w:sz w:val="17"/>
          <w:szCs w:val="17"/>
          <w:color w:val="auto"/>
        </w:rPr>
        <w:t>Urinal screen shall be provided between urinals.</w:t>
      </w:r>
    </w:p>
    <w:p>
      <w:pPr>
        <w:spacing w:after="0" w:line="6" w:lineRule="exact"/>
        <w:rPr>
          <w:rFonts w:ascii="Arial" w:cs="Arial" w:eastAsia="Arial" w:hAnsi="Arial"/>
          <w:sz w:val="17"/>
          <w:szCs w:val="17"/>
          <w:color w:val="auto"/>
        </w:rPr>
      </w:pPr>
    </w:p>
    <w:p>
      <w:pPr>
        <w:ind w:left="1020" w:hanging="537"/>
        <w:spacing w:after="0"/>
        <w:tabs>
          <w:tab w:leader="none" w:pos="1020" w:val="left"/>
        </w:tabs>
        <w:numPr>
          <w:ilvl w:val="2"/>
          <w:numId w:val="146"/>
        </w:numPr>
        <w:rPr>
          <w:rFonts w:ascii="Arial" w:cs="Arial" w:eastAsia="Arial" w:hAnsi="Arial"/>
          <w:sz w:val="17"/>
          <w:szCs w:val="17"/>
          <w:color w:val="auto"/>
        </w:rPr>
      </w:pPr>
      <w:r>
        <w:rPr>
          <w:rFonts w:ascii="Arial" w:cs="Arial" w:eastAsia="Arial" w:hAnsi="Arial"/>
          <w:sz w:val="17"/>
          <w:szCs w:val="17"/>
          <w:color w:val="auto"/>
        </w:rPr>
        <w:t>The following accessories shall be provided:</w:t>
      </w:r>
    </w:p>
    <w:p>
      <w:pPr>
        <w:spacing w:after="0" w:line="7"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Toilet tissue dispenser: One (1) dual roll dispenser at each toilet stall.</w:t>
      </w:r>
    </w:p>
    <w:p>
      <w:pPr>
        <w:spacing w:after="0" w:line="7"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Paper towel dispenser: Maximum of two (2) per restroom.</w:t>
      </w:r>
    </w:p>
    <w:p>
      <w:pPr>
        <w:spacing w:after="0" w:line="7"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Soap dispenser: One (1) per lavatory.</w:t>
      </w:r>
    </w:p>
    <w:p>
      <w:pPr>
        <w:spacing w:after="0" w:line="7"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Grab bars: As required by handicapped code.</w:t>
      </w:r>
    </w:p>
    <w:p>
      <w:pPr>
        <w:spacing w:after="0" w:line="7"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Feminine napkin dispensers: One (1) in each woman's toilet room.</w:t>
      </w:r>
    </w:p>
    <w:p>
      <w:pPr>
        <w:spacing w:after="0" w:line="7"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Frameless mirror above each vanity.</w:t>
      </w:r>
    </w:p>
    <w:p>
      <w:pPr>
        <w:spacing w:after="0" w:line="198" w:lineRule="exact"/>
        <w:rPr>
          <w:sz w:val="20"/>
          <w:szCs w:val="20"/>
          <w:color w:val="auto"/>
        </w:rPr>
      </w:pPr>
    </w:p>
    <w:p>
      <w:pPr>
        <w:ind w:left="480" w:hanging="412"/>
        <w:spacing w:after="0"/>
        <w:tabs>
          <w:tab w:leader="none" w:pos="4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Wall Covering Systems.</w:t>
      </w:r>
    </w:p>
    <w:p>
      <w:pPr>
        <w:spacing w:after="0" w:line="209" w:lineRule="exact"/>
        <w:rPr>
          <w:rFonts w:ascii="Arial" w:cs="Arial" w:eastAsia="Arial" w:hAnsi="Arial"/>
          <w:sz w:val="17"/>
          <w:szCs w:val="17"/>
          <w:color w:val="auto"/>
        </w:rPr>
      </w:pPr>
    </w:p>
    <w:p>
      <w:pPr>
        <w:ind w:left="960" w:hanging="406"/>
        <w:spacing w:after="0"/>
        <w:tabs>
          <w:tab w:leader="none" w:pos="960" w:val="left"/>
        </w:tabs>
        <w:numPr>
          <w:ilvl w:val="2"/>
          <w:numId w:val="147"/>
        </w:numPr>
        <w:rPr>
          <w:rFonts w:ascii="Arial" w:cs="Arial" w:eastAsia="Arial" w:hAnsi="Arial"/>
          <w:sz w:val="17"/>
          <w:szCs w:val="17"/>
          <w:color w:val="auto"/>
        </w:rPr>
      </w:pPr>
      <w:r>
        <w:rPr>
          <w:rFonts w:ascii="Arial" w:cs="Arial" w:eastAsia="Arial" w:hAnsi="Arial"/>
          <w:sz w:val="17"/>
          <w:szCs w:val="17"/>
          <w:color w:val="auto"/>
        </w:rPr>
        <w:t>Painted Surfaces.</w:t>
      </w:r>
    </w:p>
    <w:p>
      <w:pPr>
        <w:spacing w:after="0" w:line="209" w:lineRule="exact"/>
        <w:rPr>
          <w:rFonts w:ascii="Arial" w:cs="Arial" w:eastAsia="Arial" w:hAnsi="Arial"/>
          <w:sz w:val="17"/>
          <w:szCs w:val="17"/>
          <w:color w:val="auto"/>
        </w:rPr>
      </w:pPr>
    </w:p>
    <w:p>
      <w:pPr>
        <w:ind w:left="1560" w:hanging="578"/>
        <w:spacing w:after="0"/>
        <w:tabs>
          <w:tab w:leader="none" w:pos="1560" w:val="left"/>
        </w:tabs>
        <w:numPr>
          <w:ilvl w:val="3"/>
          <w:numId w:val="147"/>
        </w:numPr>
        <w:rPr>
          <w:rFonts w:ascii="Arial" w:cs="Arial" w:eastAsia="Arial" w:hAnsi="Arial"/>
          <w:sz w:val="17"/>
          <w:szCs w:val="17"/>
          <w:color w:val="auto"/>
        </w:rPr>
      </w:pPr>
      <w:r>
        <w:rPr>
          <w:rFonts w:ascii="Arial" w:cs="Arial" w:eastAsia="Arial" w:hAnsi="Arial"/>
          <w:sz w:val="17"/>
          <w:szCs w:val="17"/>
          <w:color w:val="auto"/>
        </w:rPr>
        <w:t>Restroom walls not receiving ceramic tile shall receive paint.</w:t>
      </w:r>
    </w:p>
    <w:p>
      <w:pPr>
        <w:spacing w:after="0" w:line="18" w:lineRule="exact"/>
        <w:rPr>
          <w:rFonts w:ascii="Arial" w:cs="Arial" w:eastAsia="Arial" w:hAnsi="Arial"/>
          <w:sz w:val="17"/>
          <w:szCs w:val="17"/>
          <w:color w:val="auto"/>
        </w:rPr>
      </w:pPr>
    </w:p>
    <w:p>
      <w:pPr>
        <w:ind w:left="1560" w:hanging="578"/>
        <w:spacing w:after="0"/>
        <w:tabs>
          <w:tab w:leader="none" w:pos="1560" w:val="left"/>
        </w:tabs>
        <w:numPr>
          <w:ilvl w:val="3"/>
          <w:numId w:val="147"/>
        </w:numPr>
        <w:rPr>
          <w:rFonts w:ascii="Arial" w:cs="Arial" w:eastAsia="Arial" w:hAnsi="Arial"/>
          <w:sz w:val="17"/>
          <w:szCs w:val="17"/>
          <w:color w:val="auto"/>
        </w:rPr>
      </w:pPr>
      <w:r>
        <w:rPr>
          <w:rFonts w:ascii="Arial" w:cs="Arial" w:eastAsia="Arial" w:hAnsi="Arial"/>
          <w:sz w:val="17"/>
          <w:szCs w:val="17"/>
          <w:color w:val="auto"/>
        </w:rPr>
        <w:t>Egress stairs to receive paint inside the stairwells.</w:t>
      </w:r>
    </w:p>
    <w:p>
      <w:pPr>
        <w:spacing w:after="0" w:line="197" w:lineRule="exact"/>
        <w:rPr>
          <w:rFonts w:ascii="Arial" w:cs="Arial" w:eastAsia="Arial" w:hAnsi="Arial"/>
          <w:sz w:val="17"/>
          <w:szCs w:val="17"/>
          <w:color w:val="auto"/>
        </w:rPr>
      </w:pPr>
    </w:p>
    <w:p>
      <w:pPr>
        <w:ind w:left="480" w:hanging="412"/>
        <w:spacing w:after="0"/>
        <w:tabs>
          <w:tab w:leader="none" w:pos="4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Ceilings</w:t>
      </w:r>
    </w:p>
    <w:p>
      <w:pPr>
        <w:spacing w:after="0" w:line="209" w:lineRule="exact"/>
        <w:rPr>
          <w:rFonts w:ascii="Arial" w:cs="Arial" w:eastAsia="Arial" w:hAnsi="Arial"/>
          <w:sz w:val="17"/>
          <w:szCs w:val="17"/>
          <w:color w:val="auto"/>
        </w:rPr>
      </w:pPr>
    </w:p>
    <w:p>
      <w:pPr>
        <w:ind w:left="960" w:hanging="406"/>
        <w:spacing w:after="0"/>
        <w:tabs>
          <w:tab w:leader="none" w:pos="960" w:val="left"/>
        </w:tabs>
        <w:numPr>
          <w:ilvl w:val="2"/>
          <w:numId w:val="147"/>
        </w:numPr>
        <w:rPr>
          <w:rFonts w:ascii="Arial" w:cs="Arial" w:eastAsia="Arial" w:hAnsi="Arial"/>
          <w:sz w:val="17"/>
          <w:szCs w:val="17"/>
          <w:color w:val="auto"/>
        </w:rPr>
      </w:pPr>
      <w:r>
        <w:rPr>
          <w:rFonts w:ascii="Arial" w:cs="Arial" w:eastAsia="Arial" w:hAnsi="Arial"/>
          <w:sz w:val="17"/>
          <w:szCs w:val="17"/>
          <w:color w:val="auto"/>
        </w:rPr>
        <w:t>Acoustical Ceiling</w:t>
      </w:r>
    </w:p>
    <w:p>
      <w:pPr>
        <w:spacing w:after="0" w:line="209" w:lineRule="exact"/>
        <w:rPr>
          <w:rFonts w:ascii="Arial" w:cs="Arial" w:eastAsia="Arial" w:hAnsi="Arial"/>
          <w:sz w:val="17"/>
          <w:szCs w:val="17"/>
          <w:color w:val="auto"/>
        </w:rPr>
      </w:pPr>
    </w:p>
    <w:p>
      <w:pPr>
        <w:ind w:left="1560" w:hanging="578"/>
        <w:spacing w:after="0"/>
        <w:tabs>
          <w:tab w:leader="none" w:pos="1560" w:val="left"/>
        </w:tabs>
        <w:numPr>
          <w:ilvl w:val="3"/>
          <w:numId w:val="147"/>
        </w:numPr>
        <w:rPr>
          <w:rFonts w:ascii="Arial" w:cs="Arial" w:eastAsia="Arial" w:hAnsi="Arial"/>
          <w:sz w:val="17"/>
          <w:szCs w:val="17"/>
          <w:color w:val="auto"/>
        </w:rPr>
      </w:pPr>
      <w:r>
        <w:rPr>
          <w:rFonts w:ascii="Arial" w:cs="Arial" w:eastAsia="Arial" w:hAnsi="Arial"/>
          <w:sz w:val="17"/>
          <w:szCs w:val="17"/>
          <w:color w:val="auto"/>
        </w:rPr>
        <w:t>Acoustical ceiling grid will be installed for 2' x 2' ceiling tile system.</w:t>
      </w:r>
    </w:p>
    <w:p>
      <w:pPr>
        <w:spacing w:after="0" w:line="18" w:lineRule="exact"/>
        <w:rPr>
          <w:rFonts w:ascii="Arial" w:cs="Arial" w:eastAsia="Arial" w:hAnsi="Arial"/>
          <w:sz w:val="17"/>
          <w:szCs w:val="17"/>
          <w:color w:val="auto"/>
        </w:rPr>
      </w:pPr>
    </w:p>
    <w:p>
      <w:pPr>
        <w:ind w:left="1560" w:right="500" w:hanging="578"/>
        <w:spacing w:after="0" w:line="257" w:lineRule="auto"/>
        <w:tabs>
          <w:tab w:leader="none" w:pos="1560" w:val="left"/>
        </w:tabs>
        <w:numPr>
          <w:ilvl w:val="3"/>
          <w:numId w:val="147"/>
        </w:numPr>
        <w:rPr>
          <w:rFonts w:ascii="Arial" w:cs="Arial" w:eastAsia="Arial" w:hAnsi="Arial"/>
          <w:sz w:val="17"/>
          <w:szCs w:val="17"/>
          <w:color w:val="auto"/>
        </w:rPr>
      </w:pPr>
      <w:r>
        <w:rPr>
          <w:rFonts w:ascii="Arial" w:cs="Arial" w:eastAsia="Arial" w:hAnsi="Arial"/>
          <w:sz w:val="17"/>
          <w:szCs w:val="17"/>
          <w:color w:val="auto"/>
        </w:rPr>
        <w:t>Acoustical ceiling pad will be provided and stockpiled. Ceiling tile will be regular lay-in with minimum NRC of .55 and provide an STC of 35-39.</w:t>
      </w:r>
    </w:p>
    <w:p>
      <w:pPr>
        <w:spacing w:after="0" w:line="176" w:lineRule="exact"/>
        <w:rPr>
          <w:rFonts w:ascii="Arial" w:cs="Arial" w:eastAsia="Arial" w:hAnsi="Arial"/>
          <w:sz w:val="17"/>
          <w:szCs w:val="17"/>
          <w:color w:val="auto"/>
        </w:rPr>
      </w:pPr>
    </w:p>
    <w:p>
      <w:pPr>
        <w:ind w:left="480" w:hanging="412"/>
        <w:spacing w:after="0"/>
        <w:tabs>
          <w:tab w:leader="none" w:pos="4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Fire Extinguishers.</w:t>
      </w:r>
    </w:p>
    <w:p>
      <w:pPr>
        <w:spacing w:after="0" w:line="209" w:lineRule="exact"/>
        <w:rPr>
          <w:rFonts w:ascii="Arial" w:cs="Arial" w:eastAsia="Arial" w:hAnsi="Arial"/>
          <w:sz w:val="17"/>
          <w:szCs w:val="17"/>
          <w:color w:val="auto"/>
        </w:rPr>
      </w:pPr>
    </w:p>
    <w:p>
      <w:pPr>
        <w:ind w:left="1020" w:hanging="537"/>
        <w:spacing w:after="0"/>
        <w:tabs>
          <w:tab w:leader="none" w:pos="102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Fire extinguishers are provided as required by local fire codes for a Shell Building.</w:t>
      </w:r>
    </w:p>
    <w:p>
      <w:pPr>
        <w:spacing w:after="0" w:line="18" w:lineRule="exact"/>
        <w:rPr>
          <w:rFonts w:ascii="Arial" w:cs="Arial" w:eastAsia="Arial" w:hAnsi="Arial"/>
          <w:sz w:val="17"/>
          <w:szCs w:val="17"/>
          <w:color w:val="auto"/>
        </w:rPr>
      </w:pPr>
    </w:p>
    <w:p>
      <w:pPr>
        <w:ind w:left="1020" w:hanging="537"/>
        <w:spacing w:after="0"/>
        <w:tabs>
          <w:tab w:leader="none" w:pos="102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Fire extinguishers are surface mounted.</w:t>
      </w:r>
    </w:p>
    <w:p>
      <w:pPr>
        <w:spacing w:after="0" w:line="6" w:lineRule="exact"/>
        <w:rPr>
          <w:rFonts w:ascii="Arial" w:cs="Arial" w:eastAsia="Arial" w:hAnsi="Arial"/>
          <w:sz w:val="17"/>
          <w:szCs w:val="17"/>
          <w:color w:val="auto"/>
        </w:rPr>
      </w:pPr>
    </w:p>
    <w:p>
      <w:pPr>
        <w:ind w:left="1020" w:hanging="537"/>
        <w:spacing w:after="0"/>
        <w:tabs>
          <w:tab w:leader="none" w:pos="102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All fire extinguishers required for the. Tenant build-out will be part of Tenant Improvement Allowance.</w:t>
      </w:r>
    </w:p>
    <w:p>
      <w:pPr>
        <w:spacing w:after="0" w:line="197" w:lineRule="exact"/>
        <w:rPr>
          <w:rFonts w:ascii="Arial" w:cs="Arial" w:eastAsia="Arial" w:hAnsi="Arial"/>
          <w:sz w:val="17"/>
          <w:szCs w:val="17"/>
          <w:color w:val="auto"/>
        </w:rPr>
      </w:pPr>
    </w:p>
    <w:p>
      <w:pPr>
        <w:ind w:left="480" w:hanging="412"/>
        <w:spacing w:after="0"/>
        <w:tabs>
          <w:tab w:leader="none" w:pos="4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Interim Signage.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414020</wp:posOffset>
            </wp:positionV>
            <wp:extent cx="7255510" cy="400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940"/>
          </w:cols>
          <w:pgMar w:left="720" w:top="228"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7"/>
          <w:szCs w:val="17"/>
          <w:color w:val="auto"/>
        </w:rPr>
        <w:t>Page 10 of 13</w:t>
      </w:r>
    </w:p>
    <w:p>
      <w:pPr>
        <w:spacing w:after="0" w:line="209" w:lineRule="exact"/>
        <w:rPr>
          <w:sz w:val="20"/>
          <w:szCs w:val="20"/>
          <w:color w:val="auto"/>
        </w:rPr>
      </w:pPr>
    </w:p>
    <w:p>
      <w:pPr>
        <w:ind w:left="1500" w:hanging="474"/>
        <w:spacing w:after="0"/>
        <w:tabs>
          <w:tab w:leader="none" w:pos="1500" w:val="left"/>
        </w:tabs>
        <w:numPr>
          <w:ilvl w:val="2"/>
          <w:numId w:val="148"/>
        </w:numPr>
        <w:rPr>
          <w:rFonts w:ascii="Arial" w:cs="Arial" w:eastAsia="Arial" w:hAnsi="Arial"/>
          <w:sz w:val="17"/>
          <w:szCs w:val="17"/>
          <w:color w:val="auto"/>
        </w:rPr>
      </w:pPr>
      <w:r>
        <w:rPr>
          <w:rFonts w:ascii="Arial" w:cs="Arial" w:eastAsia="Arial" w:hAnsi="Arial"/>
          <w:sz w:val="17"/>
          <w:szCs w:val="17"/>
          <w:color w:val="auto"/>
        </w:rPr>
        <w:t>Code required building signs are provided as required for Shell building.</w:t>
      </w:r>
    </w:p>
    <w:p>
      <w:pPr>
        <w:spacing w:after="0" w:line="18" w:lineRule="exact"/>
        <w:rPr>
          <w:rFonts w:ascii="Arial" w:cs="Arial" w:eastAsia="Arial" w:hAnsi="Arial"/>
          <w:sz w:val="17"/>
          <w:szCs w:val="17"/>
          <w:color w:val="auto"/>
        </w:rPr>
      </w:pPr>
    </w:p>
    <w:p>
      <w:pPr>
        <w:ind w:left="1500" w:hanging="474"/>
        <w:spacing w:after="0"/>
        <w:tabs>
          <w:tab w:leader="none" w:pos="1500" w:val="left"/>
        </w:tabs>
        <w:numPr>
          <w:ilvl w:val="2"/>
          <w:numId w:val="148"/>
        </w:numPr>
        <w:rPr>
          <w:rFonts w:ascii="Arial" w:cs="Arial" w:eastAsia="Arial" w:hAnsi="Arial"/>
          <w:sz w:val="17"/>
          <w:szCs w:val="17"/>
          <w:color w:val="auto"/>
        </w:rPr>
      </w:pPr>
      <w:r>
        <w:rPr>
          <w:rFonts w:ascii="Arial" w:cs="Arial" w:eastAsia="Arial" w:hAnsi="Arial"/>
          <w:sz w:val="17"/>
          <w:szCs w:val="17"/>
          <w:color w:val="auto"/>
        </w:rPr>
        <w:t>All other interior and exterior signage shall be part of Tenant Improvement Allowance.</w:t>
      </w:r>
    </w:p>
    <w:p>
      <w:pPr>
        <w:spacing w:after="0" w:line="197" w:lineRule="exact"/>
        <w:rPr>
          <w:rFonts w:ascii="Arial" w:cs="Arial" w:eastAsia="Arial" w:hAnsi="Arial"/>
          <w:sz w:val="17"/>
          <w:szCs w:val="17"/>
          <w:color w:val="auto"/>
        </w:rPr>
      </w:pPr>
    </w:p>
    <w:p>
      <w:pPr>
        <w:ind w:left="1000" w:hanging="513"/>
        <w:spacing w:after="0"/>
        <w:tabs>
          <w:tab w:leader="none" w:pos="100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Elevators</w:t>
      </w:r>
    </w:p>
    <w:p>
      <w:pPr>
        <w:spacing w:after="0" w:line="209" w:lineRule="exact"/>
        <w:rPr>
          <w:rFonts w:ascii="Arial" w:cs="Arial" w:eastAsia="Arial" w:hAnsi="Arial"/>
          <w:sz w:val="17"/>
          <w:szCs w:val="17"/>
          <w:color w:val="auto"/>
        </w:rPr>
      </w:pPr>
    </w:p>
    <w:p>
      <w:pPr>
        <w:ind w:left="1440" w:right="640" w:hanging="414"/>
        <w:spacing w:after="0" w:line="271" w:lineRule="auto"/>
        <w:tabs>
          <w:tab w:leader="none" w:pos="1440" w:val="left"/>
        </w:tabs>
        <w:numPr>
          <w:ilvl w:val="2"/>
          <w:numId w:val="149"/>
        </w:numPr>
        <w:rPr>
          <w:rFonts w:ascii="Arial" w:cs="Arial" w:eastAsia="Arial" w:hAnsi="Arial"/>
          <w:sz w:val="17"/>
          <w:szCs w:val="17"/>
          <w:color w:val="auto"/>
        </w:rPr>
      </w:pPr>
      <w:r>
        <w:rPr>
          <w:rFonts w:ascii="Arial" w:cs="Arial" w:eastAsia="Arial" w:hAnsi="Arial"/>
          <w:sz w:val="17"/>
          <w:szCs w:val="17"/>
          <w:color w:val="auto"/>
        </w:rPr>
        <w:t>One (1) 2,5001b pm-engineered hydraulic passenger elevator with manufacturer standard cab finishes and one (1) 4.0001b pre-engineered hydraulic passenger/service elevator. Elevators will have a speed of 125 feet per minute.</w:t>
      </w:r>
    </w:p>
    <w:p>
      <w:pPr>
        <w:spacing w:after="0" w:line="165" w:lineRule="exact"/>
        <w:rPr>
          <w:rFonts w:ascii="Arial" w:cs="Arial" w:eastAsia="Arial" w:hAnsi="Arial"/>
          <w:sz w:val="17"/>
          <w:szCs w:val="17"/>
          <w:color w:val="auto"/>
        </w:rPr>
      </w:pPr>
    </w:p>
    <w:p>
      <w:pPr>
        <w:ind w:left="440" w:hanging="439"/>
        <w:spacing w:after="0"/>
        <w:tabs>
          <w:tab w:leader="none" w:pos="4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SPECIAL SYSTEMS</w:t>
      </w:r>
    </w:p>
    <w:p>
      <w:pPr>
        <w:spacing w:after="0" w:line="209" w:lineRule="exact"/>
        <w:rPr>
          <w:rFonts w:ascii="Arial" w:cs="Arial" w:eastAsia="Arial" w:hAnsi="Arial"/>
          <w:sz w:val="17"/>
          <w:szCs w:val="17"/>
          <w:color w:val="auto"/>
        </w:rPr>
      </w:pPr>
    </w:p>
    <w:p>
      <w:pPr>
        <w:ind w:left="900" w:hanging="413"/>
        <w:spacing w:after="0"/>
        <w:tabs>
          <w:tab w:leader="none" w:pos="90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Loading Dock</w:t>
      </w:r>
    </w:p>
    <w:p>
      <w:pPr>
        <w:spacing w:after="0" w:line="209" w:lineRule="exact"/>
        <w:rPr>
          <w:rFonts w:ascii="Arial" w:cs="Arial" w:eastAsia="Arial" w:hAnsi="Arial"/>
          <w:sz w:val="17"/>
          <w:szCs w:val="17"/>
          <w:color w:val="auto"/>
        </w:rPr>
      </w:pPr>
    </w:p>
    <w:p>
      <w:pPr>
        <w:ind w:left="1500" w:hanging="474"/>
        <w:spacing w:after="0"/>
        <w:tabs>
          <w:tab w:leader="none" w:pos="1500" w:val="left"/>
        </w:tabs>
        <w:numPr>
          <w:ilvl w:val="2"/>
          <w:numId w:val="150"/>
        </w:numPr>
        <w:rPr>
          <w:rFonts w:ascii="Arial" w:cs="Arial" w:eastAsia="Arial" w:hAnsi="Arial"/>
          <w:sz w:val="17"/>
          <w:szCs w:val="17"/>
          <w:color w:val="auto"/>
        </w:rPr>
      </w:pPr>
      <w:r>
        <w:rPr>
          <w:rFonts w:ascii="Arial" w:cs="Arial" w:eastAsia="Arial" w:hAnsi="Arial"/>
          <w:sz w:val="17"/>
          <w:szCs w:val="17"/>
          <w:color w:val="auto"/>
        </w:rPr>
        <w:t>One (1) manual dock leveler.</w:t>
      </w:r>
    </w:p>
    <w:p>
      <w:pPr>
        <w:spacing w:after="0" w:line="18" w:lineRule="exact"/>
        <w:rPr>
          <w:rFonts w:ascii="Arial" w:cs="Arial" w:eastAsia="Arial" w:hAnsi="Arial"/>
          <w:sz w:val="17"/>
          <w:szCs w:val="17"/>
          <w:color w:val="auto"/>
        </w:rPr>
      </w:pPr>
    </w:p>
    <w:p>
      <w:pPr>
        <w:ind w:left="1500" w:hanging="474"/>
        <w:spacing w:after="0"/>
        <w:tabs>
          <w:tab w:leader="none" w:pos="1500" w:val="left"/>
        </w:tabs>
        <w:numPr>
          <w:ilvl w:val="2"/>
          <w:numId w:val="150"/>
        </w:numPr>
        <w:rPr>
          <w:rFonts w:ascii="Arial" w:cs="Arial" w:eastAsia="Arial" w:hAnsi="Arial"/>
          <w:sz w:val="17"/>
          <w:szCs w:val="17"/>
          <w:color w:val="auto"/>
        </w:rPr>
      </w:pPr>
      <w:r>
        <w:rPr>
          <w:rFonts w:ascii="Arial" w:cs="Arial" w:eastAsia="Arial" w:hAnsi="Arial"/>
          <w:sz w:val="17"/>
          <w:szCs w:val="17"/>
          <w:color w:val="auto"/>
        </w:rPr>
        <w:t>All dock seals, fans, clock lights and other dock equipment to be part of Tenant Improvement costs.</w:t>
      </w:r>
    </w:p>
    <w:p>
      <w:pPr>
        <w:spacing w:after="0" w:line="197" w:lineRule="exact"/>
        <w:rPr>
          <w:rFonts w:ascii="Arial" w:cs="Arial" w:eastAsia="Arial" w:hAnsi="Arial"/>
          <w:sz w:val="17"/>
          <w:szCs w:val="17"/>
          <w:color w:val="auto"/>
        </w:rPr>
      </w:pPr>
    </w:p>
    <w:p>
      <w:pPr>
        <w:ind w:left="420" w:hanging="419"/>
        <w:spacing w:after="0"/>
        <w:tabs>
          <w:tab w:leader="none" w:pos="4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MECHANICAL SYSTEMS</w:t>
      </w:r>
    </w:p>
    <w:p>
      <w:pPr>
        <w:spacing w:after="0" w:line="209" w:lineRule="exact"/>
        <w:rPr>
          <w:rFonts w:ascii="Arial" w:cs="Arial" w:eastAsia="Arial" w:hAnsi="Arial"/>
          <w:sz w:val="17"/>
          <w:szCs w:val="17"/>
          <w:color w:val="auto"/>
        </w:rPr>
      </w:pPr>
    </w:p>
    <w:p>
      <w:pPr>
        <w:ind w:left="900" w:hanging="413"/>
        <w:spacing w:after="0"/>
        <w:tabs>
          <w:tab w:leader="none" w:pos="90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Plumbing.</w:t>
      </w:r>
    </w:p>
    <w:p>
      <w:pPr>
        <w:spacing w:after="0" w:line="209" w:lineRule="exact"/>
        <w:rPr>
          <w:rFonts w:ascii="Arial" w:cs="Arial" w:eastAsia="Arial" w:hAnsi="Arial"/>
          <w:sz w:val="17"/>
          <w:szCs w:val="17"/>
          <w:color w:val="auto"/>
        </w:rPr>
      </w:pPr>
    </w:p>
    <w:p>
      <w:pPr>
        <w:ind w:left="1440" w:hanging="406"/>
        <w:spacing w:after="0"/>
        <w:tabs>
          <w:tab w:leader="none" w:pos="1440" w:val="left"/>
        </w:tabs>
        <w:numPr>
          <w:ilvl w:val="2"/>
          <w:numId w:val="150"/>
        </w:numPr>
        <w:rPr>
          <w:rFonts w:ascii="Arial" w:cs="Arial" w:eastAsia="Arial" w:hAnsi="Arial"/>
          <w:sz w:val="17"/>
          <w:szCs w:val="17"/>
          <w:color w:val="auto"/>
        </w:rPr>
      </w:pPr>
      <w:r>
        <w:rPr>
          <w:rFonts w:ascii="Arial" w:cs="Arial" w:eastAsia="Arial" w:hAnsi="Arial"/>
          <w:sz w:val="17"/>
          <w:szCs w:val="17"/>
          <w:color w:val="auto"/>
        </w:rPr>
        <w:t>Systems.</w:t>
      </w:r>
    </w:p>
    <w:p>
      <w:pPr>
        <w:spacing w:after="0" w:line="209" w:lineRule="exact"/>
        <w:rPr>
          <w:rFonts w:ascii="Arial" w:cs="Arial" w:eastAsia="Arial" w:hAnsi="Arial"/>
          <w:sz w:val="17"/>
          <w:szCs w:val="17"/>
          <w:color w:val="auto"/>
        </w:rPr>
      </w:pPr>
    </w:p>
    <w:p>
      <w:pPr>
        <w:ind w:left="1960" w:hanging="440"/>
        <w:spacing w:after="0"/>
        <w:tabs>
          <w:tab w:leader="none" w:pos="1960" w:val="left"/>
        </w:tabs>
        <w:numPr>
          <w:ilvl w:val="4"/>
          <w:numId w:val="150"/>
        </w:numPr>
        <w:rPr>
          <w:rFonts w:ascii="Arial" w:cs="Arial" w:eastAsia="Arial" w:hAnsi="Arial"/>
          <w:sz w:val="17"/>
          <w:szCs w:val="17"/>
          <w:color w:val="auto"/>
        </w:rPr>
      </w:pPr>
      <w:r>
        <w:rPr>
          <w:rFonts w:ascii="Arial" w:cs="Arial" w:eastAsia="Arial" w:hAnsi="Arial"/>
          <w:sz w:val="17"/>
          <w:szCs w:val="17"/>
          <w:color w:val="auto"/>
        </w:rPr>
        <w:t>Sanitary Sewer.</w:t>
      </w:r>
    </w:p>
    <w:p>
      <w:pPr>
        <w:spacing w:after="0" w:line="209" w:lineRule="exact"/>
        <w:rPr>
          <w:rFonts w:ascii="Arial" w:cs="Arial" w:eastAsia="Arial" w:hAnsi="Arial"/>
          <w:sz w:val="17"/>
          <w:szCs w:val="17"/>
          <w:color w:val="auto"/>
        </w:rPr>
      </w:pPr>
    </w:p>
    <w:p>
      <w:pPr>
        <w:ind w:left="2000" w:right="360" w:firstLine="5"/>
        <w:spacing w:after="0" w:line="271" w:lineRule="auto"/>
        <w:tabs>
          <w:tab w:leader="none" w:pos="2482" w:val="left"/>
        </w:tabs>
        <w:numPr>
          <w:ilvl w:val="5"/>
          <w:numId w:val="150"/>
        </w:numPr>
        <w:rPr>
          <w:rFonts w:ascii="Arial" w:cs="Arial" w:eastAsia="Arial" w:hAnsi="Arial"/>
          <w:sz w:val="17"/>
          <w:szCs w:val="17"/>
          <w:color w:val="auto"/>
        </w:rPr>
      </w:pPr>
      <w:r>
        <w:rPr>
          <w:rFonts w:ascii="Arial" w:cs="Arial" w:eastAsia="Arial" w:hAnsi="Arial"/>
          <w:sz w:val="17"/>
          <w:szCs w:val="17"/>
          <w:color w:val="auto"/>
        </w:rPr>
        <w:t>6" Sanitary line is installed. Two (2) flammable waste traps (one at each 0/H drive-in door location) and associated floor drains have been provided.</w:t>
      </w:r>
    </w:p>
    <w:p>
      <w:pPr>
        <w:spacing w:after="0" w:line="165" w:lineRule="exact"/>
        <w:rPr>
          <w:rFonts w:ascii="Arial" w:cs="Arial" w:eastAsia="Arial" w:hAnsi="Arial"/>
          <w:sz w:val="17"/>
          <w:szCs w:val="17"/>
          <w:color w:val="auto"/>
        </w:rPr>
      </w:pPr>
    </w:p>
    <w:p>
      <w:pPr>
        <w:ind w:left="1960" w:hanging="440"/>
        <w:spacing w:after="0"/>
        <w:tabs>
          <w:tab w:leader="none" w:pos="1960" w:val="left"/>
        </w:tabs>
        <w:numPr>
          <w:ilvl w:val="4"/>
          <w:numId w:val="150"/>
        </w:numPr>
        <w:rPr>
          <w:rFonts w:ascii="Arial" w:cs="Arial" w:eastAsia="Arial" w:hAnsi="Arial"/>
          <w:sz w:val="17"/>
          <w:szCs w:val="17"/>
          <w:color w:val="auto"/>
        </w:rPr>
      </w:pPr>
      <w:r>
        <w:rPr>
          <w:rFonts w:ascii="Arial" w:cs="Arial" w:eastAsia="Arial" w:hAnsi="Arial"/>
          <w:sz w:val="17"/>
          <w:szCs w:val="17"/>
          <w:color w:val="auto"/>
        </w:rPr>
        <w:t>Domestic Water.</w:t>
      </w:r>
    </w:p>
    <w:p>
      <w:pPr>
        <w:spacing w:after="0" w:line="209" w:lineRule="exact"/>
        <w:rPr>
          <w:rFonts w:ascii="Arial" w:cs="Arial" w:eastAsia="Arial" w:hAnsi="Arial"/>
          <w:sz w:val="17"/>
          <w:szCs w:val="17"/>
          <w:color w:val="auto"/>
        </w:rPr>
      </w:pPr>
    </w:p>
    <w:p>
      <w:pPr>
        <w:ind w:left="2480" w:hanging="480"/>
        <w:spacing w:after="0"/>
        <w:tabs>
          <w:tab w:leader="none" w:pos="2480" w:val="left"/>
        </w:tabs>
        <w:numPr>
          <w:ilvl w:val="5"/>
          <w:numId w:val="150"/>
        </w:numPr>
        <w:rPr>
          <w:rFonts w:ascii="Arial" w:cs="Arial" w:eastAsia="Arial" w:hAnsi="Arial"/>
          <w:sz w:val="17"/>
          <w:szCs w:val="17"/>
          <w:color w:val="auto"/>
        </w:rPr>
      </w:pPr>
      <w:r>
        <w:rPr>
          <w:rFonts w:ascii="Arial" w:cs="Arial" w:eastAsia="Arial" w:hAnsi="Arial"/>
          <w:sz w:val="17"/>
          <w:szCs w:val="17"/>
          <w:color w:val="auto"/>
        </w:rPr>
        <w:t>Domestic water shall be valved and capped at one location for each 20,000 usable square feet.</w:t>
      </w:r>
    </w:p>
    <w:p>
      <w:pPr>
        <w:spacing w:after="0" w:line="209" w:lineRule="exact"/>
        <w:rPr>
          <w:rFonts w:ascii="Arial" w:cs="Arial" w:eastAsia="Arial" w:hAnsi="Arial"/>
          <w:sz w:val="17"/>
          <w:szCs w:val="17"/>
          <w:color w:val="auto"/>
        </w:rPr>
      </w:pPr>
    </w:p>
    <w:p>
      <w:pPr>
        <w:ind w:left="1960" w:hanging="440"/>
        <w:spacing w:after="0"/>
        <w:tabs>
          <w:tab w:leader="none" w:pos="1960" w:val="left"/>
        </w:tabs>
        <w:numPr>
          <w:ilvl w:val="4"/>
          <w:numId w:val="150"/>
        </w:numPr>
        <w:rPr>
          <w:rFonts w:ascii="Arial" w:cs="Arial" w:eastAsia="Arial" w:hAnsi="Arial"/>
          <w:sz w:val="17"/>
          <w:szCs w:val="17"/>
          <w:color w:val="auto"/>
        </w:rPr>
      </w:pPr>
      <w:r>
        <w:rPr>
          <w:rFonts w:ascii="Arial" w:cs="Arial" w:eastAsia="Arial" w:hAnsi="Arial"/>
          <w:sz w:val="17"/>
          <w:szCs w:val="17"/>
          <w:color w:val="auto"/>
        </w:rPr>
        <w:t>Storm Water.</w:t>
      </w:r>
    </w:p>
    <w:p>
      <w:pPr>
        <w:spacing w:after="0" w:line="209" w:lineRule="exact"/>
        <w:rPr>
          <w:rFonts w:ascii="Arial" w:cs="Arial" w:eastAsia="Arial" w:hAnsi="Arial"/>
          <w:sz w:val="17"/>
          <w:szCs w:val="17"/>
          <w:color w:val="auto"/>
        </w:rPr>
      </w:pPr>
    </w:p>
    <w:p>
      <w:pPr>
        <w:ind w:left="2540" w:hanging="540"/>
        <w:spacing w:after="0"/>
        <w:tabs>
          <w:tab w:leader="none" w:pos="2540" w:val="left"/>
        </w:tabs>
        <w:numPr>
          <w:ilvl w:val="5"/>
          <w:numId w:val="150"/>
        </w:numPr>
        <w:rPr>
          <w:rFonts w:ascii="Arial" w:cs="Arial" w:eastAsia="Arial" w:hAnsi="Arial"/>
          <w:sz w:val="17"/>
          <w:szCs w:val="17"/>
          <w:color w:val="auto"/>
        </w:rPr>
      </w:pPr>
      <w:r>
        <w:rPr>
          <w:rFonts w:ascii="Arial" w:cs="Arial" w:eastAsia="Arial" w:hAnsi="Arial"/>
          <w:sz w:val="17"/>
          <w:szCs w:val="17"/>
          <w:color w:val="auto"/>
        </w:rPr>
        <w:t>Storm sewer piping is installed and connected to roof drains in accordance with all applicable codes.</w:t>
      </w:r>
    </w:p>
    <w:p>
      <w:pPr>
        <w:spacing w:after="0" w:line="18" w:lineRule="exact"/>
        <w:rPr>
          <w:rFonts w:ascii="Arial" w:cs="Arial" w:eastAsia="Arial" w:hAnsi="Arial"/>
          <w:sz w:val="17"/>
          <w:szCs w:val="17"/>
          <w:color w:val="auto"/>
        </w:rPr>
      </w:pPr>
    </w:p>
    <w:p>
      <w:pPr>
        <w:ind w:left="2540" w:hanging="540"/>
        <w:spacing w:after="0"/>
        <w:tabs>
          <w:tab w:leader="none" w:pos="2540" w:val="left"/>
        </w:tabs>
        <w:numPr>
          <w:ilvl w:val="5"/>
          <w:numId w:val="150"/>
        </w:numPr>
        <w:rPr>
          <w:rFonts w:ascii="Arial" w:cs="Arial" w:eastAsia="Arial" w:hAnsi="Arial"/>
          <w:sz w:val="17"/>
          <w:szCs w:val="17"/>
          <w:color w:val="auto"/>
        </w:rPr>
      </w:pPr>
      <w:r>
        <w:rPr>
          <w:rFonts w:ascii="Arial" w:cs="Arial" w:eastAsia="Arial" w:hAnsi="Arial"/>
          <w:sz w:val="17"/>
          <w:szCs w:val="17"/>
          <w:color w:val="auto"/>
        </w:rPr>
        <w:t>Roof Drainage: Refer to "Section C— Exterior Enclosure".</w:t>
      </w:r>
    </w:p>
    <w:p>
      <w:pPr>
        <w:spacing w:after="0" w:line="6" w:lineRule="exact"/>
        <w:rPr>
          <w:rFonts w:ascii="Arial" w:cs="Arial" w:eastAsia="Arial" w:hAnsi="Arial"/>
          <w:sz w:val="17"/>
          <w:szCs w:val="17"/>
          <w:color w:val="auto"/>
        </w:rPr>
      </w:pPr>
    </w:p>
    <w:p>
      <w:pPr>
        <w:ind w:left="1460" w:hanging="426"/>
        <w:spacing w:after="0"/>
        <w:tabs>
          <w:tab w:leader="none" w:pos="1460" w:val="left"/>
        </w:tabs>
        <w:numPr>
          <w:ilvl w:val="2"/>
          <w:numId w:val="150"/>
        </w:numPr>
        <w:rPr>
          <w:rFonts w:ascii="Arial" w:cs="Arial" w:eastAsia="Arial" w:hAnsi="Arial"/>
          <w:sz w:val="17"/>
          <w:szCs w:val="17"/>
          <w:color w:val="auto"/>
        </w:rPr>
      </w:pPr>
      <w:r>
        <w:rPr>
          <w:rFonts w:ascii="Arial" w:cs="Arial" w:eastAsia="Arial" w:hAnsi="Arial"/>
          <w:sz w:val="17"/>
          <w:szCs w:val="17"/>
          <w:color w:val="auto"/>
        </w:rPr>
        <w:t>Fixtures.</w:t>
      </w:r>
    </w:p>
    <w:p>
      <w:pPr>
        <w:spacing w:after="0" w:line="197" w:lineRule="exact"/>
        <w:rPr>
          <w:rFonts w:ascii="Arial" w:cs="Arial" w:eastAsia="Arial" w:hAnsi="Arial"/>
          <w:sz w:val="17"/>
          <w:szCs w:val="17"/>
          <w:color w:val="auto"/>
        </w:rPr>
      </w:pPr>
    </w:p>
    <w:p>
      <w:pPr>
        <w:ind w:left="1520" w:hanging="304"/>
        <w:spacing w:after="0"/>
        <w:tabs>
          <w:tab w:leader="none" w:pos="1520" w:val="left"/>
        </w:tabs>
        <w:numPr>
          <w:ilvl w:val="3"/>
          <w:numId w:val="150"/>
        </w:numPr>
        <w:rPr>
          <w:rFonts w:ascii="Arial" w:cs="Arial" w:eastAsia="Arial" w:hAnsi="Arial"/>
          <w:sz w:val="17"/>
          <w:szCs w:val="17"/>
          <w:color w:val="auto"/>
        </w:rPr>
      </w:pPr>
      <w:r>
        <w:rPr>
          <w:rFonts w:ascii="Arial" w:cs="Arial" w:eastAsia="Arial" w:hAnsi="Arial"/>
          <w:sz w:val="17"/>
          <w:szCs w:val="17"/>
          <w:color w:val="auto"/>
        </w:rPr>
        <w:t>2.2 Water Closets: Wall mounted vitreous china flush valve type water closets. All water closets will include, automatic flush valves.</w:t>
      </w:r>
    </w:p>
    <w:p>
      <w:pPr>
        <w:spacing w:after="0" w:line="18" w:lineRule="exact"/>
        <w:rPr>
          <w:rFonts w:ascii="Arial" w:cs="Arial" w:eastAsia="Arial" w:hAnsi="Arial"/>
          <w:sz w:val="17"/>
          <w:szCs w:val="17"/>
          <w:color w:val="auto"/>
        </w:rPr>
      </w:pPr>
    </w:p>
    <w:p>
      <w:pPr>
        <w:ind w:left="1520" w:hanging="304"/>
        <w:spacing w:after="0"/>
        <w:tabs>
          <w:tab w:leader="none" w:pos="1520" w:val="left"/>
        </w:tabs>
        <w:numPr>
          <w:ilvl w:val="3"/>
          <w:numId w:val="150"/>
        </w:numPr>
        <w:rPr>
          <w:rFonts w:ascii="Arial" w:cs="Arial" w:eastAsia="Arial" w:hAnsi="Arial"/>
          <w:sz w:val="17"/>
          <w:szCs w:val="17"/>
          <w:color w:val="auto"/>
        </w:rPr>
      </w:pPr>
      <w:r>
        <w:rPr>
          <w:rFonts w:ascii="Arial" w:cs="Arial" w:eastAsia="Arial" w:hAnsi="Arial"/>
          <w:sz w:val="17"/>
          <w:szCs w:val="17"/>
          <w:color w:val="auto"/>
        </w:rPr>
        <w:t>6 Urinals: Wall mounted vitreous china with siphon jet and flush valve. All urinals will include automatic flush valves.</w:t>
      </w:r>
    </w:p>
    <w:p>
      <w:pPr>
        <w:spacing w:after="0" w:line="6" w:lineRule="exact"/>
        <w:rPr>
          <w:rFonts w:ascii="Arial" w:cs="Arial" w:eastAsia="Arial" w:hAnsi="Arial"/>
          <w:sz w:val="17"/>
          <w:szCs w:val="17"/>
          <w:color w:val="auto"/>
        </w:rPr>
      </w:pPr>
    </w:p>
    <w:p>
      <w:pPr>
        <w:ind w:left="1520" w:right="140" w:hanging="304"/>
        <w:spacing w:after="0" w:line="248" w:lineRule="auto"/>
        <w:tabs>
          <w:tab w:leader="none" w:pos="1520" w:val="left"/>
        </w:tabs>
        <w:numPr>
          <w:ilvl w:val="3"/>
          <w:numId w:val="150"/>
        </w:numPr>
        <w:rPr>
          <w:rFonts w:ascii="Arial" w:cs="Arial" w:eastAsia="Arial" w:hAnsi="Arial"/>
          <w:sz w:val="17"/>
          <w:szCs w:val="17"/>
          <w:color w:val="auto"/>
        </w:rPr>
      </w:pPr>
      <w:r>
        <w:rPr>
          <w:rFonts w:ascii="Arial" w:cs="Arial" w:eastAsia="Arial" w:hAnsi="Arial"/>
          <w:sz w:val="17"/>
          <w:szCs w:val="17"/>
          <w:color w:val="auto"/>
        </w:rPr>
        <w:t>16 Lavatories: Vitreous china countertop mounted self rimming type in the main bathrooms and wall hung at other locations. Lavatory trim shall meet ADA requirements. All lavatories will include automatic flush valves.</w:t>
      </w:r>
    </w:p>
    <w:p>
      <w:pPr>
        <w:ind w:left="1520" w:hanging="304"/>
        <w:spacing w:after="0"/>
        <w:tabs>
          <w:tab w:leader="none" w:pos="1520" w:val="left"/>
        </w:tabs>
        <w:numPr>
          <w:ilvl w:val="3"/>
          <w:numId w:val="150"/>
        </w:numPr>
        <w:rPr>
          <w:rFonts w:ascii="Arial" w:cs="Arial" w:eastAsia="Arial" w:hAnsi="Arial"/>
          <w:sz w:val="17"/>
          <w:szCs w:val="17"/>
          <w:color w:val="auto"/>
        </w:rPr>
      </w:pPr>
      <w:r>
        <w:rPr>
          <w:rFonts w:ascii="Arial" w:cs="Arial" w:eastAsia="Arial" w:hAnsi="Arial"/>
          <w:sz w:val="17"/>
          <w:szCs w:val="17"/>
          <w:color w:val="auto"/>
        </w:rPr>
        <w:t>4 Electric Water Coolers: Shall meet ADA requirements.</w:t>
      </w:r>
    </w:p>
    <w:p>
      <w:pPr>
        <w:spacing w:after="0" w:line="6" w:lineRule="exact"/>
        <w:rPr>
          <w:rFonts w:ascii="Arial" w:cs="Arial" w:eastAsia="Arial" w:hAnsi="Arial"/>
          <w:sz w:val="17"/>
          <w:szCs w:val="17"/>
          <w:color w:val="auto"/>
        </w:rPr>
      </w:pPr>
    </w:p>
    <w:p>
      <w:pPr>
        <w:ind w:left="1520" w:hanging="304"/>
        <w:spacing w:after="0"/>
        <w:tabs>
          <w:tab w:leader="none" w:pos="1520" w:val="left"/>
        </w:tabs>
        <w:numPr>
          <w:ilvl w:val="3"/>
          <w:numId w:val="150"/>
        </w:numPr>
        <w:rPr>
          <w:rFonts w:ascii="Arial" w:cs="Arial" w:eastAsia="Arial" w:hAnsi="Arial"/>
          <w:sz w:val="17"/>
          <w:szCs w:val="17"/>
          <w:color w:val="auto"/>
        </w:rPr>
      </w:pPr>
      <w:r>
        <w:rPr>
          <w:rFonts w:ascii="Arial" w:cs="Arial" w:eastAsia="Arial" w:hAnsi="Arial"/>
          <w:sz w:val="17"/>
          <w:szCs w:val="17"/>
          <w:color w:val="auto"/>
        </w:rPr>
        <w:t>Service Sinks: Floor mounted molded fiberglass type receptors.</w:t>
      </w:r>
    </w:p>
    <w:p>
      <w:pPr>
        <w:spacing w:after="0" w:line="6" w:lineRule="exact"/>
        <w:rPr>
          <w:rFonts w:ascii="Arial" w:cs="Arial" w:eastAsia="Arial" w:hAnsi="Arial"/>
          <w:sz w:val="17"/>
          <w:szCs w:val="17"/>
          <w:color w:val="auto"/>
        </w:rPr>
      </w:pPr>
    </w:p>
    <w:p>
      <w:pPr>
        <w:ind w:left="1520" w:right="320" w:hanging="304"/>
        <w:spacing w:after="0" w:line="248" w:lineRule="auto"/>
        <w:tabs>
          <w:tab w:leader="none" w:pos="1520" w:val="left"/>
        </w:tabs>
        <w:numPr>
          <w:ilvl w:val="3"/>
          <w:numId w:val="150"/>
        </w:numPr>
        <w:rPr>
          <w:rFonts w:ascii="Arial" w:cs="Arial" w:eastAsia="Arial" w:hAnsi="Arial"/>
          <w:sz w:val="17"/>
          <w:szCs w:val="17"/>
          <w:color w:val="auto"/>
        </w:rPr>
      </w:pPr>
      <w:r>
        <w:rPr>
          <w:rFonts w:ascii="Arial" w:cs="Arial" w:eastAsia="Arial" w:hAnsi="Arial"/>
          <w:sz w:val="17"/>
          <w:szCs w:val="17"/>
          <w:color w:val="auto"/>
        </w:rPr>
        <w:t>Wall Hydrants: Freeze proof wall hydrants will be provided at the main entrance., each building elevation, and at two locations on the roof for maintenance.</w:t>
      </w:r>
    </w:p>
    <w:p>
      <w:pPr>
        <w:ind w:left="1520" w:hanging="304"/>
        <w:spacing w:after="0"/>
        <w:tabs>
          <w:tab w:leader="none" w:pos="1520" w:val="left"/>
        </w:tabs>
        <w:numPr>
          <w:ilvl w:val="3"/>
          <w:numId w:val="150"/>
        </w:numPr>
        <w:rPr>
          <w:rFonts w:ascii="Arial" w:cs="Arial" w:eastAsia="Arial" w:hAnsi="Arial"/>
          <w:sz w:val="17"/>
          <w:szCs w:val="17"/>
          <w:color w:val="auto"/>
        </w:rPr>
      </w:pPr>
      <w:r>
        <w:rPr>
          <w:rFonts w:ascii="Arial" w:cs="Arial" w:eastAsia="Arial" w:hAnsi="Arial"/>
          <w:sz w:val="17"/>
          <w:szCs w:val="17"/>
          <w:color w:val="auto"/>
        </w:rPr>
        <w:t>Floor Drains: Provided in bathrooms, mechanical rooms and other areas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406400</wp:posOffset>
            </wp:positionV>
            <wp:extent cx="7255510" cy="400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7"/>
          <w:szCs w:val="17"/>
          <w:color w:val="auto"/>
        </w:rPr>
        <w:t>Page 11 of 13</w:t>
      </w:r>
    </w:p>
    <w:p>
      <w:pPr>
        <w:spacing w:after="0" w:line="209" w:lineRule="exact"/>
        <w:rPr>
          <w:sz w:val="20"/>
          <w:szCs w:val="20"/>
          <w:color w:val="auto"/>
        </w:rPr>
      </w:pPr>
    </w:p>
    <w:p>
      <w:pPr>
        <w:ind w:left="1040" w:hanging="304"/>
        <w:spacing w:after="0"/>
        <w:tabs>
          <w:tab w:leader="none" w:pos="1040" w:val="left"/>
        </w:tabs>
        <w:numPr>
          <w:ilvl w:val="2"/>
          <w:numId w:val="151"/>
        </w:numPr>
        <w:rPr>
          <w:rFonts w:ascii="Arial" w:cs="Arial" w:eastAsia="Arial" w:hAnsi="Arial"/>
          <w:sz w:val="17"/>
          <w:szCs w:val="17"/>
          <w:color w:val="auto"/>
        </w:rPr>
      </w:pPr>
      <w:r>
        <w:rPr>
          <w:rFonts w:ascii="Arial" w:cs="Arial" w:eastAsia="Arial" w:hAnsi="Arial"/>
          <w:sz w:val="17"/>
          <w:szCs w:val="17"/>
          <w:color w:val="auto"/>
        </w:rPr>
        <w:t>Water Heaters: Electric water heaters shall supply hot water at 105 degrees.</w:t>
      </w:r>
    </w:p>
    <w:p>
      <w:pPr>
        <w:spacing w:after="0" w:line="209" w:lineRule="exact"/>
        <w:rPr>
          <w:rFonts w:ascii="Arial" w:cs="Arial" w:eastAsia="Arial" w:hAnsi="Arial"/>
          <w:sz w:val="17"/>
          <w:szCs w:val="17"/>
          <w:color w:val="auto"/>
        </w:rPr>
      </w:pPr>
    </w:p>
    <w:p>
      <w:pPr>
        <w:ind w:left="560" w:right="7020" w:hanging="553"/>
        <w:spacing w:after="0" w:line="497" w:lineRule="auto"/>
        <w:tabs>
          <w:tab w:leader="none" w:pos="43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Heating, Ventilating and Air Conditioning (HVAC). a. Design Criteria:</w:t>
      </w:r>
    </w:p>
    <w:p>
      <w:pPr>
        <w:ind w:left="1040" w:hanging="304"/>
        <w:spacing w:after="0"/>
        <w:tabs>
          <w:tab w:leader="none" w:pos="1040" w:val="left"/>
        </w:tabs>
        <w:numPr>
          <w:ilvl w:val="2"/>
          <w:numId w:val="152"/>
        </w:numPr>
        <w:rPr>
          <w:rFonts w:ascii="Arial" w:cs="Arial" w:eastAsia="Arial" w:hAnsi="Arial"/>
          <w:sz w:val="17"/>
          <w:szCs w:val="17"/>
          <w:color w:val="auto"/>
        </w:rPr>
      </w:pPr>
      <w:r>
        <w:rPr>
          <w:rFonts w:ascii="Arial" w:cs="Arial" w:eastAsia="Arial" w:hAnsi="Arial"/>
          <w:sz w:val="17"/>
          <w:szCs w:val="17"/>
          <w:color w:val="auto"/>
        </w:rPr>
        <w:t>Office Cooling: Outdoor conditions 92 ° F. dry bulb, 74 ° F. wet bulb; indoor conditions 74 ° F. thy bulb. •</w:t>
      </w:r>
    </w:p>
    <w:p>
      <w:pPr>
        <w:spacing w:after="0" w:line="18" w:lineRule="exact"/>
        <w:rPr>
          <w:rFonts w:ascii="Arial" w:cs="Arial" w:eastAsia="Arial" w:hAnsi="Arial"/>
          <w:sz w:val="17"/>
          <w:szCs w:val="17"/>
          <w:color w:val="auto"/>
        </w:rPr>
      </w:pPr>
    </w:p>
    <w:p>
      <w:pPr>
        <w:ind w:left="1040" w:hanging="304"/>
        <w:spacing w:after="0"/>
        <w:tabs>
          <w:tab w:leader="none" w:pos="1040" w:val="left"/>
        </w:tabs>
        <w:numPr>
          <w:ilvl w:val="2"/>
          <w:numId w:val="152"/>
        </w:numPr>
        <w:rPr>
          <w:rFonts w:ascii="Arial" w:cs="Arial" w:eastAsia="Arial" w:hAnsi="Arial"/>
          <w:sz w:val="17"/>
          <w:szCs w:val="17"/>
          <w:color w:val="auto"/>
        </w:rPr>
      </w:pPr>
      <w:r>
        <w:rPr>
          <w:rFonts w:ascii="Arial" w:cs="Arial" w:eastAsia="Arial" w:hAnsi="Arial"/>
          <w:sz w:val="17"/>
          <w:szCs w:val="17"/>
          <w:color w:val="auto"/>
        </w:rPr>
        <w:t>Office Heating: Outdoor conditions - 19 ° F. dry bulb; indoor conditions 72 ° F. dry bulb.</w:t>
      </w:r>
    </w:p>
    <w:p>
      <w:pPr>
        <w:spacing w:after="0" w:line="6" w:lineRule="exact"/>
        <w:rPr>
          <w:rFonts w:ascii="Arial" w:cs="Arial" w:eastAsia="Arial" w:hAnsi="Arial"/>
          <w:sz w:val="17"/>
          <w:szCs w:val="17"/>
          <w:color w:val="auto"/>
        </w:rPr>
      </w:pPr>
    </w:p>
    <w:p>
      <w:pPr>
        <w:ind w:left="1040" w:right="500" w:hanging="304"/>
        <w:spacing w:after="0" w:line="248" w:lineRule="auto"/>
        <w:tabs>
          <w:tab w:leader="none" w:pos="1040" w:val="left"/>
        </w:tabs>
        <w:numPr>
          <w:ilvl w:val="2"/>
          <w:numId w:val="152"/>
        </w:numPr>
        <w:rPr>
          <w:rFonts w:ascii="Arial" w:cs="Arial" w:eastAsia="Arial" w:hAnsi="Arial"/>
          <w:sz w:val="17"/>
          <w:szCs w:val="17"/>
          <w:color w:val="auto"/>
        </w:rPr>
      </w:pPr>
      <w:r>
        <w:rPr>
          <w:rFonts w:ascii="Arial" w:cs="Arial" w:eastAsia="Arial" w:hAnsi="Arial"/>
          <w:sz w:val="17"/>
          <w:szCs w:val="17"/>
          <w:color w:val="auto"/>
        </w:rPr>
        <w:t>Design shall be per ASHRE 1% standard for design conditions. Cooling Loads: Shall include 150 square feet per person occupant load, 1.5 watts per square foot lighting and 2.0 watts per square foot miscellaneous power usage.</w:t>
      </w:r>
    </w:p>
    <w:p>
      <w:pPr>
        <w:spacing w:after="0" w:line="1" w:lineRule="exact"/>
        <w:rPr>
          <w:sz w:val="20"/>
          <w:szCs w:val="20"/>
          <w:color w:val="auto"/>
        </w:rPr>
      </w:pPr>
    </w:p>
    <w:p>
      <w:pPr>
        <w:ind w:left="1040" w:hanging="304"/>
        <w:spacing w:after="0"/>
        <w:tabs>
          <w:tab w:leader="none" w:pos="1040" w:val="left"/>
        </w:tabs>
        <w:numPr>
          <w:ilvl w:val="2"/>
          <w:numId w:val="153"/>
        </w:numPr>
        <w:rPr>
          <w:rFonts w:ascii="Arial" w:cs="Arial" w:eastAsia="Arial" w:hAnsi="Arial"/>
          <w:sz w:val="17"/>
          <w:szCs w:val="17"/>
          <w:color w:val="auto"/>
        </w:rPr>
      </w:pPr>
      <w:r>
        <w:rPr>
          <w:rFonts w:ascii="Arial" w:cs="Arial" w:eastAsia="Arial" w:hAnsi="Arial"/>
          <w:sz w:val="17"/>
          <w:szCs w:val="17"/>
          <w:color w:val="auto"/>
        </w:rPr>
        <w:t>Office Ventilation: Minimum required outside air shall be 0.1 CFM per square foot; 10 air changes per hour at toilet rooms.</w:t>
      </w:r>
    </w:p>
    <w:p>
      <w:pPr>
        <w:spacing w:after="0" w:line="6" w:lineRule="exact"/>
        <w:rPr>
          <w:rFonts w:ascii="Arial" w:cs="Arial" w:eastAsia="Arial" w:hAnsi="Arial"/>
          <w:sz w:val="17"/>
          <w:szCs w:val="17"/>
          <w:color w:val="auto"/>
        </w:rPr>
      </w:pPr>
    </w:p>
    <w:p>
      <w:pPr>
        <w:ind w:left="1040" w:hanging="304"/>
        <w:spacing w:after="0"/>
        <w:tabs>
          <w:tab w:leader="none" w:pos="1040" w:val="left"/>
        </w:tabs>
        <w:numPr>
          <w:ilvl w:val="2"/>
          <w:numId w:val="153"/>
        </w:numPr>
        <w:rPr>
          <w:rFonts w:ascii="Arial" w:cs="Arial" w:eastAsia="Arial" w:hAnsi="Arial"/>
          <w:sz w:val="17"/>
          <w:szCs w:val="17"/>
          <w:color w:val="auto"/>
        </w:rPr>
      </w:pPr>
      <w:r>
        <w:rPr>
          <w:rFonts w:ascii="Arial" w:cs="Arial" w:eastAsia="Arial" w:hAnsi="Arial"/>
          <w:sz w:val="17"/>
          <w:szCs w:val="17"/>
          <w:color w:val="auto"/>
        </w:rPr>
        <w:t>Acoustical Considerations:</w:t>
      </w:r>
    </w:p>
    <w:p>
      <w:pPr>
        <w:spacing w:after="0" w:line="6" w:lineRule="exact"/>
        <w:rPr>
          <w:rFonts w:ascii="Arial" w:cs="Arial" w:eastAsia="Arial" w:hAnsi="Arial"/>
          <w:sz w:val="17"/>
          <w:szCs w:val="17"/>
          <w:color w:val="auto"/>
        </w:rPr>
      </w:pPr>
    </w:p>
    <w:p>
      <w:pPr>
        <w:ind w:left="1740" w:right="360" w:hanging="591"/>
        <w:spacing w:after="0" w:line="257" w:lineRule="auto"/>
        <w:tabs>
          <w:tab w:leader="none" w:pos="1740" w:val="left"/>
        </w:tabs>
        <w:numPr>
          <w:ilvl w:val="3"/>
          <w:numId w:val="153"/>
        </w:numPr>
        <w:rPr>
          <w:rFonts w:ascii="Arial" w:cs="Arial" w:eastAsia="Arial" w:hAnsi="Arial"/>
          <w:sz w:val="17"/>
          <w:szCs w:val="17"/>
          <w:color w:val="auto"/>
        </w:rPr>
      </w:pPr>
      <w:r>
        <w:rPr>
          <w:rFonts w:ascii="Arial" w:cs="Arial" w:eastAsia="Arial" w:hAnsi="Arial"/>
          <w:sz w:val="17"/>
          <w:szCs w:val="17"/>
          <w:color w:val="auto"/>
        </w:rPr>
        <w:t>Design all areas in accordance with ASI-1RAE recommendations (office areas generally NC 40 or better, meeting rooms NC 35 or better, utility/unoccupied areas NC 50 or better).</w:t>
      </w:r>
    </w:p>
    <w:p>
      <w:pPr>
        <w:spacing w:after="0" w:line="176" w:lineRule="exact"/>
        <w:rPr>
          <w:rFonts w:ascii="Arial" w:cs="Arial" w:eastAsia="Arial" w:hAnsi="Arial"/>
          <w:sz w:val="17"/>
          <w:szCs w:val="17"/>
          <w:color w:val="auto"/>
        </w:rPr>
      </w:pPr>
    </w:p>
    <w:p>
      <w:pPr>
        <w:jc w:val="both"/>
        <w:ind w:left="1740" w:right="200" w:hanging="596"/>
        <w:spacing w:after="0" w:line="260" w:lineRule="auto"/>
        <w:tabs>
          <w:tab w:leader="none" w:pos="1740" w:val="left"/>
        </w:tabs>
        <w:numPr>
          <w:ilvl w:val="3"/>
          <w:numId w:val="153"/>
        </w:numPr>
        <w:rPr>
          <w:rFonts w:ascii="Arial" w:cs="Arial" w:eastAsia="Arial" w:hAnsi="Arial"/>
          <w:sz w:val="17"/>
          <w:szCs w:val="17"/>
          <w:color w:val="auto"/>
        </w:rPr>
      </w:pPr>
      <w:r>
        <w:rPr>
          <w:rFonts w:ascii="Arial" w:cs="Arial" w:eastAsia="Arial" w:hAnsi="Arial"/>
          <w:sz w:val="17"/>
          <w:szCs w:val="17"/>
          <w:color w:val="auto"/>
        </w:rPr>
        <w:t>Noise analysis and appropriate design solutions (sound attenuators, roof curt) isolation, double wall ductwork, etc.) for roof-mounted equipment, especially breakout noise from RTU' s above, supply ductwork, return/relief ductwork, and all openings within 50' of any RTU.</w:t>
      </w:r>
    </w:p>
    <w:p>
      <w:pPr>
        <w:spacing w:after="0" w:line="174" w:lineRule="exact"/>
        <w:rPr>
          <w:rFonts w:ascii="Arial" w:cs="Arial" w:eastAsia="Arial" w:hAnsi="Arial"/>
          <w:sz w:val="17"/>
          <w:szCs w:val="17"/>
          <w:color w:val="auto"/>
        </w:rPr>
      </w:pPr>
    </w:p>
    <w:p>
      <w:pPr>
        <w:ind w:left="420" w:hanging="413"/>
        <w:spacing w:after="0"/>
        <w:tabs>
          <w:tab w:leader="none" w:pos="4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Fire Protection System.</w:t>
      </w:r>
    </w:p>
    <w:p>
      <w:pPr>
        <w:spacing w:after="0" w:line="209" w:lineRule="exact"/>
        <w:rPr>
          <w:rFonts w:ascii="Arial" w:cs="Arial" w:eastAsia="Arial" w:hAnsi="Arial"/>
          <w:sz w:val="17"/>
          <w:szCs w:val="17"/>
          <w:color w:val="auto"/>
        </w:rPr>
      </w:pPr>
    </w:p>
    <w:p>
      <w:pPr>
        <w:ind w:left="960" w:hanging="406"/>
        <w:spacing w:after="0"/>
        <w:tabs>
          <w:tab w:leader="none" w:pos="96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System Description.</w:t>
      </w:r>
    </w:p>
    <w:p>
      <w:pPr>
        <w:spacing w:after="0" w:line="209" w:lineRule="exact"/>
        <w:rPr>
          <w:rFonts w:ascii="Arial" w:cs="Arial" w:eastAsia="Arial" w:hAnsi="Arial"/>
          <w:sz w:val="17"/>
          <w:szCs w:val="17"/>
          <w:color w:val="auto"/>
        </w:rPr>
      </w:pPr>
    </w:p>
    <w:p>
      <w:pPr>
        <w:ind w:left="1040" w:right="400" w:hanging="304"/>
        <w:spacing w:after="0" w:line="211" w:lineRule="auto"/>
        <w:tabs>
          <w:tab w:leader="none" w:pos="1040" w:val="left"/>
        </w:tabs>
        <w:numPr>
          <w:ilvl w:val="2"/>
          <w:numId w:val="154"/>
        </w:numPr>
        <w:rPr>
          <w:rFonts w:ascii="Arial" w:cs="Arial" w:eastAsia="Arial" w:hAnsi="Arial"/>
          <w:sz w:val="17"/>
          <w:szCs w:val="17"/>
          <w:color w:val="auto"/>
        </w:rPr>
      </w:pPr>
      <w:r>
        <w:rPr>
          <w:rFonts w:ascii="Arial" w:cs="Arial" w:eastAsia="Arial" w:hAnsi="Arial"/>
          <w:sz w:val="17"/>
          <w:szCs w:val="17"/>
          <w:color w:val="auto"/>
        </w:rPr>
        <w:t>A complete wet automatic fire protection system shall be provided for the facility in accordance with the requirements with NFPA standards, the local Fire Marshall and applicable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codes.</w:t>
      </w:r>
    </w:p>
    <w:p>
      <w:pPr>
        <w:spacing w:after="0" w:line="1" w:lineRule="exact"/>
        <w:rPr>
          <w:rFonts w:ascii="Arial" w:cs="Arial" w:eastAsia="Arial" w:hAnsi="Arial"/>
          <w:sz w:val="17"/>
          <w:szCs w:val="17"/>
          <w:color w:val="auto"/>
        </w:rPr>
      </w:pPr>
    </w:p>
    <w:p>
      <w:pPr>
        <w:ind w:left="1040" w:right="460" w:hanging="304"/>
        <w:spacing w:after="0" w:line="247" w:lineRule="auto"/>
        <w:tabs>
          <w:tab w:leader="none" w:pos="1040" w:val="left"/>
        </w:tabs>
        <w:numPr>
          <w:ilvl w:val="2"/>
          <w:numId w:val="154"/>
        </w:numPr>
        <w:rPr>
          <w:rFonts w:ascii="Arial" w:cs="Arial" w:eastAsia="Arial" w:hAnsi="Arial"/>
          <w:sz w:val="17"/>
          <w:szCs w:val="17"/>
          <w:color w:val="auto"/>
        </w:rPr>
      </w:pPr>
      <w:r>
        <w:rPr>
          <w:rFonts w:ascii="Arial" w:cs="Arial" w:eastAsia="Arial" w:hAnsi="Arial"/>
          <w:sz w:val="17"/>
          <w:szCs w:val="17"/>
          <w:color w:val="auto"/>
        </w:rPr>
        <w:t>Concealed sprinkler heads shall be provided for the office areas and other finished spaces, initially assumed in an open office configuration. Brass upright or pendant heads shall be provided in areas without a finished ceiling,.</w:t>
      </w:r>
    </w:p>
    <w:p>
      <w:pPr>
        <w:ind w:left="1040" w:hanging="304"/>
        <w:spacing w:after="0"/>
        <w:tabs>
          <w:tab w:leader="none" w:pos="1040" w:val="left"/>
        </w:tabs>
        <w:numPr>
          <w:ilvl w:val="2"/>
          <w:numId w:val="154"/>
        </w:numPr>
        <w:rPr>
          <w:rFonts w:ascii="Arial" w:cs="Arial" w:eastAsia="Arial" w:hAnsi="Arial"/>
          <w:sz w:val="17"/>
          <w:szCs w:val="17"/>
          <w:color w:val="auto"/>
        </w:rPr>
      </w:pPr>
      <w:r>
        <w:rPr>
          <w:rFonts w:ascii="Arial" w:cs="Arial" w:eastAsia="Arial" w:hAnsi="Arial"/>
          <w:sz w:val="17"/>
          <w:szCs w:val="17"/>
          <w:color w:val="auto"/>
        </w:rPr>
        <w:t>Fire alarm and smoke detection systems: As required by code,</w:t>
      </w:r>
    </w:p>
    <w:p>
      <w:pPr>
        <w:spacing w:after="0" w:line="197" w:lineRule="exact"/>
        <w:rPr>
          <w:rFonts w:ascii="Arial" w:cs="Arial" w:eastAsia="Arial" w:hAnsi="Arial"/>
          <w:sz w:val="17"/>
          <w:szCs w:val="17"/>
          <w:color w:val="auto"/>
        </w:rPr>
      </w:pPr>
    </w:p>
    <w:p>
      <w:pPr>
        <w:ind w:left="980" w:hanging="426"/>
        <w:spacing w:after="0"/>
        <w:tabs>
          <w:tab w:leader="none" w:pos="98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HVAC System</w:t>
      </w:r>
    </w:p>
    <w:p>
      <w:pPr>
        <w:spacing w:after="0" w:line="209" w:lineRule="exact"/>
        <w:rPr>
          <w:sz w:val="20"/>
          <w:szCs w:val="20"/>
          <w:color w:val="auto"/>
        </w:rPr>
      </w:pPr>
    </w:p>
    <w:p>
      <w:pPr>
        <w:ind w:left="1040" w:hanging="304"/>
        <w:spacing w:after="0"/>
        <w:tabs>
          <w:tab w:leader="none" w:pos="104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Office areas shall be heated, cooled and ventilated by variable air volume (VA.V) systems. System will he designed to meet or exceed A SINE</w:t>
      </w:r>
    </w:p>
    <w:p>
      <w:pPr>
        <w:spacing w:after="0" w:line="42"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62-2001. Design of cooling will be based on one person per 150 usable square feet and two personal computers per person.</w:t>
      </w:r>
    </w:p>
    <w:p>
      <w:pPr>
        <w:spacing w:after="0" w:line="7" w:lineRule="exact"/>
        <w:rPr>
          <w:sz w:val="20"/>
          <w:szCs w:val="20"/>
          <w:color w:val="auto"/>
        </w:rPr>
      </w:pPr>
    </w:p>
    <w:p>
      <w:pPr>
        <w:ind w:left="1040" w:right="260" w:hanging="304"/>
        <w:spacing w:after="0" w:line="252" w:lineRule="auto"/>
        <w:tabs>
          <w:tab w:leader="none" w:pos="10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Conditioned air supplied to interior zones will pass through pinchdown VAV boxes without reheat (i.e. shutoff box). One shutoff box per 1,800 usable square feet will he stockpiled on floor. V AV boxes at perimeter zones shall be fan-powered with electric reheat and will be installed every 1.200 usable square feet along exterior walls.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396875</wp:posOffset>
            </wp:positionV>
            <wp:extent cx="7255510" cy="400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940"/>
          </w:cols>
          <w:pgMar w:left="720" w:top="228"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7"/>
          <w:szCs w:val="17"/>
          <w:color w:val="auto"/>
        </w:rPr>
        <w:t>Page 12 of 13</w:t>
      </w:r>
    </w:p>
    <w:p>
      <w:pPr>
        <w:spacing w:after="0" w:line="209" w:lineRule="exact"/>
        <w:rPr>
          <w:sz w:val="20"/>
          <w:szCs w:val="20"/>
          <w:color w:val="auto"/>
        </w:rPr>
      </w:pPr>
    </w:p>
    <w:p>
      <w:pPr>
        <w:ind w:left="1460" w:hanging="304"/>
        <w:spacing w:after="0"/>
        <w:tabs>
          <w:tab w:leader="none" w:pos="1460" w:val="left"/>
        </w:tabs>
        <w:numPr>
          <w:ilvl w:val="3"/>
          <w:numId w:val="157"/>
        </w:numPr>
        <w:rPr>
          <w:rFonts w:ascii="Arial" w:cs="Arial" w:eastAsia="Arial" w:hAnsi="Arial"/>
          <w:sz w:val="17"/>
          <w:szCs w:val="17"/>
          <w:color w:val="auto"/>
        </w:rPr>
      </w:pPr>
      <w:r>
        <w:rPr>
          <w:rFonts w:ascii="Arial" w:cs="Arial" w:eastAsia="Arial" w:hAnsi="Arial"/>
          <w:sz w:val="17"/>
          <w:szCs w:val="17"/>
          <w:color w:val="auto"/>
        </w:rPr>
        <w:t>Temperature controls shall be provided by building management system utilizing direct digital control techniques.</w:t>
      </w:r>
    </w:p>
    <w:p>
      <w:pPr>
        <w:spacing w:after="0" w:line="18" w:lineRule="exact"/>
        <w:rPr>
          <w:rFonts w:ascii="Arial" w:cs="Arial" w:eastAsia="Arial" w:hAnsi="Arial"/>
          <w:sz w:val="17"/>
          <w:szCs w:val="17"/>
          <w:color w:val="auto"/>
        </w:rPr>
      </w:pPr>
    </w:p>
    <w:p>
      <w:pPr>
        <w:ind w:left="1460" w:right="700" w:hanging="304"/>
        <w:spacing w:after="0" w:line="257" w:lineRule="auto"/>
        <w:tabs>
          <w:tab w:leader="none" w:pos="1460" w:val="left"/>
        </w:tabs>
        <w:numPr>
          <w:ilvl w:val="3"/>
          <w:numId w:val="157"/>
        </w:numPr>
        <w:rPr>
          <w:rFonts w:ascii="Arial" w:cs="Arial" w:eastAsia="Arial" w:hAnsi="Arial"/>
          <w:sz w:val="17"/>
          <w:szCs w:val="17"/>
          <w:color w:val="auto"/>
        </w:rPr>
      </w:pPr>
      <w:r>
        <w:rPr>
          <w:rFonts w:ascii="Arial" w:cs="Arial" w:eastAsia="Arial" w:hAnsi="Arial"/>
          <w:sz w:val="17"/>
          <w:szCs w:val="17"/>
          <w:color w:val="auto"/>
        </w:rPr>
        <w:t>Air filtration shall be provided by two sets of particulate filters, one pre-filter set of 30% efficient filters and one final set of at least 65% efficiency for lab area.</w:t>
      </w:r>
    </w:p>
    <w:p>
      <w:pPr>
        <w:spacing w:after="0" w:line="176" w:lineRule="exact"/>
        <w:rPr>
          <w:rFonts w:ascii="Arial" w:cs="Arial" w:eastAsia="Arial" w:hAnsi="Arial"/>
          <w:sz w:val="17"/>
          <w:szCs w:val="17"/>
          <w:color w:val="auto"/>
        </w:rPr>
      </w:pPr>
    </w:p>
    <w:p>
      <w:pPr>
        <w:ind w:left="1380" w:hanging="406"/>
        <w:spacing w:after="0"/>
        <w:tabs>
          <w:tab w:leader="none" w:pos="1380" w:val="left"/>
        </w:tabs>
        <w:numPr>
          <w:ilvl w:val="2"/>
          <w:numId w:val="158"/>
        </w:numPr>
        <w:rPr>
          <w:rFonts w:ascii="Arial" w:cs="Arial" w:eastAsia="Arial" w:hAnsi="Arial"/>
          <w:sz w:val="17"/>
          <w:szCs w:val="17"/>
          <w:color w:val="auto"/>
        </w:rPr>
      </w:pPr>
      <w:r>
        <w:rPr>
          <w:rFonts w:ascii="Arial" w:cs="Arial" w:eastAsia="Arial" w:hAnsi="Arial"/>
          <w:sz w:val="17"/>
          <w:szCs w:val="17"/>
          <w:color w:val="auto"/>
        </w:rPr>
        <w:t>HVAC System Components</w:t>
      </w:r>
    </w:p>
    <w:p>
      <w:pPr>
        <w:spacing w:after="0" w:line="209" w:lineRule="exact"/>
        <w:rPr>
          <w:rFonts w:ascii="Arial" w:cs="Arial" w:eastAsia="Arial" w:hAnsi="Arial"/>
          <w:sz w:val="17"/>
          <w:szCs w:val="17"/>
          <w:color w:val="auto"/>
        </w:rPr>
      </w:pPr>
    </w:p>
    <w:p>
      <w:pPr>
        <w:ind w:left="1460" w:right="200" w:hanging="304"/>
        <w:spacing w:after="0" w:line="255" w:lineRule="auto"/>
        <w:tabs>
          <w:tab w:leader="none" w:pos="1460" w:val="left"/>
        </w:tabs>
        <w:numPr>
          <w:ilvl w:val="3"/>
          <w:numId w:val="158"/>
        </w:numPr>
        <w:rPr>
          <w:rFonts w:ascii="Arial" w:cs="Arial" w:eastAsia="Arial" w:hAnsi="Arial"/>
          <w:sz w:val="17"/>
          <w:szCs w:val="17"/>
          <w:color w:val="auto"/>
        </w:rPr>
      </w:pPr>
      <w:r>
        <w:rPr>
          <w:rFonts w:ascii="Arial" w:cs="Arial" w:eastAsia="Arial" w:hAnsi="Arial"/>
          <w:sz w:val="17"/>
          <w:szCs w:val="17"/>
          <w:color w:val="auto"/>
        </w:rPr>
        <w:t>Supply air shall be distributed by insulated sheet metal overhead, ductwork manufactured by SMACNA standards. Insulated flexible ducts shall be used to connect diffusers to main ductwork.</w:t>
      </w:r>
    </w:p>
    <w:p>
      <w:pPr>
        <w:spacing w:after="0" w:line="1" w:lineRule="exact"/>
        <w:rPr>
          <w:rFonts w:ascii="Arial" w:cs="Arial" w:eastAsia="Arial" w:hAnsi="Arial"/>
          <w:sz w:val="17"/>
          <w:szCs w:val="17"/>
          <w:color w:val="auto"/>
        </w:rPr>
      </w:pPr>
    </w:p>
    <w:p>
      <w:pPr>
        <w:ind w:left="1460" w:hanging="304"/>
        <w:spacing w:after="0"/>
        <w:tabs>
          <w:tab w:leader="none" w:pos="1460" w:val="left"/>
        </w:tabs>
        <w:numPr>
          <w:ilvl w:val="3"/>
          <w:numId w:val="158"/>
        </w:numPr>
        <w:rPr>
          <w:rFonts w:ascii="Arial" w:cs="Arial" w:eastAsia="Arial" w:hAnsi="Arial"/>
          <w:sz w:val="16"/>
          <w:szCs w:val="16"/>
          <w:color w:val="auto"/>
        </w:rPr>
      </w:pPr>
      <w:r>
        <w:rPr>
          <w:rFonts w:ascii="Arial" w:cs="Arial" w:eastAsia="Arial" w:hAnsi="Arial"/>
          <w:sz w:val="16"/>
          <w:szCs w:val="16"/>
          <w:color w:val="auto"/>
        </w:rPr>
        <w:t>Return air shall be returned to the IIVAC equipment via free air movement through the open ceiling plenum. All areas to utilize free return.</w:t>
      </w:r>
    </w:p>
    <w:p>
      <w:pPr>
        <w:spacing w:after="0" w:line="18" w:lineRule="exact"/>
        <w:rPr>
          <w:rFonts w:ascii="Arial" w:cs="Arial" w:eastAsia="Arial" w:hAnsi="Arial"/>
          <w:sz w:val="16"/>
          <w:szCs w:val="16"/>
          <w:color w:val="auto"/>
        </w:rPr>
      </w:pPr>
    </w:p>
    <w:p>
      <w:pPr>
        <w:ind w:left="1460" w:hanging="304"/>
        <w:spacing w:after="0"/>
        <w:tabs>
          <w:tab w:leader="none" w:pos="1460" w:val="left"/>
        </w:tabs>
        <w:numPr>
          <w:ilvl w:val="3"/>
          <w:numId w:val="158"/>
        </w:numPr>
        <w:rPr>
          <w:rFonts w:ascii="Arial" w:cs="Arial" w:eastAsia="Arial" w:hAnsi="Arial"/>
          <w:sz w:val="17"/>
          <w:szCs w:val="17"/>
          <w:color w:val="auto"/>
        </w:rPr>
      </w:pPr>
      <w:r>
        <w:rPr>
          <w:rFonts w:ascii="Arial" w:cs="Arial" w:eastAsia="Arial" w:hAnsi="Arial"/>
          <w:sz w:val="17"/>
          <w:szCs w:val="17"/>
          <w:color w:val="auto"/>
        </w:rPr>
        <w:t>An exhaust system shall be provided at each bathroom, which exhausts air to the outside</w:t>
      </w:r>
    </w:p>
    <w:p>
      <w:pPr>
        <w:spacing w:after="0" w:line="19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G.    ELECTRICAL SYSTEMS</w:t>
      </w:r>
    </w:p>
    <w:p>
      <w:pPr>
        <w:spacing w:after="0" w:line="209" w:lineRule="exact"/>
        <w:rPr>
          <w:rFonts w:ascii="Arial" w:cs="Arial" w:eastAsia="Arial" w:hAnsi="Arial"/>
          <w:sz w:val="17"/>
          <w:szCs w:val="17"/>
          <w:color w:val="auto"/>
        </w:rPr>
      </w:pPr>
    </w:p>
    <w:p>
      <w:pPr>
        <w:ind w:left="900" w:hanging="412"/>
        <w:spacing w:after="0"/>
        <w:tabs>
          <w:tab w:leader="none" w:pos="90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Power Distribution.</w:t>
      </w:r>
    </w:p>
    <w:p>
      <w:pPr>
        <w:spacing w:after="0" w:line="209" w:lineRule="exact"/>
        <w:rPr>
          <w:rFonts w:ascii="Arial" w:cs="Arial" w:eastAsia="Arial" w:hAnsi="Arial"/>
          <w:sz w:val="17"/>
          <w:szCs w:val="17"/>
          <w:color w:val="auto"/>
        </w:rPr>
      </w:pPr>
    </w:p>
    <w:p>
      <w:pPr>
        <w:ind w:left="1440" w:hanging="474"/>
        <w:spacing w:after="0"/>
        <w:tabs>
          <w:tab w:leader="none" w:pos="1440" w:val="left"/>
        </w:tabs>
        <w:numPr>
          <w:ilvl w:val="2"/>
          <w:numId w:val="159"/>
        </w:numPr>
        <w:rPr>
          <w:rFonts w:ascii="Arial" w:cs="Arial" w:eastAsia="Arial" w:hAnsi="Arial"/>
          <w:sz w:val="17"/>
          <w:szCs w:val="17"/>
          <w:color w:val="auto"/>
        </w:rPr>
      </w:pPr>
      <w:r>
        <w:rPr>
          <w:rFonts w:ascii="Arial" w:cs="Arial" w:eastAsia="Arial" w:hAnsi="Arial"/>
          <w:sz w:val="17"/>
          <w:szCs w:val="17"/>
          <w:color w:val="auto"/>
        </w:rPr>
        <w:t>Distribution shall be one electrical room for approximately each 19,000 usable square feet.</w:t>
      </w:r>
    </w:p>
    <w:p>
      <w:pPr>
        <w:spacing w:after="0" w:line="18" w:lineRule="exact"/>
        <w:rPr>
          <w:rFonts w:ascii="Arial" w:cs="Arial" w:eastAsia="Arial" w:hAnsi="Arial"/>
          <w:sz w:val="17"/>
          <w:szCs w:val="17"/>
          <w:color w:val="auto"/>
        </w:rPr>
      </w:pPr>
    </w:p>
    <w:p>
      <w:pPr>
        <w:ind w:left="1440" w:right="480" w:hanging="474"/>
        <w:spacing w:after="0" w:line="281" w:lineRule="auto"/>
        <w:tabs>
          <w:tab w:leader="none" w:pos="1440" w:val="left"/>
        </w:tabs>
        <w:numPr>
          <w:ilvl w:val="2"/>
          <w:numId w:val="159"/>
        </w:numPr>
        <w:rPr>
          <w:rFonts w:ascii="Arial" w:cs="Arial" w:eastAsia="Arial" w:hAnsi="Arial"/>
          <w:sz w:val="15"/>
          <w:szCs w:val="15"/>
          <w:color w:val="auto"/>
        </w:rPr>
      </w:pPr>
      <w:r>
        <w:rPr>
          <w:rFonts w:ascii="Arial" w:cs="Arial" w:eastAsia="Arial" w:hAnsi="Arial"/>
          <w:sz w:val="15"/>
          <w:szCs w:val="15"/>
          <w:color w:val="auto"/>
        </w:rPr>
        <w:t>A complete shell electrical system is provided in accordance with applicable codes from a 2000 amp, 277/480 volt, 3-phase service to panel boards with circuit breakers and distribution as required to provide power for IIVAC equipment, lighting, and convenience outlets.</w:t>
      </w:r>
    </w:p>
    <w:p>
      <w:pPr>
        <w:ind w:left="1440" w:right="440" w:hanging="474"/>
        <w:spacing w:after="0" w:line="248" w:lineRule="auto"/>
        <w:tabs>
          <w:tab w:leader="none" w:pos="1440" w:val="left"/>
        </w:tabs>
        <w:numPr>
          <w:ilvl w:val="2"/>
          <w:numId w:val="159"/>
        </w:numPr>
        <w:rPr>
          <w:rFonts w:ascii="Arial" w:cs="Arial" w:eastAsia="Arial" w:hAnsi="Arial"/>
          <w:sz w:val="17"/>
          <w:szCs w:val="17"/>
          <w:color w:val="auto"/>
        </w:rPr>
      </w:pPr>
      <w:r>
        <w:rPr>
          <w:rFonts w:ascii="Arial" w:cs="Arial" w:eastAsia="Arial" w:hAnsi="Arial"/>
          <w:sz w:val="17"/>
          <w:szCs w:val="17"/>
          <w:color w:val="auto"/>
        </w:rPr>
        <w:t>Electrical rooms will provide two 120/203 volt panel boards with 75 KVA transformer. Each panel board shall have a 225 amp main breaker and provisions for 42 one pole bolt-on breakers.</w:t>
      </w:r>
    </w:p>
    <w:p>
      <w:pPr>
        <w:ind w:left="1440" w:hanging="474"/>
        <w:spacing w:after="0" w:line="219" w:lineRule="auto"/>
        <w:tabs>
          <w:tab w:leader="none" w:pos="1440" w:val="left"/>
        </w:tabs>
        <w:numPr>
          <w:ilvl w:val="2"/>
          <w:numId w:val="159"/>
        </w:numPr>
        <w:rPr>
          <w:rFonts w:ascii="Arial" w:cs="Arial" w:eastAsia="Arial" w:hAnsi="Arial"/>
          <w:sz w:val="34"/>
          <w:szCs w:val="34"/>
          <w:color w:val="auto"/>
          <w:vertAlign w:val="superscript"/>
        </w:rPr>
      </w:pPr>
      <w:r>
        <w:rPr>
          <w:rFonts w:ascii="Arial" w:cs="Arial" w:eastAsia="Arial" w:hAnsi="Arial"/>
          <w:sz w:val="17"/>
          <w:szCs w:val="17"/>
          <w:color w:val="auto"/>
        </w:rPr>
        <w:t xml:space="preserve">The electrical system and </w:t>
      </w:r>
      <w:r>
        <w:rPr>
          <w:rFonts w:ascii="Arial" w:cs="Arial" w:eastAsia="Arial" w:hAnsi="Arial"/>
          <w:sz w:val="28"/>
          <w:szCs w:val="28"/>
          <w:color w:val="auto"/>
          <w:vertAlign w:val="superscript"/>
        </w:rPr>
        <w:t>.</w:t>
      </w:r>
      <w:r>
        <w:rPr>
          <w:rFonts w:ascii="Arial" w:cs="Arial" w:eastAsia="Arial" w:hAnsi="Arial"/>
          <w:sz w:val="17"/>
          <w:szCs w:val="17"/>
          <w:color w:val="auto"/>
        </w:rPr>
        <w:t>equipment will have a grounding system required by code.</w:t>
      </w:r>
    </w:p>
    <w:p>
      <w:pPr>
        <w:spacing w:after="0" w:line="74" w:lineRule="exact"/>
        <w:rPr>
          <w:rFonts w:ascii="Arial" w:cs="Arial" w:eastAsia="Arial" w:hAnsi="Arial"/>
          <w:sz w:val="34"/>
          <w:szCs w:val="34"/>
          <w:color w:val="auto"/>
          <w:vertAlign w:val="superscript"/>
        </w:rPr>
      </w:pPr>
    </w:p>
    <w:p>
      <w:pPr>
        <w:ind w:left="900" w:hanging="412"/>
        <w:spacing w:after="0"/>
        <w:tabs>
          <w:tab w:leader="none" w:pos="90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Lighting.</w:t>
      </w:r>
    </w:p>
    <w:p>
      <w:pPr>
        <w:spacing w:after="0" w:line="209" w:lineRule="exact"/>
        <w:rPr>
          <w:rFonts w:ascii="Arial" w:cs="Arial" w:eastAsia="Arial" w:hAnsi="Arial"/>
          <w:sz w:val="17"/>
          <w:szCs w:val="17"/>
          <w:color w:val="auto"/>
        </w:rPr>
      </w:pPr>
    </w:p>
    <w:p>
      <w:pPr>
        <w:ind w:left="1380" w:hanging="406"/>
        <w:spacing w:after="0"/>
        <w:tabs>
          <w:tab w:leader="none" w:pos="1380" w:val="left"/>
        </w:tabs>
        <w:numPr>
          <w:ilvl w:val="2"/>
          <w:numId w:val="159"/>
        </w:numPr>
        <w:rPr>
          <w:rFonts w:ascii="Arial" w:cs="Arial" w:eastAsia="Arial" w:hAnsi="Arial"/>
          <w:sz w:val="17"/>
          <w:szCs w:val="17"/>
          <w:color w:val="auto"/>
        </w:rPr>
      </w:pPr>
      <w:r>
        <w:rPr>
          <w:rFonts w:ascii="Arial" w:cs="Arial" w:eastAsia="Arial" w:hAnsi="Arial"/>
          <w:sz w:val="17"/>
          <w:szCs w:val="17"/>
          <w:color w:val="auto"/>
        </w:rPr>
        <w:t>Lighting at interior and exterior areas is in accordance with the following:</w:t>
      </w:r>
    </w:p>
    <w:p>
      <w:pPr>
        <w:spacing w:after="0" w:line="209" w:lineRule="exact"/>
        <w:rPr>
          <w:rFonts w:ascii="Arial" w:cs="Arial" w:eastAsia="Arial" w:hAnsi="Arial"/>
          <w:sz w:val="17"/>
          <w:szCs w:val="17"/>
          <w:color w:val="auto"/>
        </w:rPr>
      </w:pPr>
    </w:p>
    <w:p>
      <w:pPr>
        <w:ind w:left="2000" w:right="60" w:hanging="540"/>
        <w:spacing w:after="0" w:line="253" w:lineRule="auto"/>
        <w:tabs>
          <w:tab w:leader="none" w:pos="2000" w:val="left"/>
        </w:tabs>
        <w:numPr>
          <w:ilvl w:val="4"/>
          <w:numId w:val="159"/>
        </w:numPr>
        <w:rPr>
          <w:rFonts w:ascii="Arial" w:cs="Arial" w:eastAsia="Arial" w:hAnsi="Arial"/>
          <w:sz w:val="17"/>
          <w:szCs w:val="17"/>
          <w:color w:val="auto"/>
        </w:rPr>
      </w:pPr>
      <w:r>
        <w:rPr>
          <w:rFonts w:ascii="Arial" w:cs="Arial" w:eastAsia="Arial" w:hAnsi="Arial"/>
          <w:sz w:val="17"/>
          <w:szCs w:val="17"/>
          <w:color w:val="auto"/>
        </w:rPr>
        <w:t>Interior lighting: 2'x 4' 3-lamp parabolic light fixtures will be provided and stockpiled for tenant layout. Fixtures will be provided at a rate of one per 80 rentable square feet. Additional fixtures will be priced at $120/each. Lighting control will be based on Tenant layout and will be part of TI budget.</w:t>
      </w:r>
    </w:p>
    <w:p>
      <w:pPr>
        <w:ind w:left="2000" w:right="480" w:hanging="540"/>
        <w:spacing w:after="0" w:line="248" w:lineRule="auto"/>
        <w:tabs>
          <w:tab w:leader="none" w:pos="2000" w:val="left"/>
        </w:tabs>
        <w:numPr>
          <w:ilvl w:val="4"/>
          <w:numId w:val="159"/>
        </w:numPr>
        <w:rPr>
          <w:rFonts w:ascii="Arial" w:cs="Arial" w:eastAsia="Arial" w:hAnsi="Arial"/>
          <w:sz w:val="17"/>
          <w:szCs w:val="17"/>
          <w:color w:val="auto"/>
        </w:rPr>
      </w:pPr>
      <w:r>
        <w:rPr>
          <w:rFonts w:ascii="Arial" w:cs="Arial" w:eastAsia="Arial" w:hAnsi="Arial"/>
          <w:sz w:val="17"/>
          <w:szCs w:val="17"/>
          <w:color w:val="auto"/>
        </w:rPr>
        <w:t>Pole mounted parking lot lighting are provided as required to meet City/code required footcandle levels. Parking lot lighting is tune clock and photo cell controlled.</w:t>
      </w:r>
    </w:p>
    <w:p>
      <w:pPr>
        <w:ind w:left="2000" w:hanging="540"/>
        <w:spacing w:after="0"/>
        <w:tabs>
          <w:tab w:leader="none" w:pos="2000" w:val="left"/>
        </w:tabs>
        <w:numPr>
          <w:ilvl w:val="4"/>
          <w:numId w:val="159"/>
        </w:numPr>
        <w:rPr>
          <w:rFonts w:ascii="Arial" w:cs="Arial" w:eastAsia="Arial" w:hAnsi="Arial"/>
          <w:sz w:val="17"/>
          <w:szCs w:val="17"/>
          <w:color w:val="auto"/>
        </w:rPr>
      </w:pPr>
      <w:r>
        <w:rPr>
          <w:rFonts w:ascii="Arial" w:cs="Arial" w:eastAsia="Arial" w:hAnsi="Arial"/>
          <w:sz w:val="17"/>
          <w:szCs w:val="17"/>
          <w:color w:val="auto"/>
        </w:rPr>
        <w:t>Exterior Building Mounted Lights: Decorative wall mounted fixtures and wall packs to comply with city requirements,</w:t>
      </w:r>
    </w:p>
    <w:p>
      <w:pPr>
        <w:spacing w:after="0" w:line="6" w:lineRule="exact"/>
        <w:rPr>
          <w:rFonts w:ascii="Arial" w:cs="Arial" w:eastAsia="Arial" w:hAnsi="Arial"/>
          <w:sz w:val="17"/>
          <w:szCs w:val="17"/>
          <w:color w:val="auto"/>
        </w:rPr>
      </w:pPr>
    </w:p>
    <w:p>
      <w:pPr>
        <w:ind w:left="2000" w:hanging="540"/>
        <w:spacing w:after="0"/>
        <w:tabs>
          <w:tab w:leader="none" w:pos="2000" w:val="left"/>
        </w:tabs>
        <w:numPr>
          <w:ilvl w:val="4"/>
          <w:numId w:val="159"/>
        </w:numPr>
        <w:rPr>
          <w:rFonts w:ascii="Arial" w:cs="Arial" w:eastAsia="Arial" w:hAnsi="Arial"/>
          <w:sz w:val="17"/>
          <w:szCs w:val="17"/>
          <w:color w:val="auto"/>
        </w:rPr>
      </w:pPr>
      <w:r>
        <w:rPr>
          <w:rFonts w:ascii="Arial" w:cs="Arial" w:eastAsia="Arial" w:hAnsi="Arial"/>
          <w:sz w:val="17"/>
          <w:szCs w:val="17"/>
          <w:color w:val="auto"/>
        </w:rPr>
        <w:t>Exit and Emergency Lighting for Shell Building: As required by code for shell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406400</wp:posOffset>
            </wp:positionV>
            <wp:extent cx="7255510" cy="400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60"/>
          </w:cols>
          <w:pgMar w:left="300" w:top="228"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7"/>
          <w:szCs w:val="17"/>
          <w:color w:val="auto"/>
        </w:rPr>
        <w:t>Page 13 of 13</w:t>
      </w:r>
    </w:p>
    <w:p>
      <w:pPr>
        <w:spacing w:after="0" w:line="209" w:lineRule="exact"/>
        <w:rPr>
          <w:sz w:val="20"/>
          <w:szCs w:val="20"/>
          <w:color w:val="auto"/>
        </w:rPr>
      </w:pPr>
    </w:p>
    <w:p>
      <w:pPr>
        <w:ind w:left="960" w:hanging="412"/>
        <w:spacing w:after="0"/>
        <w:tabs>
          <w:tab w:leader="none" w:pos="96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Communication.</w:t>
      </w:r>
    </w:p>
    <w:p>
      <w:pPr>
        <w:spacing w:after="0" w:line="209" w:lineRule="exact"/>
        <w:rPr>
          <w:rFonts w:ascii="Arial" w:cs="Arial" w:eastAsia="Arial" w:hAnsi="Arial"/>
          <w:sz w:val="17"/>
          <w:szCs w:val="17"/>
          <w:color w:val="auto"/>
        </w:rPr>
      </w:pPr>
    </w:p>
    <w:p>
      <w:pPr>
        <w:ind w:left="1880" w:hanging="424"/>
        <w:spacing w:after="0"/>
        <w:tabs>
          <w:tab w:leader="none" w:pos="1880" w:val="left"/>
        </w:tabs>
        <w:numPr>
          <w:ilvl w:val="3"/>
          <w:numId w:val="160"/>
        </w:numPr>
        <w:rPr>
          <w:rFonts w:ascii="Arial" w:cs="Arial" w:eastAsia="Arial" w:hAnsi="Arial"/>
          <w:sz w:val="17"/>
          <w:szCs w:val="17"/>
          <w:color w:val="auto"/>
        </w:rPr>
      </w:pPr>
      <w:r>
        <w:rPr>
          <w:rFonts w:ascii="Arial" w:cs="Arial" w:eastAsia="Arial" w:hAnsi="Arial"/>
          <w:sz w:val="17"/>
          <w:szCs w:val="17"/>
          <w:color w:val="auto"/>
        </w:rPr>
        <w:t>A 3" empty-PVC conduit from the utility room to exterior for telephone service entry,</w:t>
      </w:r>
    </w:p>
    <w:p>
      <w:pPr>
        <w:spacing w:after="0" w:line="209" w:lineRule="exact"/>
        <w:rPr>
          <w:rFonts w:ascii="Arial" w:cs="Arial" w:eastAsia="Arial" w:hAnsi="Arial"/>
          <w:sz w:val="17"/>
          <w:szCs w:val="17"/>
          <w:color w:val="auto"/>
        </w:rPr>
      </w:pPr>
    </w:p>
    <w:p>
      <w:pPr>
        <w:ind w:left="960" w:hanging="412"/>
        <w:spacing w:after="0"/>
        <w:tabs>
          <w:tab w:leader="none" w:pos="96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All further Electrical work associated with tenant build-out will be part of Tenant Improvement Allowances.</w:t>
      </w:r>
    </w:p>
    <w:p>
      <w:pPr>
        <w:spacing w:after="0" w:line="20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III.    EXCLUSIONS</w:t>
      </w:r>
    </w:p>
    <w:p>
      <w:pPr>
        <w:spacing w:after="0" w:line="209" w:lineRule="exact"/>
        <w:rPr>
          <w:rFonts w:ascii="Arial" w:cs="Arial" w:eastAsia="Arial" w:hAnsi="Arial"/>
          <w:sz w:val="17"/>
          <w:szCs w:val="17"/>
          <w:color w:val="auto"/>
        </w:rPr>
      </w:pPr>
    </w:p>
    <w:p>
      <w:pPr>
        <w:ind w:left="1400" w:hanging="427"/>
        <w:spacing w:after="0"/>
        <w:tabs>
          <w:tab w:leader="none" w:pos="1400" w:val="left"/>
        </w:tabs>
        <w:numPr>
          <w:ilvl w:val="2"/>
          <w:numId w:val="160"/>
        </w:numPr>
        <w:rPr>
          <w:rFonts w:ascii="Arial" w:cs="Arial" w:eastAsia="Arial" w:hAnsi="Arial"/>
          <w:sz w:val="17"/>
          <w:szCs w:val="17"/>
          <w:color w:val="auto"/>
        </w:rPr>
      </w:pPr>
      <w:r>
        <w:rPr>
          <w:rFonts w:ascii="Arial" w:cs="Arial" w:eastAsia="Arial" w:hAnsi="Arial"/>
          <w:sz w:val="17"/>
          <w:szCs w:val="17"/>
          <w:color w:val="auto"/>
        </w:rPr>
        <w:t>The following items are not included in the scope of work proposed herein:</w:t>
      </w:r>
    </w:p>
    <w:p>
      <w:pPr>
        <w:spacing w:after="0" w:line="209" w:lineRule="exact"/>
        <w:rPr>
          <w:rFonts w:ascii="Arial" w:cs="Arial" w:eastAsia="Arial" w:hAnsi="Arial"/>
          <w:sz w:val="17"/>
          <w:szCs w:val="17"/>
          <w:color w:val="auto"/>
        </w:rPr>
      </w:pPr>
    </w:p>
    <w:p>
      <w:pPr>
        <w:ind w:left="2000" w:hanging="544"/>
        <w:spacing w:after="0"/>
        <w:tabs>
          <w:tab w:leader="none" w:pos="2000" w:val="left"/>
        </w:tabs>
        <w:numPr>
          <w:ilvl w:val="3"/>
          <w:numId w:val="160"/>
        </w:numPr>
        <w:rPr>
          <w:rFonts w:ascii="Arial" w:cs="Arial" w:eastAsia="Arial" w:hAnsi="Arial"/>
          <w:sz w:val="17"/>
          <w:szCs w:val="17"/>
          <w:color w:val="auto"/>
        </w:rPr>
      </w:pPr>
      <w:r>
        <w:rPr>
          <w:rFonts w:ascii="Arial" w:cs="Arial" w:eastAsia="Arial" w:hAnsi="Arial"/>
          <w:sz w:val="17"/>
          <w:szCs w:val="17"/>
          <w:color w:val="auto"/>
        </w:rPr>
        <w:t>Fire Pump</w:t>
      </w:r>
    </w:p>
    <w:p>
      <w:pPr>
        <w:spacing w:after="0" w:line="18" w:lineRule="exact"/>
        <w:rPr>
          <w:rFonts w:ascii="Arial" w:cs="Arial" w:eastAsia="Arial" w:hAnsi="Arial"/>
          <w:sz w:val="17"/>
          <w:szCs w:val="17"/>
          <w:color w:val="auto"/>
        </w:rPr>
      </w:pPr>
    </w:p>
    <w:p>
      <w:pPr>
        <w:ind w:left="2000" w:hanging="544"/>
        <w:spacing w:after="0"/>
        <w:tabs>
          <w:tab w:leader="none" w:pos="2000" w:val="left"/>
        </w:tabs>
        <w:numPr>
          <w:ilvl w:val="3"/>
          <w:numId w:val="160"/>
        </w:numPr>
        <w:rPr>
          <w:rFonts w:ascii="Arial" w:cs="Arial" w:eastAsia="Arial" w:hAnsi="Arial"/>
          <w:sz w:val="17"/>
          <w:szCs w:val="17"/>
          <w:color w:val="auto"/>
        </w:rPr>
      </w:pPr>
      <w:r>
        <w:rPr>
          <w:rFonts w:ascii="Arial" w:cs="Arial" w:eastAsia="Arial" w:hAnsi="Arial"/>
          <w:sz w:val="17"/>
          <w:szCs w:val="17"/>
          <w:color w:val="auto"/>
        </w:rPr>
        <w:t>Emergency generator</w:t>
      </w:r>
    </w:p>
    <w:p>
      <w:pPr>
        <w:spacing w:after="0" w:line="6" w:lineRule="exact"/>
        <w:rPr>
          <w:rFonts w:ascii="Arial" w:cs="Arial" w:eastAsia="Arial" w:hAnsi="Arial"/>
          <w:sz w:val="17"/>
          <w:szCs w:val="17"/>
          <w:color w:val="auto"/>
        </w:rPr>
      </w:pPr>
    </w:p>
    <w:p>
      <w:pPr>
        <w:ind w:left="2000" w:hanging="544"/>
        <w:spacing w:after="0"/>
        <w:tabs>
          <w:tab w:leader="none" w:pos="2000" w:val="left"/>
        </w:tabs>
        <w:numPr>
          <w:ilvl w:val="3"/>
          <w:numId w:val="160"/>
        </w:numPr>
        <w:rPr>
          <w:rFonts w:ascii="Arial" w:cs="Arial" w:eastAsia="Arial" w:hAnsi="Arial"/>
          <w:sz w:val="17"/>
          <w:szCs w:val="17"/>
          <w:color w:val="auto"/>
        </w:rPr>
      </w:pPr>
      <w:r>
        <w:rPr>
          <w:rFonts w:ascii="Arial" w:cs="Arial" w:eastAsia="Arial" w:hAnsi="Arial"/>
          <w:sz w:val="17"/>
          <w:szCs w:val="17"/>
          <w:color w:val="auto"/>
        </w:rPr>
        <w:t>On-site water storage facilities</w:t>
      </w:r>
    </w:p>
    <w:p>
      <w:pPr>
        <w:spacing w:after="0" w:line="6" w:lineRule="exact"/>
        <w:rPr>
          <w:rFonts w:ascii="Arial" w:cs="Arial" w:eastAsia="Arial" w:hAnsi="Arial"/>
          <w:sz w:val="17"/>
          <w:szCs w:val="17"/>
          <w:color w:val="auto"/>
        </w:rPr>
      </w:pPr>
    </w:p>
    <w:p>
      <w:pPr>
        <w:ind w:left="2000" w:hanging="544"/>
        <w:spacing w:after="0"/>
        <w:tabs>
          <w:tab w:leader="none" w:pos="2000" w:val="left"/>
        </w:tabs>
        <w:numPr>
          <w:ilvl w:val="3"/>
          <w:numId w:val="160"/>
        </w:numPr>
        <w:rPr>
          <w:rFonts w:ascii="Arial" w:cs="Arial" w:eastAsia="Arial" w:hAnsi="Arial"/>
          <w:sz w:val="17"/>
          <w:szCs w:val="17"/>
          <w:color w:val="auto"/>
        </w:rPr>
      </w:pPr>
      <w:r>
        <w:rPr>
          <w:rFonts w:ascii="Arial" w:cs="Arial" w:eastAsia="Arial" w:hAnsi="Arial"/>
          <w:sz w:val="17"/>
          <w:szCs w:val="17"/>
          <w:color w:val="auto"/>
        </w:rPr>
        <w:t>Water treatment or conditioning</w:t>
      </w:r>
    </w:p>
    <w:p>
      <w:pPr>
        <w:spacing w:after="0" w:line="6" w:lineRule="exact"/>
        <w:rPr>
          <w:rFonts w:ascii="Arial" w:cs="Arial" w:eastAsia="Arial" w:hAnsi="Arial"/>
          <w:sz w:val="17"/>
          <w:szCs w:val="17"/>
          <w:color w:val="auto"/>
        </w:rPr>
      </w:pPr>
    </w:p>
    <w:p>
      <w:pPr>
        <w:ind w:left="2000" w:hanging="544"/>
        <w:spacing w:after="0"/>
        <w:tabs>
          <w:tab w:leader="none" w:pos="2000" w:val="left"/>
        </w:tabs>
        <w:numPr>
          <w:ilvl w:val="3"/>
          <w:numId w:val="160"/>
        </w:numPr>
        <w:rPr>
          <w:rFonts w:ascii="Arial" w:cs="Arial" w:eastAsia="Arial" w:hAnsi="Arial"/>
          <w:sz w:val="17"/>
          <w:szCs w:val="17"/>
          <w:color w:val="auto"/>
        </w:rPr>
      </w:pPr>
      <w:r>
        <w:rPr>
          <w:rFonts w:ascii="Arial" w:cs="Arial" w:eastAsia="Arial" w:hAnsi="Arial"/>
          <w:sz w:val="17"/>
          <w:szCs w:val="17"/>
          <w:color w:val="auto"/>
        </w:rPr>
        <w:t>Automatic operators for entrance doors</w:t>
      </w:r>
    </w:p>
    <w:p>
      <w:pPr>
        <w:spacing w:after="0" w:line="6" w:lineRule="exact"/>
        <w:rPr>
          <w:rFonts w:ascii="Arial" w:cs="Arial" w:eastAsia="Arial" w:hAnsi="Arial"/>
          <w:sz w:val="17"/>
          <w:szCs w:val="17"/>
          <w:color w:val="auto"/>
        </w:rPr>
      </w:pPr>
    </w:p>
    <w:p>
      <w:pPr>
        <w:ind w:left="2000" w:hanging="544"/>
        <w:spacing w:after="0"/>
        <w:tabs>
          <w:tab w:leader="none" w:pos="2000" w:val="left"/>
        </w:tabs>
        <w:numPr>
          <w:ilvl w:val="3"/>
          <w:numId w:val="160"/>
        </w:numPr>
        <w:rPr>
          <w:rFonts w:ascii="Arial" w:cs="Arial" w:eastAsia="Arial" w:hAnsi="Arial"/>
          <w:sz w:val="17"/>
          <w:szCs w:val="17"/>
          <w:color w:val="auto"/>
        </w:rPr>
      </w:pPr>
      <w:r>
        <w:rPr>
          <w:rFonts w:ascii="Arial" w:cs="Arial" w:eastAsia="Arial" w:hAnsi="Arial"/>
          <w:sz w:val="17"/>
          <w:szCs w:val="17"/>
          <w:color w:val="auto"/>
        </w:rPr>
        <w:t>Special fire protection systems such as ESFR system, in-rack sprinklers, pre-action systems. halon or dry sprinkler systems</w:t>
      </w:r>
    </w:p>
    <w:p>
      <w:pPr>
        <w:spacing w:after="0" w:line="6" w:lineRule="exact"/>
        <w:rPr>
          <w:rFonts w:ascii="Arial" w:cs="Arial" w:eastAsia="Arial" w:hAnsi="Arial"/>
          <w:sz w:val="17"/>
          <w:szCs w:val="17"/>
          <w:color w:val="auto"/>
        </w:rPr>
      </w:pPr>
    </w:p>
    <w:p>
      <w:pPr>
        <w:ind w:left="2000" w:hanging="544"/>
        <w:spacing w:after="0"/>
        <w:tabs>
          <w:tab w:leader="none" w:pos="2000" w:val="left"/>
        </w:tabs>
        <w:numPr>
          <w:ilvl w:val="3"/>
          <w:numId w:val="160"/>
        </w:numPr>
        <w:rPr>
          <w:rFonts w:ascii="Arial" w:cs="Arial" w:eastAsia="Arial" w:hAnsi="Arial"/>
          <w:sz w:val="17"/>
          <w:szCs w:val="17"/>
          <w:color w:val="auto"/>
        </w:rPr>
      </w:pPr>
      <w:r>
        <w:rPr>
          <w:rFonts w:ascii="Arial" w:cs="Arial" w:eastAsia="Arial" w:hAnsi="Arial"/>
          <w:sz w:val="17"/>
          <w:szCs w:val="17"/>
          <w:color w:val="auto"/>
        </w:rPr>
        <w:t>Security systems and fire alarm systems. other than code required systems for Shell Building</w:t>
      </w:r>
    </w:p>
    <w:p>
      <w:pPr>
        <w:spacing w:after="0" w:line="6" w:lineRule="exact"/>
        <w:rPr>
          <w:rFonts w:ascii="Arial" w:cs="Arial" w:eastAsia="Arial" w:hAnsi="Arial"/>
          <w:sz w:val="17"/>
          <w:szCs w:val="17"/>
          <w:color w:val="auto"/>
        </w:rPr>
      </w:pPr>
    </w:p>
    <w:p>
      <w:pPr>
        <w:ind w:left="2000" w:hanging="544"/>
        <w:spacing w:after="0"/>
        <w:tabs>
          <w:tab w:leader="none" w:pos="2000" w:val="left"/>
        </w:tabs>
        <w:numPr>
          <w:ilvl w:val="3"/>
          <w:numId w:val="160"/>
        </w:numPr>
        <w:rPr>
          <w:rFonts w:ascii="Arial" w:cs="Arial" w:eastAsia="Arial" w:hAnsi="Arial"/>
          <w:sz w:val="17"/>
          <w:szCs w:val="17"/>
          <w:color w:val="auto"/>
        </w:rPr>
      </w:pPr>
      <w:r>
        <w:rPr>
          <w:rFonts w:ascii="Arial" w:cs="Arial" w:eastAsia="Arial" w:hAnsi="Arial"/>
          <w:sz w:val="17"/>
          <w:szCs w:val="17"/>
          <w:color w:val="auto"/>
        </w:rPr>
        <w:t>Dedicated electrical circuits or other special. computer wiring</w:t>
      </w:r>
    </w:p>
    <w:p>
      <w:pPr>
        <w:spacing w:after="0" w:line="6" w:lineRule="exact"/>
        <w:rPr>
          <w:rFonts w:ascii="Arial" w:cs="Arial" w:eastAsia="Arial" w:hAnsi="Arial"/>
          <w:sz w:val="17"/>
          <w:szCs w:val="17"/>
          <w:color w:val="auto"/>
        </w:rPr>
      </w:pPr>
    </w:p>
    <w:p>
      <w:pPr>
        <w:ind w:left="2000" w:hanging="544"/>
        <w:spacing w:after="0"/>
        <w:tabs>
          <w:tab w:leader="none" w:pos="2000" w:val="left"/>
        </w:tabs>
        <w:numPr>
          <w:ilvl w:val="3"/>
          <w:numId w:val="160"/>
        </w:numPr>
        <w:rPr>
          <w:rFonts w:ascii="Arial" w:cs="Arial" w:eastAsia="Arial" w:hAnsi="Arial"/>
          <w:sz w:val="17"/>
          <w:szCs w:val="17"/>
          <w:color w:val="auto"/>
        </w:rPr>
      </w:pPr>
      <w:r>
        <w:rPr>
          <w:rFonts w:ascii="Arial" w:cs="Arial" w:eastAsia="Arial" w:hAnsi="Arial"/>
          <w:sz w:val="17"/>
          <w:szCs w:val="17"/>
          <w:color w:val="auto"/>
        </w:rPr>
        <w:t>Computer Room UV AC requirements</w:t>
      </w:r>
    </w:p>
    <w:p>
      <w:pPr>
        <w:spacing w:after="0" w:line="6" w:lineRule="exact"/>
        <w:rPr>
          <w:rFonts w:ascii="Arial" w:cs="Arial" w:eastAsia="Arial" w:hAnsi="Arial"/>
          <w:sz w:val="17"/>
          <w:szCs w:val="17"/>
          <w:color w:val="auto"/>
        </w:rPr>
      </w:pPr>
    </w:p>
    <w:p>
      <w:pPr>
        <w:ind w:left="2000" w:hanging="544"/>
        <w:spacing w:after="0"/>
        <w:tabs>
          <w:tab w:leader="none" w:pos="2000" w:val="left"/>
        </w:tabs>
        <w:numPr>
          <w:ilvl w:val="3"/>
          <w:numId w:val="160"/>
        </w:numPr>
        <w:rPr>
          <w:rFonts w:ascii="Arial" w:cs="Arial" w:eastAsia="Arial" w:hAnsi="Arial"/>
          <w:sz w:val="17"/>
          <w:szCs w:val="17"/>
          <w:color w:val="auto"/>
        </w:rPr>
      </w:pPr>
      <w:r>
        <w:rPr>
          <w:rFonts w:ascii="Arial" w:cs="Arial" w:eastAsia="Arial" w:hAnsi="Arial"/>
          <w:sz w:val="17"/>
          <w:szCs w:val="17"/>
          <w:color w:val="auto"/>
        </w:rPr>
        <w:t>Humidification</w:t>
      </w:r>
    </w:p>
    <w:p>
      <w:pPr>
        <w:spacing w:after="0" w:line="6" w:lineRule="exact"/>
        <w:rPr>
          <w:rFonts w:ascii="Arial" w:cs="Arial" w:eastAsia="Arial" w:hAnsi="Arial"/>
          <w:sz w:val="17"/>
          <w:szCs w:val="17"/>
          <w:color w:val="auto"/>
        </w:rPr>
      </w:pPr>
    </w:p>
    <w:p>
      <w:pPr>
        <w:ind w:left="2000" w:hanging="544"/>
        <w:spacing w:after="0"/>
        <w:tabs>
          <w:tab w:leader="none" w:pos="2000" w:val="left"/>
        </w:tabs>
        <w:numPr>
          <w:ilvl w:val="3"/>
          <w:numId w:val="160"/>
        </w:numPr>
        <w:rPr>
          <w:rFonts w:ascii="Arial" w:cs="Arial" w:eastAsia="Arial" w:hAnsi="Arial"/>
          <w:sz w:val="17"/>
          <w:szCs w:val="17"/>
          <w:color w:val="auto"/>
        </w:rPr>
      </w:pPr>
      <w:r>
        <w:rPr>
          <w:rFonts w:ascii="Arial" w:cs="Arial" w:eastAsia="Arial" w:hAnsi="Arial"/>
          <w:sz w:val="17"/>
          <w:szCs w:val="17"/>
          <w:color w:val="auto"/>
        </w:rPr>
        <w:t>UPS system</w:t>
      </w:r>
    </w:p>
    <w:p>
      <w:pPr>
        <w:spacing w:after="0" w:line="6" w:lineRule="exact"/>
        <w:rPr>
          <w:rFonts w:ascii="Arial" w:cs="Arial" w:eastAsia="Arial" w:hAnsi="Arial"/>
          <w:sz w:val="17"/>
          <w:szCs w:val="17"/>
          <w:color w:val="auto"/>
        </w:rPr>
      </w:pPr>
    </w:p>
    <w:p>
      <w:pPr>
        <w:ind w:left="2000" w:hanging="544"/>
        <w:spacing w:after="0"/>
        <w:tabs>
          <w:tab w:leader="none" w:pos="2000" w:val="left"/>
        </w:tabs>
        <w:numPr>
          <w:ilvl w:val="3"/>
          <w:numId w:val="160"/>
        </w:numPr>
        <w:rPr>
          <w:rFonts w:ascii="Arial" w:cs="Arial" w:eastAsia="Arial" w:hAnsi="Arial"/>
          <w:sz w:val="17"/>
          <w:szCs w:val="17"/>
          <w:color w:val="auto"/>
        </w:rPr>
      </w:pPr>
      <w:r>
        <w:rPr>
          <w:rFonts w:ascii="Arial" w:cs="Arial" w:eastAsia="Arial" w:hAnsi="Arial"/>
          <w:sz w:val="17"/>
          <w:szCs w:val="17"/>
          <w:color w:val="auto"/>
        </w:rPr>
        <w:t>Explosion-proof equipment</w:t>
      </w:r>
    </w:p>
    <w:p>
      <w:pPr>
        <w:spacing w:after="0" w:line="6" w:lineRule="exact"/>
        <w:rPr>
          <w:rFonts w:ascii="Arial" w:cs="Arial" w:eastAsia="Arial" w:hAnsi="Arial"/>
          <w:sz w:val="17"/>
          <w:szCs w:val="17"/>
          <w:color w:val="auto"/>
        </w:rPr>
      </w:pPr>
    </w:p>
    <w:p>
      <w:pPr>
        <w:ind w:left="2000" w:hanging="544"/>
        <w:spacing w:after="0"/>
        <w:tabs>
          <w:tab w:leader="none" w:pos="2000" w:val="left"/>
        </w:tabs>
        <w:numPr>
          <w:ilvl w:val="3"/>
          <w:numId w:val="160"/>
        </w:numPr>
        <w:rPr>
          <w:rFonts w:ascii="Arial" w:cs="Arial" w:eastAsia="Arial" w:hAnsi="Arial"/>
          <w:sz w:val="17"/>
          <w:szCs w:val="17"/>
          <w:color w:val="auto"/>
        </w:rPr>
      </w:pPr>
      <w:r>
        <w:rPr>
          <w:rFonts w:ascii="Arial" w:cs="Arial" w:eastAsia="Arial" w:hAnsi="Arial"/>
          <w:sz w:val="17"/>
          <w:szCs w:val="17"/>
          <w:color w:val="auto"/>
        </w:rPr>
        <w:t>Specialty ventilation hoods</w:t>
      </w:r>
    </w:p>
    <w:p>
      <w:pPr>
        <w:spacing w:after="0" w:line="6" w:lineRule="exact"/>
        <w:rPr>
          <w:rFonts w:ascii="Arial" w:cs="Arial" w:eastAsia="Arial" w:hAnsi="Arial"/>
          <w:sz w:val="17"/>
          <w:szCs w:val="17"/>
          <w:color w:val="auto"/>
        </w:rPr>
      </w:pPr>
    </w:p>
    <w:p>
      <w:pPr>
        <w:ind w:left="2000" w:hanging="544"/>
        <w:spacing w:after="0"/>
        <w:tabs>
          <w:tab w:leader="none" w:pos="2000" w:val="left"/>
        </w:tabs>
        <w:numPr>
          <w:ilvl w:val="3"/>
          <w:numId w:val="160"/>
        </w:numPr>
        <w:rPr>
          <w:rFonts w:ascii="Arial" w:cs="Arial" w:eastAsia="Arial" w:hAnsi="Arial"/>
          <w:sz w:val="17"/>
          <w:szCs w:val="17"/>
          <w:color w:val="auto"/>
        </w:rPr>
      </w:pPr>
      <w:r>
        <w:rPr>
          <w:rFonts w:ascii="Arial" w:cs="Arial" w:eastAsia="Arial" w:hAnsi="Arial"/>
          <w:sz w:val="17"/>
          <w:szCs w:val="17"/>
          <w:color w:val="auto"/>
        </w:rPr>
        <w:t>Visual screening of Mechanical equipment and trash enclosures</w:t>
      </w:r>
    </w:p>
    <w:p>
      <w:pPr>
        <w:spacing w:after="0" w:line="6" w:lineRule="exact"/>
        <w:rPr>
          <w:rFonts w:ascii="Arial" w:cs="Arial" w:eastAsia="Arial" w:hAnsi="Arial"/>
          <w:sz w:val="17"/>
          <w:szCs w:val="17"/>
          <w:color w:val="auto"/>
        </w:rPr>
      </w:pPr>
    </w:p>
    <w:p>
      <w:pPr>
        <w:ind w:left="2000" w:hanging="544"/>
        <w:spacing w:after="0"/>
        <w:tabs>
          <w:tab w:leader="none" w:pos="2000" w:val="left"/>
        </w:tabs>
        <w:numPr>
          <w:ilvl w:val="3"/>
          <w:numId w:val="160"/>
        </w:numPr>
        <w:rPr>
          <w:rFonts w:ascii="Arial" w:cs="Arial" w:eastAsia="Arial" w:hAnsi="Arial"/>
          <w:sz w:val="17"/>
          <w:szCs w:val="17"/>
          <w:color w:val="auto"/>
        </w:rPr>
      </w:pPr>
      <w:r>
        <w:rPr>
          <w:rFonts w:ascii="Arial" w:cs="Arial" w:eastAsia="Arial" w:hAnsi="Arial"/>
          <w:sz w:val="17"/>
          <w:szCs w:val="17"/>
          <w:color w:val="auto"/>
        </w:rPr>
        <w:t>Fiberoptics</w:t>
      </w:r>
    </w:p>
    <w:p>
      <w:pPr>
        <w:spacing w:after="0" w:line="6" w:lineRule="exact"/>
        <w:rPr>
          <w:rFonts w:ascii="Arial" w:cs="Arial" w:eastAsia="Arial" w:hAnsi="Arial"/>
          <w:sz w:val="17"/>
          <w:szCs w:val="17"/>
          <w:color w:val="auto"/>
        </w:rPr>
      </w:pPr>
    </w:p>
    <w:p>
      <w:pPr>
        <w:ind w:left="2000" w:hanging="544"/>
        <w:spacing w:after="0"/>
        <w:tabs>
          <w:tab w:leader="none" w:pos="2000" w:val="left"/>
        </w:tabs>
        <w:numPr>
          <w:ilvl w:val="3"/>
          <w:numId w:val="160"/>
        </w:numPr>
        <w:rPr>
          <w:rFonts w:ascii="Arial" w:cs="Arial" w:eastAsia="Arial" w:hAnsi="Arial"/>
          <w:sz w:val="17"/>
          <w:szCs w:val="17"/>
          <w:color w:val="auto"/>
        </w:rPr>
      </w:pPr>
      <w:r>
        <w:rPr>
          <w:rFonts w:ascii="Arial" w:cs="Arial" w:eastAsia="Arial" w:hAnsi="Arial"/>
          <w:sz w:val="17"/>
          <w:szCs w:val="17"/>
          <w:color w:val="auto"/>
        </w:rPr>
        <w:t>CCTV</w:t>
      </w:r>
    </w:p>
    <w:p>
      <w:pPr>
        <w:spacing w:after="0" w:line="6" w:lineRule="exact"/>
        <w:rPr>
          <w:rFonts w:ascii="Arial" w:cs="Arial" w:eastAsia="Arial" w:hAnsi="Arial"/>
          <w:sz w:val="17"/>
          <w:szCs w:val="17"/>
          <w:color w:val="auto"/>
        </w:rPr>
      </w:pPr>
    </w:p>
    <w:p>
      <w:pPr>
        <w:ind w:left="2000" w:hanging="544"/>
        <w:spacing w:after="0"/>
        <w:tabs>
          <w:tab w:leader="none" w:pos="2000" w:val="left"/>
        </w:tabs>
        <w:numPr>
          <w:ilvl w:val="3"/>
          <w:numId w:val="160"/>
        </w:numPr>
        <w:rPr>
          <w:rFonts w:ascii="Arial" w:cs="Arial" w:eastAsia="Arial" w:hAnsi="Arial"/>
          <w:sz w:val="17"/>
          <w:szCs w:val="17"/>
          <w:color w:val="auto"/>
        </w:rPr>
      </w:pPr>
      <w:r>
        <w:rPr>
          <w:rFonts w:ascii="Arial" w:cs="Arial" w:eastAsia="Arial" w:hAnsi="Arial"/>
          <w:sz w:val="17"/>
          <w:szCs w:val="17"/>
          <w:color w:val="auto"/>
        </w:rPr>
        <w:t>Firepump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663575</wp:posOffset>
            </wp:positionV>
            <wp:extent cx="7255510" cy="400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7"/>
          <w:szCs w:val="17"/>
          <w:u w:val="single" w:color="auto"/>
          <w:color w:val="auto"/>
        </w:rPr>
        <w:t>EXHIBIT 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OPTION PROPERTY PARKING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155575</wp:posOffset>
            </wp:positionV>
            <wp:extent cx="7314565" cy="60744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5">
                      <a:extLst>
                        <a:ext uri="{28A0092B-C50C-407E-A947-70E740481C1C}"/>
                      </a:extLst>
                    </a:blip>
                    <a:srcRect/>
                    <a:stretch>
                      <a:fillRect/>
                    </a:stretch>
                  </pic:blipFill>
                  <pic:spPr bwMode="auto">
                    <a:xfrm>
                      <a:off x="0" y="0"/>
                      <a:ext cx="7314565" cy="6074410"/>
                    </a:xfrm>
                    <a:prstGeom prst="rect">
                      <a:avLst/>
                    </a:prstGeom>
                    <a:noFill/>
                  </pic:spPr>
                </pic:pic>
              </a:graphicData>
            </a:graphic>
          </wp:anchor>
        </w:drawing>
      </w:r>
    </w:p>
    <w:p>
      <w:pPr>
        <w:sectPr>
          <w:pgSz w:w="11900" w:h="16838" w:orient="portrait"/>
          <w:cols w:equalWidth="0" w:num="1">
            <w:col w:w="9019"/>
          </w:cols>
          <w:pgMar w:left="1440" w:top="330"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7"/>
          <w:szCs w:val="17"/>
          <w:u w:val="single" w:color="auto"/>
          <w:color w:val="auto"/>
        </w:rPr>
        <w:t>EXHIBIT 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SUBORDINATION, NON-DISTURBANCE AND ATTORNMENT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 AND ESTOPPEL CERTIFICATE</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SUBORDINATION, NON-DISTURBANCE AND ATTORNMENT AGREEMENT AND ESTOPPEL CERTIFICATE</w:t>
      </w:r>
    </w:p>
    <w:p>
      <w:pPr>
        <w:spacing w:after="0" w:line="213" w:lineRule="exact"/>
        <w:rPr>
          <w:sz w:val="20"/>
          <w:szCs w:val="20"/>
          <w:color w:val="auto"/>
        </w:rPr>
      </w:pPr>
    </w:p>
    <w:p>
      <w:pPr>
        <w:spacing w:after="0"/>
        <w:tabs>
          <w:tab w:leader="none" w:pos="9280" w:val="left"/>
        </w:tabs>
        <w:rPr>
          <w:sz w:val="20"/>
          <w:szCs w:val="20"/>
          <w:color w:val="auto"/>
        </w:rPr>
      </w:pPr>
      <w:r>
        <w:rPr>
          <w:rFonts w:ascii="Arial" w:cs="Arial" w:eastAsia="Arial" w:hAnsi="Arial"/>
          <w:sz w:val="17"/>
          <w:szCs w:val="17"/>
          <w:color w:val="auto"/>
        </w:rPr>
        <w:t>THIS AGREEMENT, made effective as of the______ day of_________, 2007, by and between ______________________________</w:t>
      </w:r>
      <w:r>
        <w:rPr>
          <w:sz w:val="20"/>
          <w:szCs w:val="20"/>
          <w:color w:val="auto"/>
        </w:rPr>
        <w:tab/>
      </w:r>
      <w:r>
        <w:rPr>
          <w:rFonts w:ascii="Arial" w:cs="Arial" w:eastAsia="Arial" w:hAnsi="Arial"/>
          <w:sz w:val="15"/>
          <w:szCs w:val="15"/>
          <w:color w:val="auto"/>
        </w:rPr>
        <w:t>("Tenant"), whose mailing</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address is</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 and_________________, a___________ ("Lender"), whose mailing address is ____________________, and/or its participants,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successors or assigns.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WITNESSETH:</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WHEREAS, by Lease Agreement dated__________________ (hereinafter referred to as the "Lease"), New Brighton 14</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Street, LLC, a Minnesota limited</w:t>
      </w:r>
    </w:p>
    <w:p>
      <w:pPr>
        <w:spacing w:after="0"/>
        <w:rPr>
          <w:sz w:val="20"/>
          <w:szCs w:val="20"/>
          <w:color w:val="auto"/>
        </w:rPr>
      </w:pPr>
      <w:r>
        <w:rPr>
          <w:rFonts w:ascii="Arial" w:cs="Arial" w:eastAsia="Arial" w:hAnsi="Arial"/>
          <w:sz w:val="15"/>
          <w:szCs w:val="15"/>
          <w:color w:val="auto"/>
        </w:rPr>
        <w:t>liability company ("Landlord"), leased and rented to Tenant the real property located in the City of New Brighton at the street address of________, a legal description of</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which is attached as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(the "Property"); and</w:t>
      </w:r>
    </w:p>
    <w:p>
      <w:pPr>
        <w:spacing w:after="0" w:line="198" w:lineRule="exact"/>
        <w:rPr>
          <w:sz w:val="20"/>
          <w:szCs w:val="20"/>
          <w:color w:val="auto"/>
        </w:rPr>
      </w:pPr>
    </w:p>
    <w:p>
      <w:pPr>
        <w:jc w:val="both"/>
        <w:ind w:right="580" w:firstLine="607"/>
        <w:spacing w:after="0" w:line="260" w:lineRule="auto"/>
        <w:rPr>
          <w:sz w:val="20"/>
          <w:szCs w:val="20"/>
          <w:color w:val="auto"/>
        </w:rPr>
      </w:pPr>
      <w:r>
        <w:rPr>
          <w:rFonts w:ascii="Arial" w:cs="Arial" w:eastAsia="Arial" w:hAnsi="Arial"/>
          <w:sz w:val="17"/>
          <w:szCs w:val="17"/>
          <w:color w:val="auto"/>
        </w:rPr>
        <w:t>WHEREAS, Landlord has obtained loans from Lender secured by, among other things, a mortgage, security agreement, fixture financing statement and assignment of leases and rents encumbering, among other things, the Property (the "Mortgage"), and as a condition to making such loans, it was agreed between Landlord and Lender that Landlord would obtain from Tenant certain written agreements; and</w:t>
      </w:r>
    </w:p>
    <w:p>
      <w:pPr>
        <w:spacing w:after="0" w:line="174" w:lineRule="exact"/>
        <w:rPr>
          <w:sz w:val="20"/>
          <w:szCs w:val="20"/>
          <w:color w:val="auto"/>
        </w:rPr>
      </w:pPr>
    </w:p>
    <w:p>
      <w:pPr>
        <w:jc w:val="both"/>
        <w:ind w:firstLine="607"/>
        <w:spacing w:after="0" w:line="271" w:lineRule="auto"/>
        <w:rPr>
          <w:sz w:val="20"/>
          <w:szCs w:val="20"/>
          <w:color w:val="auto"/>
        </w:rPr>
      </w:pPr>
      <w:r>
        <w:rPr>
          <w:rFonts w:ascii="Arial" w:cs="Arial" w:eastAsia="Arial" w:hAnsi="Arial"/>
          <w:sz w:val="17"/>
          <w:szCs w:val="17"/>
          <w:color w:val="auto"/>
        </w:rPr>
        <w:t>WHEREAS, Tenant and Lender desire hereby to establish certain rights, safeguards, obligations and priorities with respect to their respective interests by means of the following agreement.</w:t>
      </w:r>
    </w:p>
    <w:p>
      <w:pPr>
        <w:spacing w:after="0" w:line="166" w:lineRule="exact"/>
        <w:rPr>
          <w:sz w:val="20"/>
          <w:szCs w:val="20"/>
          <w:color w:val="auto"/>
        </w:rPr>
      </w:pPr>
    </w:p>
    <w:p>
      <w:pPr>
        <w:ind w:right="600" w:firstLine="607"/>
        <w:spacing w:after="0" w:line="271" w:lineRule="auto"/>
        <w:rPr>
          <w:sz w:val="20"/>
          <w:szCs w:val="20"/>
          <w:color w:val="auto"/>
        </w:rPr>
      </w:pPr>
      <w:r>
        <w:rPr>
          <w:rFonts w:ascii="Arial" w:cs="Arial" w:eastAsia="Arial" w:hAnsi="Arial"/>
          <w:sz w:val="17"/>
          <w:szCs w:val="17"/>
          <w:color w:val="auto"/>
        </w:rPr>
        <w:t>NOW THEREFORE, for and in consideration of the premises and of the mutual covenants and promises herein contained, and other good and valuable consideration, the receipt and sufficiency of which are hereby acknowledged, Tenant and Lender agree as follows: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Lease and the rights of Tenant thereunder are and shall be subject and subordinate to the lien of the Mortgage and to all of the terms, conditions and provisions thereof, to all advances made or to be made thereunder, to the full extent of the principal sum, interest thereon and other amounts from time to time secured thereby, and to any renewal, substitution, extension, modification or replacement thereof, including any increase in the indebtedness secured thereby or any supplements thereto. In the event that Lender or any other person (the Lender, any other such person and their successors and assigns being referred to herein as the "Purchaser") acquires title to the Property pursuant to the exercise of any remedy provided for in the Mortgage or by reason of the acceptance of a deed in lieu of foreclosure, Tenant covenants and agrees to attorn to and recognize and be bound to Purchaser as its new Landlord, and subject to the other terms, provisions and conditions of this Agreement, the Lease shall continue in full force and effect as a direct Lease between Tenant and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454025</wp:posOffset>
            </wp:positionV>
            <wp:extent cx="7255510" cy="400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160" w:name="page161"/>
    <w:bookmarkEnd w:id="160"/>
    <w:p>
      <w:pPr>
        <w:jc w:val="both"/>
        <w:spacing w:after="0" w:line="310" w:lineRule="auto"/>
        <w:rPr>
          <w:sz w:val="20"/>
          <w:szCs w:val="20"/>
          <w:color w:val="auto"/>
        </w:rPr>
      </w:pPr>
      <w:r>
        <w:rPr>
          <w:rFonts w:ascii="Arial" w:cs="Arial" w:eastAsia="Arial" w:hAnsi="Arial"/>
          <w:sz w:val="15"/>
          <w:szCs w:val="15"/>
          <w:color w:val="auto"/>
        </w:rPr>
        <w:t>So long as the Lease is in full force and effect and Tenant shall not be in default under any provision of the Lease or this Agreement beyond any applicable cure period, and no event has occurred which has continued to exist for a period of time (after notice, if any, required by the Lease) as would entitle Landlord to terminate the Lease or would cause, without further action by Landlord, the termination of the Lease or would entitle Landlord to dispossess the Tenant thereunder:</w:t>
      </w:r>
    </w:p>
    <w:p>
      <w:pPr>
        <w:spacing w:after="0" w:line="243" w:lineRule="exact"/>
        <w:rPr>
          <w:sz w:val="20"/>
          <w:szCs w:val="20"/>
          <w:color w:val="auto"/>
        </w:rPr>
      </w:pPr>
    </w:p>
    <w:p>
      <w:pPr>
        <w:jc w:val="both"/>
        <w:ind w:left="600" w:right="220"/>
        <w:spacing w:after="0" w:line="271" w:lineRule="auto"/>
        <w:rPr>
          <w:sz w:val="20"/>
          <w:szCs w:val="20"/>
          <w:color w:val="auto"/>
        </w:rPr>
      </w:pPr>
      <w:r>
        <w:rPr>
          <w:rFonts w:ascii="Arial" w:cs="Arial" w:eastAsia="Arial" w:hAnsi="Arial"/>
          <w:sz w:val="17"/>
          <w:szCs w:val="17"/>
          <w:color w:val="auto"/>
        </w:rPr>
        <w:t>the right of possession of Tenant to the Property shall not be terminated or disturbed by any steps or proceedings taken by Lender in the exercise of any of its rights under the Mortgage; and</w:t>
      </w:r>
    </w:p>
    <w:p>
      <w:pPr>
        <w:spacing w:after="0" w:line="166" w:lineRule="exact"/>
        <w:rPr>
          <w:sz w:val="20"/>
          <w:szCs w:val="20"/>
          <w:color w:val="auto"/>
        </w:rPr>
      </w:pPr>
    </w:p>
    <w:p>
      <w:pPr>
        <w:jc w:val="both"/>
        <w:ind w:left="600" w:right="200"/>
        <w:spacing w:after="0" w:line="260" w:lineRule="auto"/>
        <w:rPr>
          <w:sz w:val="20"/>
          <w:szCs w:val="20"/>
          <w:color w:val="auto"/>
        </w:rPr>
      </w:pPr>
      <w:r>
        <w:rPr>
          <w:rFonts w:ascii="Arial" w:cs="Arial" w:eastAsia="Arial" w:hAnsi="Arial"/>
          <w:sz w:val="17"/>
          <w:szCs w:val="17"/>
          <w:color w:val="auto"/>
        </w:rPr>
        <w:t>the Lease shall not be terminated or affected by said exercise of any remedy provided for in the Mortgage, and Lender hereby covenants that any sale by it of the Property pursuant to the exercise of any rights and remedies under the Mortgage or otherwise, shall be made subject to the Lease and the rights of Tenant thereunder.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In no event shall Lender or any other Purchaser be:</w:t>
      </w:r>
    </w:p>
    <w:p>
      <w:pPr>
        <w:spacing w:after="0" w:line="209" w:lineRule="exact"/>
        <w:rPr>
          <w:sz w:val="20"/>
          <w:szCs w:val="20"/>
          <w:color w:val="auto"/>
        </w:rPr>
      </w:pPr>
    </w:p>
    <w:p>
      <w:pPr>
        <w:ind w:left="600" w:right="140"/>
        <w:spacing w:after="0" w:line="271" w:lineRule="auto"/>
        <w:rPr>
          <w:sz w:val="20"/>
          <w:szCs w:val="20"/>
          <w:color w:val="auto"/>
        </w:rPr>
      </w:pPr>
      <w:r>
        <w:rPr>
          <w:rFonts w:ascii="Arial" w:cs="Arial" w:eastAsia="Arial" w:hAnsi="Arial"/>
          <w:sz w:val="17"/>
          <w:szCs w:val="17"/>
          <w:color w:val="auto"/>
        </w:rPr>
        <w:t>liable for any act or omission of any prior landlord (other than a default that is continuing in nature for which Tenant has first notified the Lender and afforded Lender the same amount of time within which to cure such act or omission of the prior landlord);</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liable for the return of any security deposit which has not been delivered to the Purchaser;</w:t>
      </w:r>
    </w:p>
    <w:p>
      <w:pPr>
        <w:spacing w:after="0" w:line="209" w:lineRule="exact"/>
        <w:rPr>
          <w:sz w:val="20"/>
          <w:szCs w:val="20"/>
          <w:color w:val="auto"/>
        </w:rPr>
      </w:pPr>
    </w:p>
    <w:p>
      <w:pPr>
        <w:jc w:val="both"/>
        <w:ind w:left="600" w:right="260"/>
        <w:spacing w:after="0" w:line="260" w:lineRule="auto"/>
        <w:rPr>
          <w:sz w:val="20"/>
          <w:szCs w:val="20"/>
          <w:color w:val="auto"/>
        </w:rPr>
      </w:pPr>
      <w:r>
        <w:rPr>
          <w:rFonts w:ascii="Arial" w:cs="Arial" w:eastAsia="Arial" w:hAnsi="Arial"/>
          <w:sz w:val="17"/>
          <w:szCs w:val="17"/>
          <w:color w:val="auto"/>
        </w:rPr>
        <w:t>subject to any offsets or defenses which the Tenant might have against any prior landlord (except offsets or defenses permitted under this Lease arising from any default or breach of this Lease by any prior landlord of a continuing nature for which Tenant has first notified the Lender and afforded Lender the same amount of time within which to cure such default or breach of the prior landlord);</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bound by any payment of rent or additional rent which the Tenant might have paid to any prior landlord for more than the current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414020</wp:posOffset>
            </wp:positionV>
            <wp:extent cx="7255510" cy="40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61" w:name="page162"/>
    <w:bookmarkEnd w:id="161"/>
    <w:p>
      <w:pPr>
        <w:ind w:left="600"/>
        <w:spacing w:after="0"/>
        <w:rPr>
          <w:sz w:val="20"/>
          <w:szCs w:val="20"/>
          <w:color w:val="auto"/>
        </w:rPr>
      </w:pPr>
      <w:r>
        <w:rPr>
          <w:rFonts w:ascii="Arial" w:cs="Arial" w:eastAsia="Arial" w:hAnsi="Arial"/>
          <w:sz w:val="17"/>
          <w:szCs w:val="17"/>
          <w:color w:val="auto"/>
        </w:rPr>
        <w:t>bound by any provisions of the Lease regarding commencement or completion of construction of the Property; or</w:t>
      </w:r>
    </w:p>
    <w:p>
      <w:pPr>
        <w:spacing w:after="0" w:line="209" w:lineRule="exact"/>
        <w:rPr>
          <w:sz w:val="20"/>
          <w:szCs w:val="20"/>
          <w:color w:val="auto"/>
        </w:rPr>
      </w:pPr>
    </w:p>
    <w:p>
      <w:pPr>
        <w:ind w:left="600" w:right="400"/>
        <w:spacing w:after="0" w:line="271" w:lineRule="auto"/>
        <w:rPr>
          <w:sz w:val="20"/>
          <w:szCs w:val="20"/>
          <w:color w:val="auto"/>
        </w:rPr>
      </w:pPr>
      <w:r>
        <w:rPr>
          <w:rFonts w:ascii="Arial" w:cs="Arial" w:eastAsia="Arial" w:hAnsi="Arial"/>
          <w:sz w:val="17"/>
          <w:szCs w:val="17"/>
          <w:color w:val="auto"/>
        </w:rPr>
        <w:t>bound by any warranties of construction provided by Landlord under the Lease (provided that nothing contained in the last two clauses shall be deemed to preclude any right of Tenant against Ryan Companies U.S., Inc pursuant to Section 36 of the Lease).</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Tenant agrees to give prompt written notice to Lender of any default by the Landlord under the Lease which would entitle Tenant to cancel the Lease or abate the rent payable thereunder, and agrees that notwithstanding any provision of Lease, no notice of cancellation thereof shall be effective unless Lender has received the notice aforesaid and has failed within 30 days of the date of receipt thereof to cure, or if the default cannot be cured within 30 days, has failed to commence and to pursue diligently the cure of the Landlord's default which gave rise to such right of cancellation or abatement. Tenant further agrees to give such notices to any successor-in-interest of Lender, provided that such successor-in-interest shall have given written notice to Tenant of its acquisition of Lender's interest in the Mortgage and designated the address to which such notices are to be sent.</w:t>
      </w:r>
    </w:p>
    <w:p>
      <w:pPr>
        <w:spacing w:after="0" w:line="28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Tenant acknowledges that, under the terms of the Mortgage, Landlord has assigned to Lender the rentals under the Lease as additional security for said loan, and Tenant hereby expressly consents to and recognizes such assignment, and agrees to pay the rent to Lender or its nominee whenever Lender claims or requests the rent under the terms of said Assignment.</w:t>
      </w:r>
    </w:p>
    <w:p>
      <w:pPr>
        <w:spacing w:after="0" w:line="276"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Tenant agrees that it will not, without the prior written consent of Lender, do any of the following, and any such purported action without such consent shall be void as against Lender:</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make a prepayment in excess of one month of rent thereunder;</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subordinate or permit subordination of the Lease to any lien subordinate to the Mortgage; or</w:t>
      </w:r>
    </w:p>
    <w:p>
      <w:pPr>
        <w:spacing w:after="0" w:line="209" w:lineRule="exact"/>
        <w:rPr>
          <w:sz w:val="20"/>
          <w:szCs w:val="20"/>
          <w:color w:val="auto"/>
        </w:rPr>
      </w:pPr>
    </w:p>
    <w:p>
      <w:pPr>
        <w:ind w:left="600" w:right="240"/>
        <w:spacing w:after="0" w:line="271" w:lineRule="auto"/>
        <w:rPr>
          <w:sz w:val="20"/>
          <w:szCs w:val="20"/>
          <w:color w:val="auto"/>
        </w:rPr>
      </w:pPr>
      <w:r>
        <w:rPr>
          <w:rFonts w:ascii="Arial" w:cs="Arial" w:eastAsia="Arial" w:hAnsi="Arial"/>
          <w:sz w:val="17"/>
          <w:szCs w:val="17"/>
          <w:color w:val="auto"/>
        </w:rPr>
        <w:t>make or enter into any amendment or modification to or termination of the Lease that reduces the rent or term of the Lease, or in any way materially reduces Tenant's obligations under the Lease, or materially increases the Landlord's obligations under the Lease.</w:t>
      </w:r>
    </w:p>
    <w:p>
      <w:pPr>
        <w:spacing w:after="0" w:line="166" w:lineRule="exact"/>
        <w:rPr>
          <w:sz w:val="20"/>
          <w:szCs w:val="20"/>
          <w:color w:val="auto"/>
        </w:rPr>
      </w:pPr>
    </w:p>
    <w:p>
      <w:pPr>
        <w:ind w:right="420"/>
        <w:spacing w:after="0" w:line="303" w:lineRule="auto"/>
        <w:rPr>
          <w:sz w:val="20"/>
          <w:szCs w:val="20"/>
          <w:color w:val="auto"/>
        </w:rPr>
      </w:pPr>
      <w:r>
        <w:rPr>
          <w:rFonts w:ascii="Arial" w:cs="Arial" w:eastAsia="Arial" w:hAnsi="Arial"/>
          <w:sz w:val="16"/>
          <w:szCs w:val="16"/>
          <w:color w:val="auto"/>
        </w:rPr>
        <w:t>Tenant agrees to certify in writing to Lender, upon request, whether or not any default on the part of the Landlord exists under the Lease and the nature of any such default. Tenant states that as of this date, the Lease is in full force and effect, without modification. Tenant further states as follows:</w:t>
      </w:r>
    </w:p>
    <w:p>
      <w:pPr>
        <w:spacing w:after="0" w:line="14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Tenant is the tenant under the Lease for the Property. The initial monthly base rent is anticipated to be $_________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414020</wp:posOffset>
            </wp:positionV>
            <wp:extent cx="7255510" cy="400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62" w:name="page163"/>
    <w:bookmarkEnd w:id="162"/>
    <w:p>
      <w:pPr>
        <w:ind w:left="600"/>
        <w:spacing w:after="0"/>
        <w:rPr>
          <w:sz w:val="20"/>
          <w:szCs w:val="20"/>
          <w:color w:val="auto"/>
        </w:rPr>
      </w:pPr>
      <w:r>
        <w:rPr>
          <w:rFonts w:ascii="Arial" w:cs="Arial" w:eastAsia="Arial" w:hAnsi="Arial"/>
          <w:sz w:val="15"/>
          <w:szCs w:val="15"/>
          <w:color w:val="auto"/>
        </w:rPr>
        <w:t>The Lease term is anticipated to commence on________________________ . The termination date of the Lease term, excluding renewals and extensions, is</w:t>
      </w:r>
    </w:p>
    <w:p>
      <w:pPr>
        <w:spacing w:after="0" w:line="4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anticipated to be________________________. Tenant * [does not have the right to extend or renew the Lease.] * [has the right to extend or renew the Lease</w:t>
      </w:r>
    </w:p>
    <w:p>
      <w:pPr>
        <w:spacing w:after="0" w:line="3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___________________ (____)____________________(____) year period(s).]</w:t>
      </w:r>
    </w:p>
    <w:p>
      <w:pPr>
        <w:spacing w:after="0" w:line="198" w:lineRule="exact"/>
        <w:rPr>
          <w:sz w:val="20"/>
          <w:szCs w:val="20"/>
          <w:color w:val="auto"/>
        </w:rPr>
      </w:pPr>
    </w:p>
    <w:p>
      <w:pPr>
        <w:ind w:left="600" w:right="340"/>
        <w:spacing w:after="0" w:line="341" w:lineRule="auto"/>
        <w:rPr>
          <w:sz w:val="20"/>
          <w:szCs w:val="20"/>
          <w:color w:val="auto"/>
        </w:rPr>
      </w:pPr>
      <w:r>
        <w:rPr>
          <w:rFonts w:ascii="Arial" w:cs="Arial" w:eastAsia="Arial" w:hAnsi="Arial"/>
          <w:sz w:val="14"/>
          <w:szCs w:val="14"/>
          <w:color w:val="auto"/>
        </w:rPr>
        <w:t>The Lease has not been assigned, modified, supplemented or amended in any way by Tenant, except as described on the attached sheet (if any). The Lease constitutes the entire agreement between the parties and there are no other agreements concerning the Premises, and Tenant is not entitled to receive any concession or benefit (rental or otherwise) or other similar compensation in connection with renting the Premises other than as set forth in the Lease.</w:t>
      </w:r>
    </w:p>
    <w:p>
      <w:pPr>
        <w:spacing w:after="0" w:line="124" w:lineRule="exact"/>
        <w:rPr>
          <w:sz w:val="20"/>
          <w:szCs w:val="20"/>
          <w:color w:val="auto"/>
        </w:rPr>
      </w:pPr>
    </w:p>
    <w:p>
      <w:pPr>
        <w:ind w:left="600" w:right="40"/>
        <w:spacing w:after="0" w:line="310" w:lineRule="auto"/>
        <w:rPr>
          <w:sz w:val="20"/>
          <w:szCs w:val="20"/>
          <w:color w:val="auto"/>
        </w:rPr>
      </w:pPr>
      <w:r>
        <w:rPr>
          <w:rFonts w:ascii="Arial" w:cs="Arial" w:eastAsia="Arial" w:hAnsi="Arial"/>
          <w:sz w:val="15"/>
          <w:szCs w:val="15"/>
          <w:color w:val="auto"/>
        </w:rPr>
        <w:t>The Lease is valid and in full force and effect, and, to the best of Tenant's knowledge, no party thereto, their successors or assigns is presently in default thereunder. To Tenant's knowledge, Tenant has no defense, set-off or counterclaim against Landlord arising out of the Lease or in any way relating thereto, and no event has occurred and no condition exists, which with the giving of notice or the passage of time, or both, will constitute a default under the Lease.</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 rent or other sum payable under the Lease has been paid more than one month in advance.</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amount of the security deposit, if any, to secure Tenant's performance under the Lease is $_____________.</w:t>
      </w:r>
    </w:p>
    <w:p>
      <w:pPr>
        <w:spacing w:after="0" w:line="20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Tenant agrees to deliver to Lender, or any other Purchaser, within thirty (30) days after request therefor, but not more than once per year, a copy of Tenant's most recent annual financial statement.</w:t>
      </w:r>
    </w:p>
    <w:p>
      <w:pPr>
        <w:spacing w:after="0" w:line="166"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color w:val="auto"/>
        </w:rPr>
        <w:t>The foregoing provisions shall be self-operative and effective without the execution of any further instruments on the part of either party hereto. However, Tenant agrees to execute and deliver to Lender or to any person to whom Tenant herein agrees to attorn such other instruments as either shall request in order to effect said provisions.</w:t>
      </w:r>
    </w:p>
    <w:p>
      <w:pPr>
        <w:spacing w:after="0" w:line="174"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The agreements herein contained shall be binding upon and shall inure to the benefit of the parties hereto, their respective successors, successors-in-interest and assigns, and, without limiting such, the agreements of Lender shall specifically be binding upon any Purchaser of the Property at foreclosure or otherwise.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may not be modified other than by an agreement in writing signed by the parties hereto or their respective successors-in-interest.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may be signed in counterparts.</w:t>
      </w:r>
    </w:p>
    <w:p>
      <w:pPr>
        <w:spacing w:after="0" w:line="20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If any term or provision of this Agreement shall to any extent be held invalid or unenforceable, the remaining terms and provisions hereof shall not be affected thereby, but each term and provision hereof shall be valid and enforceable to the fullest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386715</wp:posOffset>
            </wp:positionV>
            <wp:extent cx="7255510" cy="400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60"/>
          </w:cols>
          <w:pgMar w:left="240" w:top="330" w:right="299" w:bottom="1440" w:gutter="0" w:footer="0" w:header="0"/>
        </w:sectPr>
      </w:pPr>
    </w:p>
    <w:bookmarkStart w:id="163" w:name="page164"/>
    <w:bookmarkEnd w:id="163"/>
    <w:p>
      <w:pPr>
        <w:jc w:val="both"/>
        <w:spacing w:after="0" w:line="260" w:lineRule="auto"/>
        <w:rPr>
          <w:sz w:val="20"/>
          <w:szCs w:val="20"/>
          <w:color w:val="auto"/>
        </w:rPr>
      </w:pPr>
      <w:r>
        <w:rPr>
          <w:rFonts w:ascii="Arial" w:cs="Arial" w:eastAsia="Arial" w:hAnsi="Arial"/>
          <w:sz w:val="17"/>
          <w:szCs w:val="17"/>
          <w:color w:val="auto"/>
        </w:rPr>
        <w:t>All notices, statements and other communications to be given under the terms of this agreement shall be in writing and delivered by hand against written receipt or sent by certified or registered mail, return receipt requested, postage prepaid and addressed as provided in the first paragraph of this Agreement, or at such other address as from time to time designated by the party receiving the notice.</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1056640</wp:posOffset>
            </wp:positionV>
            <wp:extent cx="7255510" cy="400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00"/>
          </w:cols>
          <w:pgMar w:left="240" w:top="330" w:right="359" w:bottom="1440" w:gutter="0" w:footer="0" w:header="0"/>
        </w:sectPr>
      </w:pPr>
    </w:p>
    <w:bookmarkStart w:id="164" w:name="page165"/>
    <w:bookmarkEnd w:id="164"/>
    <w:p>
      <w:pPr>
        <w:ind w:left="120"/>
        <w:spacing w:after="0"/>
        <w:rPr>
          <w:sz w:val="20"/>
          <w:szCs w:val="20"/>
          <w:color w:val="auto"/>
        </w:rPr>
      </w:pPr>
      <w:r>
        <w:rPr>
          <w:rFonts w:ascii="Arial" w:cs="Arial" w:eastAsia="Arial" w:hAnsi="Arial"/>
          <w:sz w:val="16"/>
          <w:szCs w:val="16"/>
          <w:color w:val="auto"/>
        </w:rPr>
        <w:t>IN WITNESS WHEREOF, Tenant and Lender have caused this instrument to be executed as of the day and year first above written.</w:t>
      </w:r>
    </w:p>
    <w:p>
      <w:pPr>
        <w:spacing w:after="0" w:line="221"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TENANT:</w:t>
      </w:r>
    </w:p>
    <w:p>
      <w:pPr>
        <w:spacing w:after="0" w:line="209"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TRANSOMA MEDICAL, INC.</w:t>
      </w:r>
    </w:p>
    <w:p>
      <w:pPr>
        <w:spacing w:after="0" w:line="221"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5231130</wp:posOffset>
            </wp:positionH>
            <wp:positionV relativeFrom="paragraph">
              <wp:posOffset>12065</wp:posOffset>
            </wp:positionV>
            <wp:extent cx="20250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1">
                      <a:extLst>
                        <a:ext uri="{28A0092B-C50C-407E-A947-70E740481C1C}"/>
                      </a:extLst>
                    </a:blip>
                    <a:srcRect/>
                    <a:stretch>
                      <a:fillRect/>
                    </a:stretch>
                  </pic:blipFill>
                  <pic:spPr bwMode="auto">
                    <a:xfrm>
                      <a:off x="0" y="0"/>
                      <a:ext cx="2025015" cy="8255"/>
                    </a:xfrm>
                    <a:prstGeom prst="rect">
                      <a:avLst/>
                    </a:prstGeom>
                    <a:noFill/>
                  </pic:spPr>
                </pic:pic>
              </a:graphicData>
            </a:graphic>
          </wp:anchor>
        </w:drawing>
      </w:r>
    </w:p>
    <w:p>
      <w:pPr>
        <w:ind w:left="824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5520690</wp:posOffset>
            </wp:positionH>
            <wp:positionV relativeFrom="paragraph">
              <wp:posOffset>12065</wp:posOffset>
            </wp:positionV>
            <wp:extent cx="17354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2">
                      <a:extLst>
                        <a:ext uri="{28A0092B-C50C-407E-A947-70E740481C1C}"/>
                      </a:extLst>
                    </a:blip>
                    <a:srcRect/>
                    <a:stretch>
                      <a:fillRect/>
                    </a:stretch>
                  </pic:blipFill>
                  <pic:spPr bwMode="auto">
                    <a:xfrm>
                      <a:off x="0" y="0"/>
                      <a:ext cx="173545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STATE OF MINNESOTA )</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COUNTY OF__________)</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foregoing instrument was acknowledged before me the__ day of__________, 200_, by______________________________,</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the______________________________ of Transoma Medical, Inc., a Minnesota corporation, for and on behalf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4869815</wp:posOffset>
            </wp:positionH>
            <wp:positionV relativeFrom="paragraph">
              <wp:posOffset>269875</wp:posOffset>
            </wp:positionV>
            <wp:extent cx="238633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3">
                      <a:extLst>
                        <a:ext uri="{28A0092B-C50C-407E-A947-70E740481C1C}"/>
                      </a:extLst>
                    </a:blip>
                    <a:srcRect/>
                    <a:stretch>
                      <a:fillRect/>
                    </a:stretch>
                  </pic:blipFill>
                  <pic:spPr bwMode="auto">
                    <a:xfrm>
                      <a:off x="0" y="0"/>
                      <a:ext cx="238633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[TENANT SIGNATURE PAGE TO SUBORDINATION, NON-DISTURBANCE AND</w:t>
      </w:r>
    </w:p>
    <w:p>
      <w:pPr>
        <w:spacing w:after="0" w:line="1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ATTORNMENT AGREEMENT AND ESTOPPEL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406400</wp:posOffset>
            </wp:positionV>
            <wp:extent cx="7255510" cy="400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219"/>
          </w:cols>
          <w:pgMar w:left="240" w:top="329" w:right="1440" w:bottom="1440" w:gutter="0" w:footer="0" w:header="0"/>
        </w:sectPr>
      </w:pPr>
    </w:p>
    <w:bookmarkStart w:id="165" w:name="page166"/>
    <w:bookmarkEnd w:id="165"/>
    <w:p>
      <w:pPr>
        <w:ind w:left="7660"/>
        <w:spacing w:after="0"/>
        <w:rPr>
          <w:sz w:val="20"/>
          <w:szCs w:val="20"/>
          <w:color w:val="auto"/>
        </w:rPr>
      </w:pPr>
      <w:r>
        <w:rPr>
          <w:rFonts w:ascii="Arial" w:cs="Arial" w:eastAsia="Arial" w:hAnsi="Arial"/>
          <w:sz w:val="17"/>
          <w:szCs w:val="17"/>
          <w:color w:val="auto"/>
        </w:rPr>
        <w:t>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4869815</wp:posOffset>
            </wp:positionH>
            <wp:positionV relativeFrom="paragraph">
              <wp:posOffset>140970</wp:posOffset>
            </wp:positionV>
            <wp:extent cx="23863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5">
                      <a:extLst>
                        <a:ext uri="{28A0092B-C50C-407E-A947-70E740481C1C}"/>
                      </a:extLst>
                    </a:blip>
                    <a:srcRect/>
                    <a:stretch>
                      <a:fillRect/>
                    </a:stretch>
                  </pic:blipFill>
                  <pic:spPr bwMode="auto">
                    <a:xfrm>
                      <a:off x="0" y="0"/>
                      <a:ext cx="238633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5231130</wp:posOffset>
            </wp:positionH>
            <wp:positionV relativeFrom="paragraph">
              <wp:posOffset>12065</wp:posOffset>
            </wp:positionV>
            <wp:extent cx="20250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6">
                      <a:extLst>
                        <a:ext uri="{28A0092B-C50C-407E-A947-70E740481C1C}"/>
                      </a:extLst>
                    </a:blip>
                    <a:srcRect/>
                    <a:stretch>
                      <a:fillRect/>
                    </a:stretch>
                  </pic:blipFill>
                  <pic:spPr bwMode="auto">
                    <a:xfrm>
                      <a:off x="0" y="0"/>
                      <a:ext cx="2025015" cy="8255"/>
                    </a:xfrm>
                    <a:prstGeom prst="rect">
                      <a:avLst/>
                    </a:prstGeom>
                    <a:noFill/>
                  </pic:spPr>
                </pic:pic>
              </a:graphicData>
            </a:graphic>
          </wp:anchor>
        </w:drawing>
      </w:r>
    </w:p>
    <w:p>
      <w:pPr>
        <w:ind w:left="824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5520690</wp:posOffset>
            </wp:positionH>
            <wp:positionV relativeFrom="paragraph">
              <wp:posOffset>12065</wp:posOffset>
            </wp:positionV>
            <wp:extent cx="17354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7">
                      <a:extLst>
                        <a:ext uri="{28A0092B-C50C-407E-A947-70E740481C1C}"/>
                      </a:extLst>
                    </a:blip>
                    <a:srcRect/>
                    <a:stretch>
                      <a:fillRect/>
                    </a:stretch>
                  </pic:blipFill>
                  <pic:spPr bwMode="auto">
                    <a:xfrm>
                      <a:off x="0" y="0"/>
                      <a:ext cx="1735455" cy="8255"/>
                    </a:xfrm>
                    <a:prstGeom prst="rect">
                      <a:avLst/>
                    </a:prstGeom>
                    <a:noFill/>
                  </pic:spPr>
                </pic:pic>
              </a:graphicData>
            </a:graphic>
          </wp:anchor>
        </w:drawing>
      </w:r>
    </w:p>
    <w:p>
      <w:pPr>
        <w:spacing w:after="0" w:line="189"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5231130</wp:posOffset>
            </wp:positionH>
            <wp:positionV relativeFrom="paragraph">
              <wp:posOffset>12065</wp:posOffset>
            </wp:positionV>
            <wp:extent cx="20250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8">
                      <a:extLst>
                        <a:ext uri="{28A0092B-C50C-407E-A947-70E740481C1C}"/>
                      </a:extLst>
                    </a:blip>
                    <a:srcRect/>
                    <a:stretch>
                      <a:fillRect/>
                    </a:stretch>
                  </pic:blipFill>
                  <pic:spPr bwMode="auto">
                    <a:xfrm>
                      <a:off x="0" y="0"/>
                      <a:ext cx="2025015" cy="8255"/>
                    </a:xfrm>
                    <a:prstGeom prst="rect">
                      <a:avLst/>
                    </a:prstGeom>
                    <a:noFill/>
                  </pic:spPr>
                </pic:pic>
              </a:graphicData>
            </a:graphic>
          </wp:anchor>
        </w:drawing>
      </w:r>
    </w:p>
    <w:p>
      <w:pPr>
        <w:ind w:left="824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5520690</wp:posOffset>
            </wp:positionH>
            <wp:positionV relativeFrom="paragraph">
              <wp:posOffset>12065</wp:posOffset>
            </wp:positionV>
            <wp:extent cx="17354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9">
                      <a:extLst>
                        <a:ext uri="{28A0092B-C50C-407E-A947-70E740481C1C}"/>
                      </a:extLst>
                    </a:blip>
                    <a:srcRect/>
                    <a:stretch>
                      <a:fillRect/>
                    </a:stretch>
                  </pic:blipFill>
                  <pic:spPr bwMode="auto">
                    <a:xfrm>
                      <a:off x="0" y="0"/>
                      <a:ext cx="173545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STATE OF MINNESOTA )</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COUNTY OF__________)</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The foregoing instrument was acknowledged before me the_ day of 200__, by______________________ and_______________, the_________________ and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__________, respectively, of_________________ a______________ corporation, for and on behalf of the_____________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4869815</wp:posOffset>
            </wp:positionH>
            <wp:positionV relativeFrom="paragraph">
              <wp:posOffset>269875</wp:posOffset>
            </wp:positionV>
            <wp:extent cx="238633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0">
                      <a:extLst>
                        <a:ext uri="{28A0092B-C50C-407E-A947-70E740481C1C}"/>
                      </a:extLst>
                    </a:blip>
                    <a:srcRect/>
                    <a:stretch>
                      <a:fillRect/>
                    </a:stretch>
                  </pic:blipFill>
                  <pic:spPr bwMode="auto">
                    <a:xfrm>
                      <a:off x="0" y="0"/>
                      <a:ext cx="238633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9"/>
        <w:spacing w:after="0"/>
        <w:rPr>
          <w:sz w:val="20"/>
          <w:szCs w:val="20"/>
          <w:color w:val="auto"/>
        </w:rPr>
      </w:pPr>
      <w:r>
        <w:rPr>
          <w:rFonts w:ascii="Arial" w:cs="Arial" w:eastAsia="Arial" w:hAnsi="Arial"/>
          <w:sz w:val="17"/>
          <w:szCs w:val="17"/>
          <w:color w:val="auto"/>
        </w:rPr>
        <w:t>[LENDER SIGNATURE PAGE TO SUBORDINATION, NON-DISTURBANCE AND</w:t>
      </w:r>
    </w:p>
    <w:p>
      <w:pPr>
        <w:spacing w:after="0" w:line="19" w:lineRule="exact"/>
        <w:rPr>
          <w:sz w:val="20"/>
          <w:szCs w:val="20"/>
          <w:color w:val="auto"/>
        </w:rPr>
      </w:pPr>
    </w:p>
    <w:p>
      <w:pPr>
        <w:jc w:val="center"/>
        <w:ind w:right="-599"/>
        <w:spacing w:after="0"/>
        <w:rPr>
          <w:sz w:val="20"/>
          <w:szCs w:val="20"/>
          <w:color w:val="auto"/>
        </w:rPr>
      </w:pPr>
      <w:r>
        <w:rPr>
          <w:rFonts w:ascii="Arial" w:cs="Arial" w:eastAsia="Arial" w:hAnsi="Arial"/>
          <w:sz w:val="17"/>
          <w:szCs w:val="17"/>
          <w:color w:val="auto"/>
        </w:rPr>
        <w:t>ATTORNMENT AGREEMENT AND ESTOPPEL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406400</wp:posOffset>
            </wp:positionV>
            <wp:extent cx="7255510" cy="400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20"/>
          </w:cols>
          <w:pgMar w:left="240" w:top="329" w:right="839" w:bottom="1440" w:gutter="0" w:footer="0" w:header="0"/>
        </w:sectPr>
      </w:pPr>
    </w:p>
    <w:bookmarkStart w:id="166" w:name="page167"/>
    <w:bookmarkEnd w:id="166"/>
    <w:p>
      <w:pPr>
        <w:ind w:left="7660"/>
        <w:spacing w:after="0"/>
        <w:rPr>
          <w:sz w:val="20"/>
          <w:szCs w:val="20"/>
          <w:color w:val="auto"/>
        </w:rPr>
      </w:pPr>
      <w:r>
        <w:rPr>
          <w:rFonts w:ascii="Arial" w:cs="Arial" w:eastAsia="Arial" w:hAnsi="Arial"/>
          <w:sz w:val="17"/>
          <w:szCs w:val="17"/>
          <w:b w:val="1"/>
          <w:bCs w:val="1"/>
          <w:color w:val="auto"/>
        </w:rPr>
        <w:t>AGREED:</w:t>
      </w:r>
    </w:p>
    <w:p>
      <w:pPr>
        <w:spacing w:after="0" w:line="209" w:lineRule="exact"/>
        <w:rPr>
          <w:sz w:val="20"/>
          <w:szCs w:val="20"/>
          <w:color w:val="auto"/>
        </w:rPr>
      </w:pPr>
    </w:p>
    <w:p>
      <w:pPr>
        <w:ind w:left="7660"/>
        <w:spacing w:after="0"/>
        <w:rPr>
          <w:sz w:val="20"/>
          <w:szCs w:val="20"/>
          <w:color w:val="auto"/>
        </w:rPr>
      </w:pPr>
      <w:r>
        <w:rPr>
          <w:rFonts w:ascii="Arial" w:cs="Arial" w:eastAsia="Arial" w:hAnsi="Arial"/>
          <w:sz w:val="17"/>
          <w:szCs w:val="17"/>
          <w:b w:val="1"/>
          <w:bCs w:val="1"/>
          <w:color w:val="auto"/>
        </w:rPr>
        <w:t>LANDLORD:</w:t>
      </w:r>
    </w:p>
    <w:p>
      <w:pPr>
        <w:spacing w:after="0" w:line="211" w:lineRule="exact"/>
        <w:rPr>
          <w:sz w:val="20"/>
          <w:szCs w:val="20"/>
          <w:color w:val="auto"/>
        </w:rPr>
      </w:pPr>
    </w:p>
    <w:p>
      <w:pPr>
        <w:ind w:left="7660"/>
        <w:spacing w:after="0"/>
        <w:rPr>
          <w:sz w:val="20"/>
          <w:szCs w:val="20"/>
          <w:color w:val="auto"/>
        </w:rPr>
      </w:pPr>
      <w:r>
        <w:rPr>
          <w:rFonts w:ascii="Arial" w:cs="Arial" w:eastAsia="Arial" w:hAnsi="Arial"/>
          <w:sz w:val="17"/>
          <w:szCs w:val="17"/>
          <w:b w:val="1"/>
          <w:bCs w:val="1"/>
          <w:color w:val="auto"/>
        </w:rPr>
        <w:t>NEW BRIGHTON 14</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STREET, LLC</w:t>
      </w:r>
    </w:p>
    <w:p>
      <w:pPr>
        <w:spacing w:after="0" w:line="123"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5231130</wp:posOffset>
            </wp:positionH>
            <wp:positionV relativeFrom="paragraph">
              <wp:posOffset>12065</wp:posOffset>
            </wp:positionV>
            <wp:extent cx="20250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2">
                      <a:extLst>
                        <a:ext uri="{28A0092B-C50C-407E-A947-70E740481C1C}"/>
                      </a:extLst>
                    </a:blip>
                    <a:srcRect/>
                    <a:stretch>
                      <a:fillRect/>
                    </a:stretch>
                  </pic:blipFill>
                  <pic:spPr bwMode="auto">
                    <a:xfrm>
                      <a:off x="0" y="0"/>
                      <a:ext cx="2025015" cy="8255"/>
                    </a:xfrm>
                    <a:prstGeom prst="rect">
                      <a:avLst/>
                    </a:prstGeom>
                    <a:noFill/>
                  </pic:spPr>
                </pic:pic>
              </a:graphicData>
            </a:graphic>
          </wp:anchor>
        </w:drawing>
      </w:r>
    </w:p>
    <w:p>
      <w:pPr>
        <w:ind w:left="824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5520690</wp:posOffset>
            </wp:positionH>
            <wp:positionV relativeFrom="paragraph">
              <wp:posOffset>12065</wp:posOffset>
            </wp:positionV>
            <wp:extent cx="17354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3">
                      <a:extLst>
                        <a:ext uri="{28A0092B-C50C-407E-A947-70E740481C1C}"/>
                      </a:extLst>
                    </a:blip>
                    <a:srcRect/>
                    <a:stretch>
                      <a:fillRect/>
                    </a:stretch>
                  </pic:blipFill>
                  <pic:spPr bwMode="auto">
                    <a:xfrm>
                      <a:off x="0" y="0"/>
                      <a:ext cx="173545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STATE OF MINNESOTA )</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COUNTY OF__________)</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The foregoing instrument was acknowledged before me the__ day of 200_,by_______________________________, the_______________ of New Brighton 14th</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Street, LLC, a Minnesota limited liability company, for and 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4869815</wp:posOffset>
            </wp:positionH>
            <wp:positionV relativeFrom="paragraph">
              <wp:posOffset>269875</wp:posOffset>
            </wp:positionV>
            <wp:extent cx="23863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4">
                      <a:extLst>
                        <a:ext uri="{28A0092B-C50C-407E-A947-70E740481C1C}"/>
                      </a:extLst>
                    </a:blip>
                    <a:srcRect/>
                    <a:stretch>
                      <a:fillRect/>
                    </a:stretch>
                  </pic:blipFill>
                  <pic:spPr bwMode="auto">
                    <a:xfrm>
                      <a:off x="0" y="0"/>
                      <a:ext cx="238633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Notary Public</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This instrument was prepared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600" w:right="260"/>
        <w:spacing w:after="0" w:line="276" w:lineRule="auto"/>
        <w:rPr>
          <w:sz w:val="20"/>
          <w:szCs w:val="20"/>
          <w:color w:val="auto"/>
        </w:rPr>
      </w:pPr>
      <w:r>
        <w:rPr>
          <w:rFonts w:ascii="Arial" w:cs="Arial" w:eastAsia="Arial" w:hAnsi="Arial"/>
          <w:sz w:val="17"/>
          <w:szCs w:val="17"/>
          <w:b w:val="1"/>
          <w:bCs w:val="1"/>
          <w:color w:val="auto"/>
        </w:rPr>
        <w:t>[LANDLORD SIGNATURE PAGE TO SUBORDINATION, NON-DISTURBANCE AND ATTORNMENT AGREEMENT AND ESTOPPEL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849630</wp:posOffset>
            </wp:positionV>
            <wp:extent cx="7255510" cy="400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60"/>
          </w:cols>
          <w:pgMar w:left="240" w:top="528" w:right="599" w:bottom="1440" w:gutter="0" w:footer="0" w:header="0"/>
        </w:sectPr>
      </w:pPr>
    </w:p>
    <w:bookmarkStart w:id="167" w:name="page168"/>
    <w:bookmarkEnd w:id="167"/>
    <w:p>
      <w:pPr>
        <w:spacing w:after="0"/>
        <w:rPr>
          <w:sz w:val="20"/>
          <w:szCs w:val="20"/>
          <w:color w:val="auto"/>
        </w:rPr>
      </w:pPr>
      <w:r>
        <w:rPr>
          <w:rFonts w:ascii="Arial" w:cs="Arial" w:eastAsia="Arial" w:hAnsi="Arial"/>
          <w:sz w:val="17"/>
          <w:szCs w:val="17"/>
          <w:b w:val="1"/>
          <w:bCs w:val="1"/>
          <w:color w:val="auto"/>
        </w:rPr>
        <w:t>EXHIBIT 10.44</w:t>
      </w: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FIRST AMENDMENT OF LEASE</w:t>
      </w:r>
    </w:p>
    <w:p>
      <w:pPr>
        <w:spacing w:after="0" w:line="209" w:lineRule="exact"/>
        <w:rPr>
          <w:sz w:val="20"/>
          <w:szCs w:val="20"/>
          <w:color w:val="auto"/>
        </w:rPr>
      </w:pPr>
    </w:p>
    <w:p>
      <w:pPr>
        <w:ind w:left="120" w:right="80"/>
        <w:spacing w:after="0" w:line="222" w:lineRule="auto"/>
        <w:rPr>
          <w:sz w:val="20"/>
          <w:szCs w:val="20"/>
          <w:color w:val="auto"/>
        </w:rPr>
      </w:pPr>
      <w:r>
        <w:rPr>
          <w:rFonts w:ascii="Arial" w:cs="Arial" w:eastAsia="Arial" w:hAnsi="Arial"/>
          <w:sz w:val="17"/>
          <w:szCs w:val="17"/>
          <w:b w:val="1"/>
          <w:bCs w:val="1"/>
          <w:color w:val="auto"/>
        </w:rPr>
        <w:t xml:space="preserve">THIS FIRST AMENDMENT OF LEASE ("Amendment") </w:t>
      </w:r>
      <w:r>
        <w:rPr>
          <w:rFonts w:ascii="Arial" w:cs="Arial" w:eastAsia="Arial" w:hAnsi="Arial"/>
          <w:sz w:val="17"/>
          <w:szCs w:val="17"/>
          <w:color w:val="auto"/>
        </w:rPr>
        <w:t>is made and entered into effective as of the latest of the signature dates of the respective parties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herein, by and among NEW BRIGHTON 14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LLC, a Minnesota limited liability company ("Landlord") and TRANSOMA MEDICAL, INC., a Delaware corporation ("Tenant"), and RYAN COMPANIES US, INC., ("Limited Guarantor").</w:t>
      </w:r>
    </w:p>
    <w:p>
      <w:pPr>
        <w:spacing w:after="0" w:line="19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RECITALS</w:t>
      </w:r>
    </w:p>
    <w:p>
      <w:pPr>
        <w:spacing w:after="0" w:line="209" w:lineRule="exact"/>
        <w:rPr>
          <w:sz w:val="20"/>
          <w:szCs w:val="20"/>
          <w:color w:val="auto"/>
        </w:rPr>
      </w:pPr>
    </w:p>
    <w:p>
      <w:pPr>
        <w:jc w:val="both"/>
        <w:ind w:left="660" w:right="260" w:hanging="545"/>
        <w:spacing w:after="0" w:line="260" w:lineRule="auto"/>
        <w:tabs>
          <w:tab w:leader="none" w:pos="6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Landlord, Tenant and Limited Guarantor are parties to a Lease dated October 1, 2007 (the "Lease") pursuant to which Tenant leases from Landlord the Premises to be constructed upon the real property located at 119 14th St NW in the City of New Brighton, Minnesota, as more particularly described in the Lease.</w:t>
      </w:r>
    </w:p>
    <w:p>
      <w:pPr>
        <w:spacing w:after="0" w:line="174" w:lineRule="exact"/>
        <w:rPr>
          <w:rFonts w:ascii="Arial" w:cs="Arial" w:eastAsia="Arial" w:hAnsi="Arial"/>
          <w:sz w:val="17"/>
          <w:szCs w:val="17"/>
          <w:color w:val="auto"/>
        </w:rPr>
      </w:pPr>
    </w:p>
    <w:p>
      <w:pPr>
        <w:ind w:left="660" w:hanging="545"/>
        <w:spacing w:after="0" w:line="254" w:lineRule="auto"/>
        <w:tabs>
          <w:tab w:leader="none" w:pos="6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By letter dated October 15, 2007, Landlord notified Tenant that all Approvals were obtained on October 8, 2007, and that because of delay in obtaining the Approvals from September 15, 2007 to October 8, 2007, Landlord experienced construction delays equal to a total of 23 days. Therefore, the Scheduled Commencement Date and all other applicable deadlines for performance by Landlord set forth in the Lease (including without limitation, Section 2.1.1.) were extended by 23 days. Thus the Scheduled Commencement Date is presently September 7, 2008 (subject to the provisions of the Lease and the Construction Rider attached as Exhibit B to the Lease).</w:t>
      </w:r>
    </w:p>
    <w:p>
      <w:pPr>
        <w:spacing w:after="0" w:line="180" w:lineRule="exact"/>
        <w:rPr>
          <w:rFonts w:ascii="Arial" w:cs="Arial" w:eastAsia="Arial" w:hAnsi="Arial"/>
          <w:sz w:val="17"/>
          <w:szCs w:val="17"/>
          <w:color w:val="auto"/>
        </w:rPr>
      </w:pPr>
    </w:p>
    <w:p>
      <w:pPr>
        <w:ind w:left="660" w:right="200" w:hanging="545"/>
        <w:spacing w:after="0" w:line="260" w:lineRule="auto"/>
        <w:tabs>
          <w:tab w:leader="none" w:pos="6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By letter dated October 15, 2007, Landlord also notified Tenant that fee title to the Premises was conveyed by the City of New Brighton to the Landlord on October 5, 2007. Therefore, the contingency for Landlord and Tenant set forth in Section 38 of the Lease was timely satisfied and Section 38 has no further force and effect.</w:t>
      </w:r>
    </w:p>
    <w:p>
      <w:pPr>
        <w:spacing w:after="0" w:line="174" w:lineRule="exact"/>
        <w:rPr>
          <w:rFonts w:ascii="Arial" w:cs="Arial" w:eastAsia="Arial" w:hAnsi="Arial"/>
          <w:sz w:val="17"/>
          <w:szCs w:val="17"/>
          <w:color w:val="auto"/>
        </w:rPr>
      </w:pPr>
    </w:p>
    <w:p>
      <w:pPr>
        <w:ind w:left="660" w:right="460" w:hanging="545"/>
        <w:spacing w:after="0" w:line="260" w:lineRule="auto"/>
        <w:tabs>
          <w:tab w:leader="none" w:pos="6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Tenant has requested Landlord to accelerate its construction schedule to change the Scheduled Commencement Date to July 1, 2008 and Landlord is willing to do so, provided, however, Tenant agrees to pay Landlord up to the sum of $175,000 as provided herein for additional construction costs Landlord will incur to accelerate its construction schedule.</w:t>
      </w:r>
    </w:p>
    <w:p>
      <w:pPr>
        <w:spacing w:after="0" w:line="174" w:lineRule="exact"/>
        <w:rPr>
          <w:rFonts w:ascii="Arial" w:cs="Arial" w:eastAsia="Arial" w:hAnsi="Arial"/>
          <w:sz w:val="17"/>
          <w:szCs w:val="17"/>
          <w:color w:val="auto"/>
        </w:rPr>
      </w:pPr>
    </w:p>
    <w:p>
      <w:pPr>
        <w:ind w:left="660" w:right="200" w:hanging="545"/>
        <w:spacing w:after="0" w:line="260" w:lineRule="auto"/>
        <w:tabs>
          <w:tab w:leader="none" w:pos="6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Tenant has also requested certain energy saving changes as more particularly listed on Exhibit A attached to this Amendment (the "Energy Savings Changes") and Landlord is willing to make the Energy Savings Changes, provided, however, the Base Rent is increased by $.09 per square foot over the entire initial Term of this Lease as provided herein.</w:t>
      </w:r>
    </w:p>
    <w:p>
      <w:pPr>
        <w:spacing w:after="0" w:line="174" w:lineRule="exact"/>
        <w:rPr>
          <w:rFonts w:ascii="Arial" w:cs="Arial" w:eastAsia="Arial" w:hAnsi="Arial"/>
          <w:sz w:val="17"/>
          <w:szCs w:val="17"/>
          <w:color w:val="auto"/>
        </w:rPr>
      </w:pPr>
    </w:p>
    <w:p>
      <w:pPr>
        <w:ind w:left="660" w:hanging="545"/>
        <w:spacing w:after="0"/>
        <w:tabs>
          <w:tab w:leader="none" w:pos="6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parties wish to confirm and amend certain other terms and conditions of the Lease, as more particularly set forth herein.</w:t>
      </w:r>
    </w:p>
    <w:p>
      <w:pPr>
        <w:spacing w:after="0" w:line="205" w:lineRule="exact"/>
        <w:rPr>
          <w:sz w:val="20"/>
          <w:szCs w:val="20"/>
          <w:color w:val="auto"/>
        </w:rPr>
      </w:pPr>
    </w:p>
    <w:p>
      <w:pPr>
        <w:ind w:left="120" w:right="480"/>
        <w:spacing w:after="0" w:line="345" w:lineRule="auto"/>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in consideration of the foregoing recitals, the mutual covenants herein contained, and for other good and valuable consideration, the</w:t>
      </w:r>
      <w:r>
        <w:rPr>
          <w:rFonts w:ascii="Arial" w:cs="Arial" w:eastAsia="Arial" w:hAnsi="Arial"/>
          <w:sz w:val="15"/>
          <w:szCs w:val="15"/>
          <w:b w:val="1"/>
          <w:bCs w:val="1"/>
          <w:color w:val="auto"/>
        </w:rPr>
        <w:t xml:space="preserve"> </w:t>
      </w:r>
      <w:r>
        <w:rPr>
          <w:rFonts w:ascii="Arial" w:cs="Arial" w:eastAsia="Arial" w:hAnsi="Arial"/>
          <w:sz w:val="15"/>
          <w:szCs w:val="15"/>
          <w:color w:val="auto"/>
        </w:rPr>
        <w:t>receipt and sufficiency of which is hereby acknowledged, Landlord and Tenant agree that the Lease is hereby amended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354330</wp:posOffset>
            </wp:positionV>
            <wp:extent cx="7255510" cy="400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20"/>
          </w:cols>
          <w:pgMar w:left="240" w:top="123" w:right="5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7"/>
          <w:szCs w:val="17"/>
          <w:color w:val="auto"/>
        </w:rPr>
        <w:t>AGREEMENT</w:t>
      </w:r>
    </w:p>
    <w:p>
      <w:pPr>
        <w:spacing w:after="0" w:line="209" w:lineRule="exact"/>
        <w:rPr>
          <w:sz w:val="20"/>
          <w:szCs w:val="20"/>
          <w:color w:val="auto"/>
        </w:rPr>
      </w:pPr>
    </w:p>
    <w:p>
      <w:pPr>
        <w:ind w:left="600" w:right="120" w:hanging="295"/>
        <w:spacing w:after="0" w:line="271" w:lineRule="auto"/>
        <w:tabs>
          <w:tab w:leader="none" w:pos="6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parties hereby agree that the foregoing Recitals are true and correct and are hereby incorporated into the Lease. Further, Landlord acknowledges that as of the date of Landlord’s signature on this First Amendment of Lease, no Tenant Delay has occurred.</w:t>
      </w:r>
    </w:p>
    <w:p>
      <w:pPr>
        <w:spacing w:after="0" w:line="165" w:lineRule="exact"/>
        <w:rPr>
          <w:rFonts w:ascii="Arial" w:cs="Arial" w:eastAsia="Arial" w:hAnsi="Arial"/>
          <w:sz w:val="17"/>
          <w:szCs w:val="17"/>
          <w:color w:val="auto"/>
        </w:rPr>
      </w:pPr>
    </w:p>
    <w:p>
      <w:pPr>
        <w:ind w:left="600" w:right="200" w:hanging="295"/>
        <w:spacing w:after="0" w:line="271" w:lineRule="auto"/>
        <w:tabs>
          <w:tab w:leader="none" w:pos="600"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Basic Lease Information</w:t>
      </w:r>
      <w:r>
        <w:rPr>
          <w:rFonts w:ascii="Arial" w:cs="Arial" w:eastAsia="Arial" w:hAnsi="Arial"/>
          <w:sz w:val="17"/>
          <w:szCs w:val="17"/>
          <w:color w:val="auto"/>
        </w:rPr>
        <w:t>. The following changes are hereby made to the following provisions of the Basic Lease Information set forth on pages -1- and -2- of the Lease: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373"/>
        </w:trPr>
        <w:tc>
          <w:tcPr>
            <w:tcW w:w="2680" w:type="dxa"/>
            <w:vAlign w:val="bottom"/>
          </w:tcPr>
          <w:p>
            <w:pPr>
              <w:spacing w:after="0"/>
              <w:rPr>
                <w:sz w:val="20"/>
                <w:szCs w:val="20"/>
                <w:color w:val="auto"/>
              </w:rPr>
            </w:pPr>
            <w:r>
              <w:rPr>
                <w:rFonts w:ascii="Arial" w:cs="Arial" w:eastAsia="Arial" w:hAnsi="Arial"/>
                <w:sz w:val="17"/>
                <w:szCs w:val="17"/>
                <w:b w:val="1"/>
                <w:bCs w:val="1"/>
                <w:color w:val="auto"/>
              </w:rPr>
              <w:t>Building Address:</w:t>
            </w:r>
          </w:p>
        </w:tc>
        <w:tc>
          <w:tcPr>
            <w:tcW w:w="8740" w:type="dxa"/>
            <w:vAlign w:val="bottom"/>
            <w:gridSpan w:val="2"/>
          </w:tcPr>
          <w:p>
            <w:pPr>
              <w:ind w:left="1100"/>
              <w:spacing w:after="0"/>
              <w:rPr>
                <w:sz w:val="20"/>
                <w:szCs w:val="20"/>
                <w:color w:val="auto"/>
              </w:rPr>
            </w:pPr>
            <w:r>
              <w:rPr>
                <w:rFonts w:ascii="Arial" w:cs="Arial" w:eastAsia="Arial" w:hAnsi="Arial"/>
                <w:sz w:val="17"/>
                <w:szCs w:val="17"/>
                <w:color w:val="auto"/>
              </w:rPr>
              <w:t>119 14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 NW, New Brighton 55112</w:t>
            </w:r>
          </w:p>
        </w:tc>
      </w:tr>
      <w:tr>
        <w:trPr>
          <w:trHeight w:val="272"/>
        </w:trPr>
        <w:tc>
          <w:tcPr>
            <w:tcW w:w="2680" w:type="dxa"/>
            <w:vAlign w:val="bottom"/>
          </w:tcPr>
          <w:p>
            <w:pPr>
              <w:spacing w:after="0"/>
              <w:rPr>
                <w:sz w:val="20"/>
                <w:szCs w:val="20"/>
                <w:color w:val="auto"/>
              </w:rPr>
            </w:pPr>
            <w:r>
              <w:rPr>
                <w:rFonts w:ascii="Arial" w:cs="Arial" w:eastAsia="Arial" w:hAnsi="Arial"/>
                <w:sz w:val="17"/>
                <w:szCs w:val="17"/>
                <w:b w:val="1"/>
                <w:bCs w:val="1"/>
                <w:color w:val="auto"/>
              </w:rPr>
              <w:t>Scheduled</w:t>
            </w:r>
          </w:p>
        </w:tc>
        <w:tc>
          <w:tcPr>
            <w:tcW w:w="3180" w:type="dxa"/>
            <w:vAlign w:val="bottom"/>
          </w:tcPr>
          <w:p>
            <w:pPr>
              <w:spacing w:after="0"/>
              <w:rPr>
                <w:sz w:val="23"/>
                <w:szCs w:val="23"/>
                <w:color w:val="auto"/>
              </w:rPr>
            </w:pPr>
          </w:p>
        </w:tc>
        <w:tc>
          <w:tcPr>
            <w:tcW w:w="5560" w:type="dxa"/>
            <w:vAlign w:val="bottom"/>
          </w:tcPr>
          <w:p>
            <w:pPr>
              <w:spacing w:after="0"/>
              <w:rPr>
                <w:sz w:val="23"/>
                <w:szCs w:val="23"/>
                <w:color w:val="auto"/>
              </w:rPr>
            </w:pPr>
          </w:p>
        </w:tc>
      </w:tr>
      <w:tr>
        <w:trPr>
          <w:trHeight w:val="218"/>
        </w:trPr>
        <w:tc>
          <w:tcPr>
            <w:tcW w:w="2680" w:type="dxa"/>
            <w:vAlign w:val="bottom"/>
          </w:tcPr>
          <w:p>
            <w:pPr>
              <w:spacing w:after="0"/>
              <w:rPr>
                <w:sz w:val="20"/>
                <w:szCs w:val="20"/>
                <w:color w:val="auto"/>
              </w:rPr>
            </w:pPr>
            <w:r>
              <w:rPr>
                <w:rFonts w:ascii="Arial" w:cs="Arial" w:eastAsia="Arial" w:hAnsi="Arial"/>
                <w:sz w:val="17"/>
                <w:szCs w:val="17"/>
                <w:b w:val="1"/>
                <w:bCs w:val="1"/>
                <w:color w:val="auto"/>
              </w:rPr>
              <w:t>Commencement Date:</w:t>
            </w:r>
          </w:p>
        </w:tc>
        <w:tc>
          <w:tcPr>
            <w:tcW w:w="3180" w:type="dxa"/>
            <w:vAlign w:val="bottom"/>
          </w:tcPr>
          <w:p>
            <w:pPr>
              <w:ind w:left="1100"/>
              <w:spacing w:after="0"/>
              <w:rPr>
                <w:sz w:val="20"/>
                <w:szCs w:val="20"/>
                <w:color w:val="auto"/>
              </w:rPr>
            </w:pPr>
            <w:r>
              <w:rPr>
                <w:rFonts w:ascii="Arial" w:cs="Arial" w:eastAsia="Arial" w:hAnsi="Arial"/>
                <w:sz w:val="17"/>
                <w:szCs w:val="17"/>
                <w:color w:val="auto"/>
              </w:rPr>
              <w:t>July 1, 2008</w:t>
            </w:r>
          </w:p>
        </w:tc>
        <w:tc>
          <w:tcPr>
            <w:tcW w:w="5560" w:type="dxa"/>
            <w:vAlign w:val="bottom"/>
          </w:tcPr>
          <w:p>
            <w:pPr>
              <w:spacing w:after="0"/>
              <w:rPr>
                <w:sz w:val="18"/>
                <w:szCs w:val="18"/>
                <w:color w:val="auto"/>
              </w:rPr>
            </w:pPr>
          </w:p>
        </w:tc>
      </w:tr>
      <w:tr>
        <w:trPr>
          <w:trHeight w:val="393"/>
        </w:trPr>
        <w:tc>
          <w:tcPr>
            <w:tcW w:w="2680" w:type="dxa"/>
            <w:vAlign w:val="bottom"/>
          </w:tcPr>
          <w:p>
            <w:pPr>
              <w:spacing w:after="0"/>
              <w:rPr>
                <w:sz w:val="20"/>
                <w:szCs w:val="20"/>
                <w:color w:val="auto"/>
              </w:rPr>
            </w:pPr>
            <w:r>
              <w:rPr>
                <w:rFonts w:ascii="Arial" w:cs="Arial" w:eastAsia="Arial" w:hAnsi="Arial"/>
                <w:sz w:val="17"/>
                <w:szCs w:val="17"/>
                <w:b w:val="1"/>
                <w:bCs w:val="1"/>
                <w:color w:val="auto"/>
              </w:rPr>
              <w:t>Base Rent:</w:t>
            </w:r>
          </w:p>
        </w:tc>
        <w:tc>
          <w:tcPr>
            <w:tcW w:w="8740" w:type="dxa"/>
            <w:vAlign w:val="bottom"/>
            <w:gridSpan w:val="2"/>
          </w:tcPr>
          <w:p>
            <w:pPr>
              <w:ind w:left="1100"/>
              <w:spacing w:after="0"/>
              <w:rPr>
                <w:sz w:val="20"/>
                <w:szCs w:val="20"/>
                <w:color w:val="auto"/>
              </w:rPr>
            </w:pPr>
            <w:r>
              <w:rPr>
                <w:rFonts w:ascii="Arial" w:cs="Arial" w:eastAsia="Arial" w:hAnsi="Arial"/>
                <w:sz w:val="17"/>
                <w:szCs w:val="17"/>
                <w:color w:val="auto"/>
              </w:rPr>
              <w:t>From the Commencement Date through the last Day of</w:t>
            </w:r>
          </w:p>
        </w:tc>
      </w:tr>
      <w:tr>
        <w:trPr>
          <w:trHeight w:val="214"/>
        </w:trPr>
        <w:tc>
          <w:tcPr>
            <w:tcW w:w="2680" w:type="dxa"/>
            <w:vAlign w:val="bottom"/>
          </w:tcPr>
          <w:p>
            <w:pPr>
              <w:spacing w:after="0"/>
              <w:rPr>
                <w:sz w:val="18"/>
                <w:szCs w:val="18"/>
                <w:color w:val="auto"/>
              </w:rPr>
            </w:pPr>
          </w:p>
        </w:tc>
        <w:tc>
          <w:tcPr>
            <w:tcW w:w="3180" w:type="dxa"/>
            <w:vAlign w:val="bottom"/>
          </w:tcPr>
          <w:p>
            <w:pPr>
              <w:ind w:left="1100"/>
              <w:spacing w:after="0"/>
              <w:rPr>
                <w:sz w:val="20"/>
                <w:szCs w:val="20"/>
                <w:color w:val="auto"/>
              </w:rPr>
            </w:pPr>
            <w:r>
              <w:rPr>
                <w:rFonts w:ascii="Arial" w:cs="Arial" w:eastAsia="Arial" w:hAnsi="Arial"/>
                <w:sz w:val="17"/>
                <w:szCs w:val="17"/>
                <w:color w:val="auto"/>
              </w:rPr>
              <w:t>Month 1:</w:t>
            </w:r>
          </w:p>
        </w:tc>
        <w:tc>
          <w:tcPr>
            <w:tcW w:w="5560" w:type="dxa"/>
            <w:vAlign w:val="bottom"/>
          </w:tcPr>
          <w:p>
            <w:pPr>
              <w:ind w:left="200"/>
              <w:spacing w:after="0"/>
              <w:rPr>
                <w:sz w:val="20"/>
                <w:szCs w:val="20"/>
                <w:color w:val="auto"/>
              </w:rPr>
            </w:pPr>
            <w:r>
              <w:rPr>
                <w:rFonts w:ascii="Arial" w:cs="Arial" w:eastAsia="Arial" w:hAnsi="Arial"/>
                <w:sz w:val="17"/>
                <w:szCs w:val="17"/>
                <w:color w:val="auto"/>
              </w:rPr>
              <w:t>Abated (Base Rent only)*</w:t>
            </w:r>
          </w:p>
        </w:tc>
      </w:tr>
      <w:tr>
        <w:trPr>
          <w:trHeight w:val="405"/>
        </w:trPr>
        <w:tc>
          <w:tcPr>
            <w:tcW w:w="2680" w:type="dxa"/>
            <w:vAlign w:val="bottom"/>
          </w:tcPr>
          <w:p>
            <w:pPr>
              <w:spacing w:after="0"/>
              <w:rPr>
                <w:sz w:val="24"/>
                <w:szCs w:val="24"/>
                <w:color w:val="auto"/>
              </w:rPr>
            </w:pPr>
          </w:p>
        </w:tc>
        <w:tc>
          <w:tcPr>
            <w:tcW w:w="3180" w:type="dxa"/>
            <w:vAlign w:val="bottom"/>
          </w:tcPr>
          <w:p>
            <w:pPr>
              <w:ind w:left="1100"/>
              <w:spacing w:after="0"/>
              <w:rPr>
                <w:sz w:val="20"/>
                <w:szCs w:val="20"/>
                <w:color w:val="auto"/>
              </w:rPr>
            </w:pPr>
            <w:r>
              <w:rPr>
                <w:rFonts w:ascii="Arial" w:cs="Arial" w:eastAsia="Arial" w:hAnsi="Arial"/>
                <w:sz w:val="17"/>
                <w:szCs w:val="17"/>
                <w:color w:val="auto"/>
              </w:rPr>
              <w:t>Month 2 – 12:</w:t>
            </w:r>
          </w:p>
        </w:tc>
        <w:tc>
          <w:tcPr>
            <w:tcW w:w="5560" w:type="dxa"/>
            <w:vAlign w:val="bottom"/>
          </w:tcPr>
          <w:p>
            <w:pPr>
              <w:ind w:left="200"/>
              <w:spacing w:after="0"/>
              <w:rPr>
                <w:sz w:val="20"/>
                <w:szCs w:val="20"/>
                <w:color w:val="auto"/>
              </w:rPr>
            </w:pPr>
            <w:r>
              <w:rPr>
                <w:rFonts w:ascii="Arial" w:cs="Arial" w:eastAsia="Arial" w:hAnsi="Arial"/>
                <w:sz w:val="17"/>
                <w:szCs w:val="17"/>
                <w:color w:val="auto"/>
              </w:rPr>
              <w:t>$14.59 per square foot of Rentable Area per Annum</w:t>
            </w:r>
          </w:p>
        </w:tc>
      </w:tr>
      <w:tr>
        <w:trPr>
          <w:trHeight w:val="405"/>
        </w:trPr>
        <w:tc>
          <w:tcPr>
            <w:tcW w:w="2680" w:type="dxa"/>
            <w:vAlign w:val="bottom"/>
          </w:tcPr>
          <w:p>
            <w:pPr>
              <w:spacing w:after="0"/>
              <w:rPr>
                <w:sz w:val="24"/>
                <w:szCs w:val="24"/>
                <w:color w:val="auto"/>
              </w:rPr>
            </w:pPr>
          </w:p>
        </w:tc>
        <w:tc>
          <w:tcPr>
            <w:tcW w:w="3180" w:type="dxa"/>
            <w:vAlign w:val="bottom"/>
          </w:tcPr>
          <w:p>
            <w:pPr>
              <w:ind w:left="1100"/>
              <w:spacing w:after="0"/>
              <w:rPr>
                <w:sz w:val="20"/>
                <w:szCs w:val="20"/>
                <w:color w:val="auto"/>
              </w:rPr>
            </w:pPr>
            <w:r>
              <w:rPr>
                <w:rFonts w:ascii="Arial" w:cs="Arial" w:eastAsia="Arial" w:hAnsi="Arial"/>
                <w:sz w:val="17"/>
                <w:szCs w:val="17"/>
                <w:color w:val="auto"/>
              </w:rPr>
              <w:t>Month 13 - 24:</w:t>
            </w:r>
          </w:p>
        </w:tc>
        <w:tc>
          <w:tcPr>
            <w:tcW w:w="5560" w:type="dxa"/>
            <w:vAlign w:val="bottom"/>
          </w:tcPr>
          <w:p>
            <w:pPr>
              <w:ind w:left="200"/>
              <w:spacing w:after="0"/>
              <w:rPr>
                <w:sz w:val="20"/>
                <w:szCs w:val="20"/>
                <w:color w:val="auto"/>
              </w:rPr>
            </w:pPr>
            <w:r>
              <w:rPr>
                <w:rFonts w:ascii="Arial" w:cs="Arial" w:eastAsia="Arial" w:hAnsi="Arial"/>
                <w:sz w:val="17"/>
                <w:szCs w:val="17"/>
                <w:color w:val="auto"/>
              </w:rPr>
              <w:t>$14.88 per square foot of Rentable Area per Annum</w:t>
            </w:r>
          </w:p>
        </w:tc>
      </w:tr>
      <w:tr>
        <w:trPr>
          <w:trHeight w:val="405"/>
        </w:trPr>
        <w:tc>
          <w:tcPr>
            <w:tcW w:w="2680" w:type="dxa"/>
            <w:vAlign w:val="bottom"/>
          </w:tcPr>
          <w:p>
            <w:pPr>
              <w:spacing w:after="0"/>
              <w:rPr>
                <w:sz w:val="24"/>
                <w:szCs w:val="24"/>
                <w:color w:val="auto"/>
              </w:rPr>
            </w:pPr>
          </w:p>
        </w:tc>
        <w:tc>
          <w:tcPr>
            <w:tcW w:w="3180" w:type="dxa"/>
            <w:vAlign w:val="bottom"/>
          </w:tcPr>
          <w:p>
            <w:pPr>
              <w:ind w:left="1100"/>
              <w:spacing w:after="0"/>
              <w:rPr>
                <w:sz w:val="20"/>
                <w:szCs w:val="20"/>
                <w:color w:val="auto"/>
              </w:rPr>
            </w:pPr>
            <w:r>
              <w:rPr>
                <w:rFonts w:ascii="Arial" w:cs="Arial" w:eastAsia="Arial" w:hAnsi="Arial"/>
                <w:sz w:val="17"/>
                <w:szCs w:val="17"/>
                <w:color w:val="auto"/>
              </w:rPr>
              <w:t>Month 25 - 36:</w:t>
            </w:r>
          </w:p>
        </w:tc>
        <w:tc>
          <w:tcPr>
            <w:tcW w:w="5560" w:type="dxa"/>
            <w:vAlign w:val="bottom"/>
          </w:tcPr>
          <w:p>
            <w:pPr>
              <w:ind w:left="200"/>
              <w:spacing w:after="0"/>
              <w:rPr>
                <w:sz w:val="20"/>
                <w:szCs w:val="20"/>
                <w:color w:val="auto"/>
              </w:rPr>
            </w:pPr>
            <w:r>
              <w:rPr>
                <w:rFonts w:ascii="Arial" w:cs="Arial" w:eastAsia="Arial" w:hAnsi="Arial"/>
                <w:sz w:val="17"/>
                <w:szCs w:val="17"/>
                <w:color w:val="auto"/>
              </w:rPr>
              <w:t>$15.18 per square foot of Rentable Area per Annum</w:t>
            </w:r>
          </w:p>
        </w:tc>
      </w:tr>
      <w:tr>
        <w:trPr>
          <w:trHeight w:val="405"/>
        </w:trPr>
        <w:tc>
          <w:tcPr>
            <w:tcW w:w="2680" w:type="dxa"/>
            <w:vAlign w:val="bottom"/>
          </w:tcPr>
          <w:p>
            <w:pPr>
              <w:spacing w:after="0"/>
              <w:rPr>
                <w:sz w:val="24"/>
                <w:szCs w:val="24"/>
                <w:color w:val="auto"/>
              </w:rPr>
            </w:pPr>
          </w:p>
        </w:tc>
        <w:tc>
          <w:tcPr>
            <w:tcW w:w="3180" w:type="dxa"/>
            <w:vAlign w:val="bottom"/>
          </w:tcPr>
          <w:p>
            <w:pPr>
              <w:ind w:left="1100"/>
              <w:spacing w:after="0"/>
              <w:rPr>
                <w:sz w:val="20"/>
                <w:szCs w:val="20"/>
                <w:color w:val="auto"/>
              </w:rPr>
            </w:pPr>
            <w:r>
              <w:rPr>
                <w:rFonts w:ascii="Arial" w:cs="Arial" w:eastAsia="Arial" w:hAnsi="Arial"/>
                <w:sz w:val="17"/>
                <w:szCs w:val="17"/>
                <w:color w:val="auto"/>
              </w:rPr>
              <w:t>Month 37 - 48:</w:t>
            </w:r>
          </w:p>
        </w:tc>
        <w:tc>
          <w:tcPr>
            <w:tcW w:w="5560" w:type="dxa"/>
            <w:vAlign w:val="bottom"/>
          </w:tcPr>
          <w:p>
            <w:pPr>
              <w:ind w:left="200"/>
              <w:spacing w:after="0"/>
              <w:rPr>
                <w:sz w:val="20"/>
                <w:szCs w:val="20"/>
                <w:color w:val="auto"/>
              </w:rPr>
            </w:pPr>
            <w:r>
              <w:rPr>
                <w:rFonts w:ascii="Arial" w:cs="Arial" w:eastAsia="Arial" w:hAnsi="Arial"/>
                <w:sz w:val="17"/>
                <w:szCs w:val="17"/>
                <w:color w:val="auto"/>
              </w:rPr>
              <w:t>$15.48 per square foot of Rentable Area per Annum</w:t>
            </w:r>
          </w:p>
        </w:tc>
      </w:tr>
      <w:tr>
        <w:trPr>
          <w:trHeight w:val="405"/>
        </w:trPr>
        <w:tc>
          <w:tcPr>
            <w:tcW w:w="2680" w:type="dxa"/>
            <w:vAlign w:val="bottom"/>
          </w:tcPr>
          <w:p>
            <w:pPr>
              <w:spacing w:after="0"/>
              <w:rPr>
                <w:sz w:val="24"/>
                <w:szCs w:val="24"/>
                <w:color w:val="auto"/>
              </w:rPr>
            </w:pPr>
          </w:p>
        </w:tc>
        <w:tc>
          <w:tcPr>
            <w:tcW w:w="3180" w:type="dxa"/>
            <w:vAlign w:val="bottom"/>
          </w:tcPr>
          <w:p>
            <w:pPr>
              <w:ind w:left="1100"/>
              <w:spacing w:after="0"/>
              <w:rPr>
                <w:sz w:val="20"/>
                <w:szCs w:val="20"/>
                <w:color w:val="auto"/>
              </w:rPr>
            </w:pPr>
            <w:r>
              <w:rPr>
                <w:rFonts w:ascii="Arial" w:cs="Arial" w:eastAsia="Arial" w:hAnsi="Arial"/>
                <w:sz w:val="17"/>
                <w:szCs w:val="17"/>
                <w:color w:val="auto"/>
              </w:rPr>
              <w:t>Month 49 - 60:</w:t>
            </w:r>
          </w:p>
        </w:tc>
        <w:tc>
          <w:tcPr>
            <w:tcW w:w="5560" w:type="dxa"/>
            <w:vAlign w:val="bottom"/>
          </w:tcPr>
          <w:p>
            <w:pPr>
              <w:ind w:left="200"/>
              <w:spacing w:after="0"/>
              <w:rPr>
                <w:sz w:val="20"/>
                <w:szCs w:val="20"/>
                <w:color w:val="auto"/>
              </w:rPr>
            </w:pPr>
            <w:r>
              <w:rPr>
                <w:rFonts w:ascii="Arial" w:cs="Arial" w:eastAsia="Arial" w:hAnsi="Arial"/>
                <w:sz w:val="17"/>
                <w:szCs w:val="17"/>
                <w:color w:val="auto"/>
              </w:rPr>
              <w:t>$15.79 per square foot of Rentable Area per Annum</w:t>
            </w:r>
          </w:p>
        </w:tc>
      </w:tr>
      <w:tr>
        <w:trPr>
          <w:trHeight w:val="405"/>
        </w:trPr>
        <w:tc>
          <w:tcPr>
            <w:tcW w:w="2680" w:type="dxa"/>
            <w:vAlign w:val="bottom"/>
          </w:tcPr>
          <w:p>
            <w:pPr>
              <w:spacing w:after="0"/>
              <w:rPr>
                <w:sz w:val="24"/>
                <w:szCs w:val="24"/>
                <w:color w:val="auto"/>
              </w:rPr>
            </w:pPr>
          </w:p>
        </w:tc>
        <w:tc>
          <w:tcPr>
            <w:tcW w:w="3180" w:type="dxa"/>
            <w:vAlign w:val="bottom"/>
          </w:tcPr>
          <w:p>
            <w:pPr>
              <w:ind w:left="1100"/>
              <w:spacing w:after="0"/>
              <w:rPr>
                <w:sz w:val="20"/>
                <w:szCs w:val="20"/>
                <w:color w:val="auto"/>
              </w:rPr>
            </w:pPr>
            <w:r>
              <w:rPr>
                <w:rFonts w:ascii="Arial" w:cs="Arial" w:eastAsia="Arial" w:hAnsi="Arial"/>
                <w:sz w:val="17"/>
                <w:szCs w:val="17"/>
                <w:color w:val="auto"/>
              </w:rPr>
              <w:t>Month 61 - 72:</w:t>
            </w:r>
          </w:p>
        </w:tc>
        <w:tc>
          <w:tcPr>
            <w:tcW w:w="5560" w:type="dxa"/>
            <w:vAlign w:val="bottom"/>
          </w:tcPr>
          <w:p>
            <w:pPr>
              <w:ind w:left="200"/>
              <w:spacing w:after="0"/>
              <w:rPr>
                <w:sz w:val="20"/>
                <w:szCs w:val="20"/>
                <w:color w:val="auto"/>
              </w:rPr>
            </w:pPr>
            <w:r>
              <w:rPr>
                <w:rFonts w:ascii="Arial" w:cs="Arial" w:eastAsia="Arial" w:hAnsi="Arial"/>
                <w:sz w:val="17"/>
                <w:szCs w:val="17"/>
                <w:color w:val="auto"/>
              </w:rPr>
              <w:t>$16.10 per square foot of Rentable Area per Annum</w:t>
            </w:r>
          </w:p>
        </w:tc>
      </w:tr>
      <w:tr>
        <w:trPr>
          <w:trHeight w:val="405"/>
        </w:trPr>
        <w:tc>
          <w:tcPr>
            <w:tcW w:w="2680" w:type="dxa"/>
            <w:vAlign w:val="bottom"/>
          </w:tcPr>
          <w:p>
            <w:pPr>
              <w:spacing w:after="0"/>
              <w:rPr>
                <w:sz w:val="24"/>
                <w:szCs w:val="24"/>
                <w:color w:val="auto"/>
              </w:rPr>
            </w:pPr>
          </w:p>
        </w:tc>
        <w:tc>
          <w:tcPr>
            <w:tcW w:w="3180" w:type="dxa"/>
            <w:vAlign w:val="bottom"/>
          </w:tcPr>
          <w:p>
            <w:pPr>
              <w:ind w:left="1100"/>
              <w:spacing w:after="0"/>
              <w:rPr>
                <w:sz w:val="20"/>
                <w:szCs w:val="20"/>
                <w:color w:val="auto"/>
              </w:rPr>
            </w:pPr>
            <w:r>
              <w:rPr>
                <w:rFonts w:ascii="Arial" w:cs="Arial" w:eastAsia="Arial" w:hAnsi="Arial"/>
                <w:sz w:val="17"/>
                <w:szCs w:val="17"/>
                <w:color w:val="auto"/>
              </w:rPr>
              <w:t>Month 73 - 84:</w:t>
            </w:r>
          </w:p>
        </w:tc>
        <w:tc>
          <w:tcPr>
            <w:tcW w:w="5560" w:type="dxa"/>
            <w:vAlign w:val="bottom"/>
          </w:tcPr>
          <w:p>
            <w:pPr>
              <w:ind w:left="200"/>
              <w:spacing w:after="0"/>
              <w:rPr>
                <w:sz w:val="20"/>
                <w:szCs w:val="20"/>
                <w:color w:val="auto"/>
              </w:rPr>
            </w:pPr>
            <w:r>
              <w:rPr>
                <w:rFonts w:ascii="Arial" w:cs="Arial" w:eastAsia="Arial" w:hAnsi="Arial"/>
                <w:sz w:val="17"/>
                <w:szCs w:val="17"/>
                <w:color w:val="auto"/>
              </w:rPr>
              <w:t>$16.42 per square foot of Rentable Area per Annum</w:t>
            </w:r>
          </w:p>
        </w:tc>
      </w:tr>
      <w:tr>
        <w:trPr>
          <w:trHeight w:val="405"/>
        </w:trPr>
        <w:tc>
          <w:tcPr>
            <w:tcW w:w="2680" w:type="dxa"/>
            <w:vAlign w:val="bottom"/>
          </w:tcPr>
          <w:p>
            <w:pPr>
              <w:spacing w:after="0"/>
              <w:rPr>
                <w:sz w:val="24"/>
                <w:szCs w:val="24"/>
                <w:color w:val="auto"/>
              </w:rPr>
            </w:pPr>
          </w:p>
        </w:tc>
        <w:tc>
          <w:tcPr>
            <w:tcW w:w="3180" w:type="dxa"/>
            <w:vAlign w:val="bottom"/>
          </w:tcPr>
          <w:p>
            <w:pPr>
              <w:ind w:left="1100"/>
              <w:spacing w:after="0"/>
              <w:rPr>
                <w:sz w:val="20"/>
                <w:szCs w:val="20"/>
                <w:color w:val="auto"/>
              </w:rPr>
            </w:pPr>
            <w:r>
              <w:rPr>
                <w:rFonts w:ascii="Arial" w:cs="Arial" w:eastAsia="Arial" w:hAnsi="Arial"/>
                <w:sz w:val="17"/>
                <w:szCs w:val="17"/>
                <w:color w:val="auto"/>
              </w:rPr>
              <w:t>Month 85 - 96:</w:t>
            </w:r>
          </w:p>
        </w:tc>
        <w:tc>
          <w:tcPr>
            <w:tcW w:w="5560" w:type="dxa"/>
            <w:vAlign w:val="bottom"/>
          </w:tcPr>
          <w:p>
            <w:pPr>
              <w:ind w:left="200"/>
              <w:spacing w:after="0"/>
              <w:rPr>
                <w:sz w:val="20"/>
                <w:szCs w:val="20"/>
                <w:color w:val="auto"/>
              </w:rPr>
            </w:pPr>
            <w:r>
              <w:rPr>
                <w:rFonts w:ascii="Arial" w:cs="Arial" w:eastAsia="Arial" w:hAnsi="Arial"/>
                <w:sz w:val="17"/>
                <w:szCs w:val="17"/>
                <w:color w:val="auto"/>
              </w:rPr>
              <w:t>$16.75 per square foot of Rentable Area per Annum</w:t>
            </w:r>
          </w:p>
        </w:tc>
      </w:tr>
      <w:tr>
        <w:trPr>
          <w:trHeight w:val="405"/>
        </w:trPr>
        <w:tc>
          <w:tcPr>
            <w:tcW w:w="2680" w:type="dxa"/>
            <w:vAlign w:val="bottom"/>
          </w:tcPr>
          <w:p>
            <w:pPr>
              <w:spacing w:after="0"/>
              <w:rPr>
                <w:sz w:val="24"/>
                <w:szCs w:val="24"/>
                <w:color w:val="auto"/>
              </w:rPr>
            </w:pPr>
          </w:p>
        </w:tc>
        <w:tc>
          <w:tcPr>
            <w:tcW w:w="3180" w:type="dxa"/>
            <w:vAlign w:val="bottom"/>
          </w:tcPr>
          <w:p>
            <w:pPr>
              <w:ind w:left="1100"/>
              <w:spacing w:after="0"/>
              <w:rPr>
                <w:sz w:val="20"/>
                <w:szCs w:val="20"/>
                <w:color w:val="auto"/>
              </w:rPr>
            </w:pPr>
            <w:r>
              <w:rPr>
                <w:rFonts w:ascii="Arial" w:cs="Arial" w:eastAsia="Arial" w:hAnsi="Arial"/>
                <w:sz w:val="17"/>
                <w:szCs w:val="17"/>
                <w:color w:val="auto"/>
              </w:rPr>
              <w:t>Month 97 - 108:</w:t>
            </w:r>
          </w:p>
        </w:tc>
        <w:tc>
          <w:tcPr>
            <w:tcW w:w="5560" w:type="dxa"/>
            <w:vAlign w:val="bottom"/>
          </w:tcPr>
          <w:p>
            <w:pPr>
              <w:ind w:left="200"/>
              <w:spacing w:after="0"/>
              <w:rPr>
                <w:sz w:val="20"/>
                <w:szCs w:val="20"/>
                <w:color w:val="auto"/>
              </w:rPr>
            </w:pPr>
            <w:r>
              <w:rPr>
                <w:rFonts w:ascii="Arial" w:cs="Arial" w:eastAsia="Arial" w:hAnsi="Arial"/>
                <w:sz w:val="17"/>
                <w:szCs w:val="17"/>
                <w:color w:val="auto"/>
              </w:rPr>
              <w:t>$17.08 per square foot of Rentable Area per Annum</w:t>
            </w:r>
          </w:p>
        </w:tc>
      </w:tr>
      <w:tr>
        <w:trPr>
          <w:trHeight w:val="405"/>
        </w:trPr>
        <w:tc>
          <w:tcPr>
            <w:tcW w:w="2680" w:type="dxa"/>
            <w:vAlign w:val="bottom"/>
          </w:tcPr>
          <w:p>
            <w:pPr>
              <w:spacing w:after="0"/>
              <w:rPr>
                <w:sz w:val="24"/>
                <w:szCs w:val="24"/>
                <w:color w:val="auto"/>
              </w:rPr>
            </w:pPr>
          </w:p>
        </w:tc>
        <w:tc>
          <w:tcPr>
            <w:tcW w:w="3180" w:type="dxa"/>
            <w:vAlign w:val="bottom"/>
          </w:tcPr>
          <w:p>
            <w:pPr>
              <w:ind w:left="1100"/>
              <w:spacing w:after="0"/>
              <w:rPr>
                <w:sz w:val="20"/>
                <w:szCs w:val="20"/>
                <w:color w:val="auto"/>
              </w:rPr>
            </w:pPr>
            <w:r>
              <w:rPr>
                <w:rFonts w:ascii="Arial" w:cs="Arial" w:eastAsia="Arial" w:hAnsi="Arial"/>
                <w:sz w:val="17"/>
                <w:szCs w:val="17"/>
                <w:color w:val="auto"/>
              </w:rPr>
              <w:t>Month 109 - 120:</w:t>
            </w:r>
          </w:p>
        </w:tc>
        <w:tc>
          <w:tcPr>
            <w:tcW w:w="5560" w:type="dxa"/>
            <w:vAlign w:val="bottom"/>
          </w:tcPr>
          <w:p>
            <w:pPr>
              <w:ind w:left="200"/>
              <w:spacing w:after="0"/>
              <w:rPr>
                <w:sz w:val="20"/>
                <w:szCs w:val="20"/>
                <w:color w:val="auto"/>
              </w:rPr>
            </w:pPr>
            <w:r>
              <w:rPr>
                <w:rFonts w:ascii="Arial" w:cs="Arial" w:eastAsia="Arial" w:hAnsi="Arial"/>
                <w:sz w:val="17"/>
                <w:szCs w:val="17"/>
                <w:color w:val="auto"/>
              </w:rPr>
              <w:t>$17.42 per square foot of Rentable Area per Annum</w:t>
            </w:r>
          </w:p>
        </w:tc>
      </w:tr>
      <w:tr>
        <w:trPr>
          <w:trHeight w:val="405"/>
        </w:trPr>
        <w:tc>
          <w:tcPr>
            <w:tcW w:w="2680" w:type="dxa"/>
            <w:vAlign w:val="bottom"/>
          </w:tcPr>
          <w:p>
            <w:pPr>
              <w:spacing w:after="0"/>
              <w:rPr>
                <w:sz w:val="24"/>
                <w:szCs w:val="24"/>
                <w:color w:val="auto"/>
              </w:rPr>
            </w:pPr>
          </w:p>
        </w:tc>
        <w:tc>
          <w:tcPr>
            <w:tcW w:w="3180" w:type="dxa"/>
            <w:vAlign w:val="bottom"/>
          </w:tcPr>
          <w:p>
            <w:pPr>
              <w:ind w:left="1100"/>
              <w:spacing w:after="0"/>
              <w:rPr>
                <w:sz w:val="20"/>
                <w:szCs w:val="20"/>
                <w:color w:val="auto"/>
              </w:rPr>
            </w:pPr>
            <w:r>
              <w:rPr>
                <w:rFonts w:ascii="Arial" w:cs="Arial" w:eastAsia="Arial" w:hAnsi="Arial"/>
                <w:sz w:val="17"/>
                <w:szCs w:val="17"/>
                <w:color w:val="auto"/>
              </w:rPr>
              <w:t>Month 121 - 132:</w:t>
            </w:r>
          </w:p>
        </w:tc>
        <w:tc>
          <w:tcPr>
            <w:tcW w:w="5560" w:type="dxa"/>
            <w:vAlign w:val="bottom"/>
          </w:tcPr>
          <w:p>
            <w:pPr>
              <w:ind w:left="200"/>
              <w:spacing w:after="0"/>
              <w:rPr>
                <w:sz w:val="20"/>
                <w:szCs w:val="20"/>
                <w:color w:val="auto"/>
              </w:rPr>
            </w:pPr>
            <w:r>
              <w:rPr>
                <w:rFonts w:ascii="Arial" w:cs="Arial" w:eastAsia="Arial" w:hAnsi="Arial"/>
                <w:sz w:val="17"/>
                <w:szCs w:val="17"/>
                <w:color w:val="auto"/>
              </w:rPr>
              <w:t>$17.77 per square foot of Rentable Area per Annum</w:t>
            </w:r>
          </w:p>
        </w:tc>
      </w:tr>
      <w:tr>
        <w:trPr>
          <w:trHeight w:val="405"/>
        </w:trPr>
        <w:tc>
          <w:tcPr>
            <w:tcW w:w="2680" w:type="dxa"/>
            <w:vAlign w:val="bottom"/>
          </w:tcPr>
          <w:p>
            <w:pPr>
              <w:spacing w:after="0"/>
              <w:rPr>
                <w:sz w:val="24"/>
                <w:szCs w:val="24"/>
                <w:color w:val="auto"/>
              </w:rPr>
            </w:pPr>
          </w:p>
        </w:tc>
        <w:tc>
          <w:tcPr>
            <w:tcW w:w="3180" w:type="dxa"/>
            <w:vAlign w:val="bottom"/>
          </w:tcPr>
          <w:p>
            <w:pPr>
              <w:ind w:left="1100"/>
              <w:spacing w:after="0"/>
              <w:rPr>
                <w:sz w:val="20"/>
                <w:szCs w:val="20"/>
                <w:color w:val="auto"/>
              </w:rPr>
            </w:pPr>
            <w:r>
              <w:rPr>
                <w:rFonts w:ascii="Arial" w:cs="Arial" w:eastAsia="Arial" w:hAnsi="Arial"/>
                <w:sz w:val="17"/>
                <w:szCs w:val="17"/>
                <w:color w:val="auto"/>
              </w:rPr>
              <w:t>Month 133 - 144:</w:t>
            </w:r>
          </w:p>
        </w:tc>
        <w:tc>
          <w:tcPr>
            <w:tcW w:w="5560" w:type="dxa"/>
            <w:vAlign w:val="bottom"/>
          </w:tcPr>
          <w:p>
            <w:pPr>
              <w:ind w:left="200"/>
              <w:spacing w:after="0"/>
              <w:rPr>
                <w:sz w:val="20"/>
                <w:szCs w:val="20"/>
                <w:color w:val="auto"/>
              </w:rPr>
            </w:pPr>
            <w:r>
              <w:rPr>
                <w:rFonts w:ascii="Arial" w:cs="Arial" w:eastAsia="Arial" w:hAnsi="Arial"/>
                <w:sz w:val="17"/>
                <w:szCs w:val="17"/>
                <w:color w:val="auto"/>
              </w:rPr>
              <w:t>$18.12 per square foot of Rentable Area per Annum</w:t>
            </w:r>
          </w:p>
        </w:tc>
      </w:tr>
      <w:tr>
        <w:trPr>
          <w:trHeight w:val="405"/>
        </w:trPr>
        <w:tc>
          <w:tcPr>
            <w:tcW w:w="2680" w:type="dxa"/>
            <w:vAlign w:val="bottom"/>
          </w:tcPr>
          <w:p>
            <w:pPr>
              <w:spacing w:after="0"/>
              <w:rPr>
                <w:sz w:val="24"/>
                <w:szCs w:val="24"/>
                <w:color w:val="auto"/>
              </w:rPr>
            </w:pPr>
          </w:p>
        </w:tc>
        <w:tc>
          <w:tcPr>
            <w:tcW w:w="3180" w:type="dxa"/>
            <w:vAlign w:val="bottom"/>
          </w:tcPr>
          <w:p>
            <w:pPr>
              <w:ind w:left="1100"/>
              <w:spacing w:after="0"/>
              <w:rPr>
                <w:sz w:val="20"/>
                <w:szCs w:val="20"/>
                <w:color w:val="auto"/>
              </w:rPr>
            </w:pPr>
            <w:r>
              <w:rPr>
                <w:rFonts w:ascii="Arial" w:cs="Arial" w:eastAsia="Arial" w:hAnsi="Arial"/>
                <w:sz w:val="17"/>
                <w:szCs w:val="17"/>
                <w:color w:val="auto"/>
              </w:rPr>
              <w:t>Option Periods:</w:t>
            </w:r>
          </w:p>
        </w:tc>
        <w:tc>
          <w:tcPr>
            <w:tcW w:w="5560" w:type="dxa"/>
            <w:vAlign w:val="bottom"/>
          </w:tcPr>
          <w:p>
            <w:pPr>
              <w:ind w:left="200"/>
              <w:spacing w:after="0"/>
              <w:rPr>
                <w:sz w:val="20"/>
                <w:szCs w:val="20"/>
                <w:color w:val="auto"/>
              </w:rPr>
            </w:pPr>
            <w:r>
              <w:rPr>
                <w:rFonts w:ascii="Arial" w:cs="Arial" w:eastAsia="Arial" w:hAnsi="Arial"/>
                <w:sz w:val="17"/>
                <w:szCs w:val="17"/>
                <w:color w:val="auto"/>
              </w:rPr>
              <w:t>Market Rate</w:t>
            </w:r>
          </w:p>
        </w:tc>
      </w:tr>
      <w:tr>
        <w:trPr>
          <w:trHeight w:val="389"/>
        </w:trPr>
        <w:tc>
          <w:tcPr>
            <w:tcW w:w="2680" w:type="dxa"/>
            <w:vAlign w:val="bottom"/>
          </w:tcPr>
          <w:p>
            <w:pPr>
              <w:spacing w:after="0"/>
              <w:rPr>
                <w:sz w:val="20"/>
                <w:szCs w:val="20"/>
                <w:color w:val="auto"/>
              </w:rPr>
            </w:pPr>
            <w:r>
              <w:rPr>
                <w:rFonts w:ascii="Arial" w:cs="Arial" w:eastAsia="Arial" w:hAnsi="Arial"/>
                <w:sz w:val="17"/>
                <w:szCs w:val="17"/>
                <w:b w:val="1"/>
                <w:bCs w:val="1"/>
                <w:color w:val="auto"/>
              </w:rPr>
              <w:t>Tenant’s Address</w:t>
            </w:r>
          </w:p>
        </w:tc>
        <w:tc>
          <w:tcPr>
            <w:tcW w:w="3180" w:type="dxa"/>
            <w:vAlign w:val="bottom"/>
          </w:tcPr>
          <w:p>
            <w:pPr>
              <w:ind w:left="1100"/>
              <w:spacing w:after="0"/>
              <w:rPr>
                <w:sz w:val="20"/>
                <w:szCs w:val="20"/>
                <w:color w:val="auto"/>
              </w:rPr>
            </w:pPr>
            <w:r>
              <w:rPr>
                <w:rFonts w:ascii="Arial" w:cs="Arial" w:eastAsia="Arial" w:hAnsi="Arial"/>
                <w:sz w:val="17"/>
                <w:szCs w:val="17"/>
                <w:color w:val="auto"/>
              </w:rPr>
              <w:t>Following Commencement:</w:t>
            </w:r>
          </w:p>
        </w:tc>
        <w:tc>
          <w:tcPr>
            <w:tcW w:w="5560" w:type="dxa"/>
            <w:vAlign w:val="bottom"/>
          </w:tcPr>
          <w:p>
            <w:pPr>
              <w:spacing w:after="0"/>
              <w:rPr>
                <w:sz w:val="24"/>
                <w:szCs w:val="24"/>
                <w:color w:val="auto"/>
              </w:rPr>
            </w:pPr>
          </w:p>
        </w:tc>
      </w:tr>
      <w:tr>
        <w:trPr>
          <w:trHeight w:val="208"/>
        </w:trPr>
        <w:tc>
          <w:tcPr>
            <w:tcW w:w="2680" w:type="dxa"/>
            <w:vAlign w:val="bottom"/>
          </w:tcPr>
          <w:p>
            <w:pPr>
              <w:spacing w:after="0"/>
              <w:rPr>
                <w:sz w:val="20"/>
                <w:szCs w:val="20"/>
                <w:color w:val="auto"/>
              </w:rPr>
            </w:pPr>
            <w:r>
              <w:rPr>
                <w:rFonts w:ascii="Arial" w:cs="Arial" w:eastAsia="Arial" w:hAnsi="Arial"/>
                <w:sz w:val="17"/>
                <w:szCs w:val="17"/>
                <w:b w:val="1"/>
                <w:bCs w:val="1"/>
                <w:color w:val="auto"/>
              </w:rPr>
              <w:t>For Notices:</w:t>
            </w:r>
          </w:p>
        </w:tc>
        <w:tc>
          <w:tcPr>
            <w:tcW w:w="3180" w:type="dxa"/>
            <w:vAlign w:val="bottom"/>
          </w:tcPr>
          <w:p>
            <w:pPr>
              <w:ind w:left="1100"/>
              <w:spacing w:after="0"/>
              <w:rPr>
                <w:sz w:val="20"/>
                <w:szCs w:val="20"/>
                <w:color w:val="auto"/>
              </w:rPr>
            </w:pPr>
            <w:r>
              <w:rPr>
                <w:rFonts w:ascii="Arial" w:cs="Arial" w:eastAsia="Arial" w:hAnsi="Arial"/>
                <w:sz w:val="17"/>
                <w:szCs w:val="17"/>
                <w:color w:val="auto"/>
              </w:rPr>
              <w:t>Transoma Medical, Inc.</w:t>
            </w:r>
          </w:p>
        </w:tc>
        <w:tc>
          <w:tcPr>
            <w:tcW w:w="5560" w:type="dxa"/>
            <w:vAlign w:val="bottom"/>
          </w:tcPr>
          <w:p>
            <w:pPr>
              <w:spacing w:after="0"/>
              <w:rPr>
                <w:sz w:val="18"/>
                <w:szCs w:val="18"/>
                <w:color w:val="auto"/>
              </w:rPr>
            </w:pPr>
          </w:p>
        </w:tc>
      </w:tr>
      <w:tr>
        <w:trPr>
          <w:trHeight w:val="239"/>
        </w:trPr>
        <w:tc>
          <w:tcPr>
            <w:tcW w:w="2680" w:type="dxa"/>
            <w:vAlign w:val="bottom"/>
          </w:tcPr>
          <w:p>
            <w:pPr>
              <w:spacing w:after="0"/>
              <w:rPr>
                <w:sz w:val="20"/>
                <w:szCs w:val="20"/>
                <w:color w:val="auto"/>
              </w:rPr>
            </w:pPr>
          </w:p>
        </w:tc>
        <w:tc>
          <w:tcPr>
            <w:tcW w:w="3180" w:type="dxa"/>
            <w:vAlign w:val="bottom"/>
          </w:tcPr>
          <w:p>
            <w:pPr>
              <w:ind w:left="1100"/>
              <w:spacing w:after="0" w:line="239" w:lineRule="exact"/>
              <w:rPr>
                <w:sz w:val="20"/>
                <w:szCs w:val="20"/>
                <w:color w:val="auto"/>
              </w:rPr>
            </w:pPr>
            <w:r>
              <w:rPr>
                <w:rFonts w:ascii="Arial" w:cs="Arial" w:eastAsia="Arial" w:hAnsi="Arial"/>
                <w:sz w:val="16"/>
                <w:szCs w:val="16"/>
                <w:color w:val="auto"/>
              </w:rPr>
              <w:t>119 14</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St NW</w:t>
            </w:r>
          </w:p>
        </w:tc>
        <w:tc>
          <w:tcPr>
            <w:tcW w:w="5560" w:type="dxa"/>
            <w:vAlign w:val="bottom"/>
          </w:tcPr>
          <w:p>
            <w:pPr>
              <w:spacing w:after="0"/>
              <w:rPr>
                <w:sz w:val="20"/>
                <w:szCs w:val="20"/>
                <w:color w:val="auto"/>
              </w:rPr>
            </w:pPr>
          </w:p>
        </w:tc>
      </w:tr>
      <w:tr>
        <w:trPr>
          <w:trHeight w:val="202"/>
        </w:trPr>
        <w:tc>
          <w:tcPr>
            <w:tcW w:w="2680" w:type="dxa"/>
            <w:vAlign w:val="bottom"/>
          </w:tcPr>
          <w:p>
            <w:pPr>
              <w:spacing w:after="0"/>
              <w:rPr>
                <w:sz w:val="17"/>
                <w:szCs w:val="17"/>
                <w:color w:val="auto"/>
              </w:rPr>
            </w:pPr>
          </w:p>
        </w:tc>
        <w:tc>
          <w:tcPr>
            <w:tcW w:w="3180" w:type="dxa"/>
            <w:vAlign w:val="bottom"/>
          </w:tcPr>
          <w:p>
            <w:pPr>
              <w:ind w:left="1100"/>
              <w:spacing w:after="0"/>
              <w:rPr>
                <w:sz w:val="20"/>
                <w:szCs w:val="20"/>
                <w:color w:val="auto"/>
              </w:rPr>
            </w:pPr>
            <w:r>
              <w:rPr>
                <w:rFonts w:ascii="Arial" w:cs="Arial" w:eastAsia="Arial" w:hAnsi="Arial"/>
                <w:sz w:val="17"/>
                <w:szCs w:val="17"/>
                <w:color w:val="auto"/>
              </w:rPr>
              <w:t>St. Paul, MN 55112</w:t>
            </w:r>
          </w:p>
        </w:tc>
        <w:tc>
          <w:tcPr>
            <w:tcW w:w="5560" w:type="dxa"/>
            <w:vAlign w:val="bottom"/>
          </w:tcPr>
          <w:p>
            <w:pPr>
              <w:spacing w:after="0"/>
              <w:rPr>
                <w:sz w:val="17"/>
                <w:szCs w:val="17"/>
                <w:color w:val="auto"/>
              </w:rPr>
            </w:pPr>
          </w:p>
        </w:tc>
      </w:tr>
      <w:tr>
        <w:trPr>
          <w:trHeight w:val="214"/>
        </w:trPr>
        <w:tc>
          <w:tcPr>
            <w:tcW w:w="2680" w:type="dxa"/>
            <w:vAlign w:val="bottom"/>
          </w:tcPr>
          <w:p>
            <w:pPr>
              <w:spacing w:after="0"/>
              <w:rPr>
                <w:sz w:val="18"/>
                <w:szCs w:val="18"/>
                <w:color w:val="auto"/>
              </w:rPr>
            </w:pPr>
          </w:p>
        </w:tc>
        <w:tc>
          <w:tcPr>
            <w:tcW w:w="8740" w:type="dxa"/>
            <w:vAlign w:val="bottom"/>
            <w:gridSpan w:val="2"/>
          </w:tcPr>
          <w:p>
            <w:pPr>
              <w:ind w:left="1100"/>
              <w:spacing w:after="0"/>
              <w:rPr>
                <w:sz w:val="20"/>
                <w:szCs w:val="20"/>
                <w:color w:val="auto"/>
              </w:rPr>
            </w:pPr>
            <w:r>
              <w:rPr>
                <w:rFonts w:ascii="Arial" w:cs="Arial" w:eastAsia="Arial" w:hAnsi="Arial"/>
                <w:sz w:val="17"/>
                <w:szCs w:val="17"/>
                <w:color w:val="auto"/>
              </w:rPr>
              <w:t>Attn: Vice President Manufacturing Operations</w:t>
            </w:r>
          </w:p>
        </w:tc>
      </w:tr>
      <w:tr>
        <w:trPr>
          <w:trHeight w:val="633"/>
        </w:trPr>
        <w:tc>
          <w:tcPr>
            <w:tcW w:w="26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63"/>
        </w:trPr>
        <w:tc>
          <w:tcPr>
            <w:tcW w:w="2680" w:type="dxa"/>
            <w:vAlign w:val="bottom"/>
            <w:shd w:val="clear" w:color="auto" w:fill="000000"/>
          </w:tcPr>
          <w:p>
            <w:pPr>
              <w:spacing w:after="0"/>
              <w:rPr>
                <w:sz w:val="5"/>
                <w:szCs w:val="5"/>
                <w:color w:val="auto"/>
              </w:rPr>
            </w:pPr>
          </w:p>
        </w:tc>
        <w:tc>
          <w:tcPr>
            <w:tcW w:w="3180" w:type="dxa"/>
            <w:vAlign w:val="bottom"/>
            <w:shd w:val="clear" w:color="auto" w:fill="000000"/>
          </w:tcPr>
          <w:p>
            <w:pPr>
              <w:spacing w:after="0"/>
              <w:rPr>
                <w:sz w:val="5"/>
                <w:szCs w:val="5"/>
                <w:color w:val="auto"/>
              </w:rPr>
            </w:pPr>
          </w:p>
        </w:tc>
        <w:tc>
          <w:tcPr>
            <w:tcW w:w="55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329" w:right="239" w:bottom="1440" w:gutter="0" w:footer="0" w:header="0"/>
        </w:sectPr>
      </w:pPr>
    </w:p>
    <w:bookmarkStart w:id="169" w:name="page170"/>
    <w:bookmarkEnd w:id="169"/>
    <w:p>
      <w:pPr>
        <w:ind w:left="562" w:right="480"/>
        <w:spacing w:after="0" w:line="271" w:lineRule="auto"/>
        <w:rPr>
          <w:sz w:val="20"/>
          <w:szCs w:val="20"/>
          <w:color w:val="auto"/>
        </w:rPr>
      </w:pPr>
      <w:r>
        <w:rPr>
          <w:rFonts w:ascii="Arial" w:cs="Arial" w:eastAsia="Arial" w:hAnsi="Arial"/>
          <w:sz w:val="17"/>
          <w:szCs w:val="17"/>
          <w:color w:val="auto"/>
        </w:rPr>
        <w:t>* The abatement during the first month of the Lease Term applies to Base Rent only. Tenant shall be responsible for payment of all Additional Rent, including without limitation, Operating Costs, beginning on the Commencement Date.</w:t>
      </w:r>
    </w:p>
    <w:p>
      <w:pPr>
        <w:spacing w:after="0" w:line="165" w:lineRule="exact"/>
        <w:rPr>
          <w:sz w:val="20"/>
          <w:szCs w:val="20"/>
          <w:color w:val="auto"/>
        </w:rPr>
      </w:pPr>
    </w:p>
    <w:p>
      <w:pPr>
        <w:ind w:left="542" w:hanging="542"/>
        <w:spacing w:after="0"/>
        <w:tabs>
          <w:tab w:leader="none" w:pos="542"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Section 2.1 of the Lease is hereby deleted in its entirety and replaced with the following language:</w:t>
      </w:r>
    </w:p>
    <w:p>
      <w:pPr>
        <w:spacing w:after="0" w:line="205" w:lineRule="exact"/>
        <w:rPr>
          <w:rFonts w:ascii="Arial" w:cs="Arial" w:eastAsia="Arial" w:hAnsi="Arial"/>
          <w:sz w:val="17"/>
          <w:szCs w:val="17"/>
          <w:color w:val="auto"/>
        </w:rPr>
      </w:pPr>
    </w:p>
    <w:p>
      <w:pPr>
        <w:ind w:left="562"/>
        <w:spacing w:after="0" w:line="288" w:lineRule="auto"/>
        <w:rPr>
          <w:rFonts w:ascii="Arial" w:cs="Arial" w:eastAsia="Arial" w:hAnsi="Arial"/>
          <w:sz w:val="17"/>
          <w:szCs w:val="17"/>
          <w:color w:val="auto"/>
        </w:rPr>
      </w:pPr>
      <w:r>
        <w:rPr>
          <w:rFonts w:ascii="Arial" w:cs="Arial" w:eastAsia="Arial" w:hAnsi="Arial"/>
          <w:sz w:val="15"/>
          <w:szCs w:val="15"/>
          <w:color w:val="auto"/>
        </w:rPr>
        <w:t xml:space="preserve">"2.1 TERM; POSSESSION. The term of this Lease (the </w:t>
      </w:r>
      <w:r>
        <w:rPr>
          <w:rFonts w:ascii="Arial" w:cs="Arial" w:eastAsia="Arial" w:hAnsi="Arial"/>
          <w:sz w:val="15"/>
          <w:szCs w:val="15"/>
          <w:b w:val="1"/>
          <w:bCs w:val="1"/>
          <w:color w:val="auto"/>
        </w:rPr>
        <w:t>"Term")</w:t>
      </w:r>
      <w:r>
        <w:rPr>
          <w:rFonts w:ascii="Arial" w:cs="Arial" w:eastAsia="Arial" w:hAnsi="Arial"/>
          <w:sz w:val="15"/>
          <w:szCs w:val="15"/>
          <w:color w:val="auto"/>
        </w:rPr>
        <w:t xml:space="preserve"> shall commence on the Commencement Date as described below and, unless sooner terminated, shall expire on the Expiration Date set forth in the Basic Lease Information (the </w:t>
      </w:r>
      <w:r>
        <w:rPr>
          <w:rFonts w:ascii="Arial" w:cs="Arial" w:eastAsia="Arial" w:hAnsi="Arial"/>
          <w:sz w:val="15"/>
          <w:szCs w:val="15"/>
          <w:b w:val="1"/>
          <w:bCs w:val="1"/>
          <w:color w:val="auto"/>
        </w:rPr>
        <w:t>"Expiration Date").</w:t>
      </w:r>
      <w:r>
        <w:rPr>
          <w:rFonts w:ascii="Arial" w:cs="Arial" w:eastAsia="Arial" w:hAnsi="Arial"/>
          <w:sz w:val="15"/>
          <w:szCs w:val="15"/>
          <w:color w:val="auto"/>
        </w:rPr>
        <w:t xml:space="preserve"> The </w:t>
      </w:r>
      <w:r>
        <w:rPr>
          <w:rFonts w:ascii="Arial" w:cs="Arial" w:eastAsia="Arial" w:hAnsi="Arial"/>
          <w:sz w:val="15"/>
          <w:szCs w:val="15"/>
          <w:b w:val="1"/>
          <w:bCs w:val="1"/>
          <w:color w:val="auto"/>
        </w:rPr>
        <w:t>"Commencement Date"</w:t>
      </w:r>
      <w:r>
        <w:rPr>
          <w:rFonts w:ascii="Arial" w:cs="Arial" w:eastAsia="Arial" w:hAnsi="Arial"/>
          <w:sz w:val="15"/>
          <w:szCs w:val="15"/>
          <w:color w:val="auto"/>
        </w:rPr>
        <w:t xml:space="preserve"> shall be the earlier of (a) the date on which Landlord tenders possession of the Premises to Tenant, with all of Landlord's construction obligations, </w:t>
      </w:r>
      <w:r>
        <w:rPr>
          <w:rFonts w:ascii="Arial" w:cs="Arial" w:eastAsia="Arial" w:hAnsi="Arial"/>
          <w:sz w:val="15"/>
          <w:szCs w:val="15"/>
          <w:b w:val="1"/>
          <w:bCs w:val="1"/>
          <w:color w:val="auto"/>
        </w:rPr>
        <w:t>"Substantially</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Completed" </w:t>
      </w:r>
      <w:r>
        <w:rPr>
          <w:rFonts w:ascii="Arial" w:cs="Arial" w:eastAsia="Arial" w:hAnsi="Arial"/>
          <w:sz w:val="15"/>
          <w:szCs w:val="15"/>
          <w:color w:val="auto"/>
        </w:rPr>
        <w:t>as provided in the Construction Rider attached as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Exhibit B</w:t>
      </w:r>
      <w:r>
        <w:rPr>
          <w:rFonts w:ascii="Arial" w:cs="Arial" w:eastAsia="Arial" w:hAnsi="Arial"/>
          <w:sz w:val="15"/>
          <w:szCs w:val="15"/>
          <w:b w:val="1"/>
          <w:bCs w:val="1"/>
          <w:color w:val="auto"/>
        </w:rPr>
        <w:t xml:space="preserve"> </w:t>
      </w:r>
      <w:r>
        <w:rPr>
          <w:rFonts w:ascii="Arial" w:cs="Arial" w:eastAsia="Arial" w:hAnsi="Arial"/>
          <w:sz w:val="15"/>
          <w:szCs w:val="15"/>
          <w:color w:val="auto"/>
        </w:rPr>
        <w:t>(the</w:t>
      </w:r>
      <w:r>
        <w:rPr>
          <w:rFonts w:ascii="Arial" w:cs="Arial" w:eastAsia="Arial" w:hAnsi="Arial"/>
          <w:sz w:val="15"/>
          <w:szCs w:val="15"/>
          <w:b w:val="1"/>
          <w:bCs w:val="1"/>
          <w:color w:val="auto"/>
        </w:rPr>
        <w:t xml:space="preserve"> "Construction Rider") </w:t>
      </w:r>
      <w:r>
        <w:rPr>
          <w:rFonts w:ascii="Arial" w:cs="Arial" w:eastAsia="Arial" w:hAnsi="Arial"/>
          <w:sz w:val="15"/>
          <w:szCs w:val="15"/>
          <w:color w:val="auto"/>
        </w:rPr>
        <w:t>or, in the event of any</w:t>
      </w:r>
      <w:r>
        <w:rPr>
          <w:rFonts w:ascii="Arial" w:cs="Arial" w:eastAsia="Arial" w:hAnsi="Arial"/>
          <w:sz w:val="15"/>
          <w:szCs w:val="15"/>
          <w:b w:val="1"/>
          <w:bCs w:val="1"/>
          <w:color w:val="auto"/>
        </w:rPr>
        <w:t xml:space="preserve"> "Tenant Delay," </w:t>
      </w:r>
      <w:r>
        <w:rPr>
          <w:rFonts w:ascii="Arial" w:cs="Arial" w:eastAsia="Arial" w:hAnsi="Arial"/>
          <w:sz w:val="15"/>
          <w:szCs w:val="15"/>
          <w:color w:val="auto"/>
        </w:rPr>
        <w:t>as defined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 the Construction Rider, the date on which Landlord could have done so had there been no such Tenant Delay; or (b) the date upon which Tenant, with Landlord's written permission, actually occupies and conducts business in any portion of the Premises. The parties anticipate that the Commencement Date will occur on or about the Scheduled Commencement Date set forth in the Basic Lease Information (the </w:t>
      </w:r>
      <w:r>
        <w:rPr>
          <w:rFonts w:ascii="Arial" w:cs="Arial" w:eastAsia="Arial" w:hAnsi="Arial"/>
          <w:sz w:val="15"/>
          <w:szCs w:val="15"/>
          <w:b w:val="1"/>
          <w:bCs w:val="1"/>
          <w:color w:val="auto"/>
        </w:rPr>
        <w:t>"Scheduled Commencement Date");</w:t>
      </w:r>
      <w:r>
        <w:rPr>
          <w:rFonts w:ascii="Arial" w:cs="Arial" w:eastAsia="Arial" w:hAnsi="Arial"/>
          <w:sz w:val="15"/>
          <w:szCs w:val="15"/>
          <w:color w:val="auto"/>
        </w:rPr>
        <w:t xml:space="preserve"> provided, however, that Landlord shall not be liable for any claims, damages or liabilities except those specifically provided for in Section 2.1.1 if the Premises are not ready for occupancy by the Scheduled Commencement Date. When the Commencement Date has been established, Landlord and Tenant shall at the request of either party confirm the Commencement Date and Expiration Date in writing.</w:t>
      </w:r>
    </w:p>
    <w:p>
      <w:pPr>
        <w:spacing w:after="0" w:line="161" w:lineRule="exact"/>
        <w:rPr>
          <w:sz w:val="20"/>
          <w:szCs w:val="20"/>
          <w:color w:val="auto"/>
        </w:rPr>
      </w:pPr>
    </w:p>
    <w:p>
      <w:pPr>
        <w:ind w:left="562" w:right="100" w:firstLine="546"/>
        <w:spacing w:after="0" w:line="254" w:lineRule="auto"/>
        <w:rPr>
          <w:sz w:val="20"/>
          <w:szCs w:val="20"/>
          <w:color w:val="auto"/>
        </w:rPr>
      </w:pPr>
      <w:r>
        <w:rPr>
          <w:rFonts w:ascii="Arial" w:cs="Arial" w:eastAsia="Arial" w:hAnsi="Arial"/>
          <w:sz w:val="17"/>
          <w:szCs w:val="17"/>
          <w:color w:val="auto"/>
        </w:rPr>
        <w:t>2.1.1. In the event Landlord does not deliver possession of the Substantially Completed Premises to Tenant by August 1, 2008, and such failure is not caused by any of the events described in Section 26 — Force Majeure — or by Tenant Delay, Tenant shall receive a credit against Rent first coming due in an amount equal to one day's Rent for each day of delay. By way of example, if Landlord delivers possession of the Substantially Completed Premises to Tenant on August 5, 2008 (and such delay was not caused by a Force Majeure or Tenant Delay), Tenant's liability for Rent would commence on August 10, 2008.</w:t>
      </w:r>
    </w:p>
    <w:p>
      <w:pPr>
        <w:spacing w:after="0" w:line="180" w:lineRule="exact"/>
        <w:rPr>
          <w:sz w:val="20"/>
          <w:szCs w:val="20"/>
          <w:color w:val="auto"/>
        </w:rPr>
      </w:pPr>
    </w:p>
    <w:p>
      <w:pPr>
        <w:ind w:left="1102"/>
        <w:spacing w:after="0"/>
        <w:rPr>
          <w:sz w:val="20"/>
          <w:szCs w:val="20"/>
          <w:color w:val="auto"/>
        </w:rPr>
      </w:pPr>
      <w:r>
        <w:rPr>
          <w:rFonts w:ascii="Arial" w:cs="Arial" w:eastAsia="Arial" w:hAnsi="Arial"/>
          <w:sz w:val="17"/>
          <w:szCs w:val="17"/>
          <w:color w:val="auto"/>
        </w:rPr>
        <w:t>2.1.2. Tenant agrees to pay Landlord up to the sum of One Hundred Seventy Five</w:t>
      </w:r>
    </w:p>
    <w:p>
      <w:pPr>
        <w:spacing w:after="0" w:line="19" w:lineRule="exact"/>
        <w:rPr>
          <w:sz w:val="20"/>
          <w:szCs w:val="20"/>
          <w:color w:val="auto"/>
        </w:rPr>
      </w:pPr>
    </w:p>
    <w:p>
      <w:pPr>
        <w:ind w:left="562" w:right="560"/>
        <w:spacing w:after="0" w:line="272" w:lineRule="auto"/>
        <w:rPr>
          <w:sz w:val="20"/>
          <w:szCs w:val="20"/>
          <w:color w:val="auto"/>
        </w:rPr>
      </w:pPr>
      <w:r>
        <w:rPr>
          <w:rFonts w:ascii="Arial" w:cs="Arial" w:eastAsia="Arial" w:hAnsi="Arial"/>
          <w:sz w:val="16"/>
          <w:szCs w:val="16"/>
          <w:color w:val="auto"/>
        </w:rPr>
        <w:t>Thousand and 00/100 Dollars ($175,000.00) to defray Landlord's increased cost of construction of the Tenant Improvements, including without limitation, premium time and other construction methods, necessary to change the Scheduled Commencement Date to July 1, 2008. Said increased construction costs may be invoiced by Landlord to Tenant on a monthly basis and shall be due and payable by Tenant within fifteen (15) days after receipt of such invoice(s) from Landlord specifying the increased construction costs incurred by Landlord.</w:t>
      </w:r>
    </w:p>
    <w:p>
      <w:pPr>
        <w:spacing w:after="0" w:line="166" w:lineRule="exact"/>
        <w:rPr>
          <w:sz w:val="20"/>
          <w:szCs w:val="20"/>
          <w:color w:val="auto"/>
        </w:rPr>
      </w:pPr>
    </w:p>
    <w:p>
      <w:pPr>
        <w:ind w:left="562" w:right="160" w:firstLine="546"/>
        <w:spacing w:after="0" w:line="277" w:lineRule="auto"/>
        <w:rPr>
          <w:sz w:val="20"/>
          <w:szCs w:val="20"/>
          <w:color w:val="auto"/>
        </w:rPr>
      </w:pPr>
      <w:r>
        <w:rPr>
          <w:rFonts w:ascii="Arial" w:cs="Arial" w:eastAsia="Arial" w:hAnsi="Arial"/>
          <w:sz w:val="16"/>
          <w:szCs w:val="16"/>
          <w:color w:val="auto"/>
        </w:rPr>
        <w:t>2.1.3. Landlord's obligation to deliver the Premises Substantially Complete by the deadlines set forth in the Lease, as amended hereby, is subject to the following conditions: (i) the City of New Brighton inspectors being available when requested by Landlord, it being agreed that the failure of said condition shall constitute a Force Majeure delay so long as the inspection delay is outside Landlord's reasonable control, and (ii) the following additional conditions, it being agreed that any delay in timely completing any such conditions shall constitute a Tenant Delay: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384175</wp:posOffset>
            </wp:positionV>
            <wp:extent cx="7255510" cy="400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22"/>
          </w:cols>
          <w:pgMar w:left="418" w:top="329" w:right="459" w:bottom="1440" w:gutter="0" w:footer="0" w:header="0"/>
        </w:sectPr>
      </w:pPr>
    </w:p>
    <w:bookmarkStart w:id="170" w:name="page171"/>
    <w:bookmarkEnd w:id="170"/>
    <w:p>
      <w:pPr>
        <w:ind w:left="1962" w:hanging="742"/>
        <w:spacing w:after="0"/>
        <w:tabs>
          <w:tab w:leader="none" w:pos="1962"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Tenant shall notify Landlord in writing of Tenant's furniture installation schedule by March 15, 2008.</w:t>
      </w:r>
    </w:p>
    <w:p>
      <w:pPr>
        <w:spacing w:after="0" w:line="209" w:lineRule="exact"/>
        <w:rPr>
          <w:rFonts w:ascii="Arial" w:cs="Arial" w:eastAsia="Arial" w:hAnsi="Arial"/>
          <w:sz w:val="17"/>
          <w:szCs w:val="17"/>
          <w:color w:val="auto"/>
        </w:rPr>
      </w:pPr>
    </w:p>
    <w:p>
      <w:pPr>
        <w:ind w:left="562" w:firstLine="658"/>
        <w:spacing w:after="0" w:line="260" w:lineRule="auto"/>
        <w:tabs>
          <w:tab w:leader="none" w:pos="1971"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Tenant, via its union contractors as described in Paragraph 5 of this Amendment, shall complete installation of any modular furniture systems requiring electrical hookups by June 15, 2008, provided, however, that Landlord has afforded early entry to Tenant pursuant to Paragraph 5 no later than May 15, 2008.</w:t>
      </w:r>
    </w:p>
    <w:p>
      <w:pPr>
        <w:spacing w:after="0" w:line="174" w:lineRule="exact"/>
        <w:rPr>
          <w:rFonts w:ascii="Arial" w:cs="Arial" w:eastAsia="Arial" w:hAnsi="Arial"/>
          <w:sz w:val="17"/>
          <w:szCs w:val="17"/>
          <w:color w:val="auto"/>
        </w:rPr>
      </w:pPr>
    </w:p>
    <w:p>
      <w:pPr>
        <w:ind w:left="542" w:right="80" w:hanging="542"/>
        <w:spacing w:after="0" w:line="283" w:lineRule="auto"/>
        <w:tabs>
          <w:tab w:leader="none" w:pos="542"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Energy Savings Changes.</w:t>
      </w:r>
      <w:r>
        <w:rPr>
          <w:rFonts w:ascii="Arial" w:cs="Arial" w:eastAsia="Arial" w:hAnsi="Arial"/>
          <w:sz w:val="16"/>
          <w:szCs w:val="16"/>
          <w:color w:val="auto"/>
        </w:rPr>
        <w:t xml:space="preserve"> Landlord agrees to make the Energy Savings Changes set forth on Exhibit A attached to this Amendment as part of Landlord's construction work. In consideration thereof, and notwithstanding anything to the contrary contained in Section 3.2(a)(1)(G) of the Lease, the Base Rent payable under the Lease during the initial Term shall be increased as set forth in Paragraph 2 of this Amendment.</w:t>
      </w:r>
    </w:p>
    <w:p>
      <w:pPr>
        <w:spacing w:after="0" w:line="158" w:lineRule="exact"/>
        <w:rPr>
          <w:rFonts w:ascii="Arial" w:cs="Arial" w:eastAsia="Arial" w:hAnsi="Arial"/>
          <w:sz w:val="16"/>
          <w:szCs w:val="16"/>
          <w:color w:val="auto"/>
        </w:rPr>
      </w:pPr>
    </w:p>
    <w:p>
      <w:pPr>
        <w:ind w:left="542" w:hanging="542"/>
        <w:spacing w:after="0" w:line="289" w:lineRule="auto"/>
        <w:tabs>
          <w:tab w:leader="none" w:pos="542"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t>Limited Early Entry Right.</w:t>
      </w:r>
      <w:r>
        <w:rPr>
          <w:rFonts w:ascii="Arial" w:cs="Arial" w:eastAsia="Arial" w:hAnsi="Arial"/>
          <w:sz w:val="15"/>
          <w:szCs w:val="15"/>
          <w:color w:val="auto"/>
        </w:rPr>
        <w:t xml:space="preserve"> Landlord agrees that prior to the Commencement Date upon written notice by Landlord to Tenant that Landlord's construction work has progressed sufficiently as reasonably determined by Landlord, Tenant's union contractors shall have access to the Premises to install its modular furniture systems in portions of the Premises designated by Landlord and to install certain trade fixtures or equipment in certain clean room areas designated by Landlord. Tenant agrees that its union contractors having such early entry shall not interfere with the completion of Landlord's construction work in the Premises and Tenant shall be responsible for any delay, adverse consequences, loss, cost or damages incurred by Landlord by reason thereof. Tenant understands and agrees that Tenant must use union contractors and labor recognized and approved by the Building Trades Council having jurisdiction over Minneapolis, Minnesota in completing installation of all Tenant's furniture, Low Voltage, equipment, trade fixtures, etc... prior to completion of work by Landlord and delivery of possession of the Premises to Tenant.</w:t>
      </w:r>
    </w:p>
    <w:p>
      <w:pPr>
        <w:spacing w:after="0" w:line="160" w:lineRule="exact"/>
        <w:rPr>
          <w:rFonts w:ascii="Arial" w:cs="Arial" w:eastAsia="Arial" w:hAnsi="Arial"/>
          <w:sz w:val="15"/>
          <w:szCs w:val="15"/>
          <w:color w:val="auto"/>
        </w:rPr>
      </w:pPr>
    </w:p>
    <w:p>
      <w:pPr>
        <w:ind w:left="542" w:right="100" w:hanging="542"/>
        <w:spacing w:after="0" w:line="271" w:lineRule="auto"/>
        <w:tabs>
          <w:tab w:leader="none" w:pos="542"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Joinder by Limited Guarantor.</w:t>
      </w:r>
      <w:r>
        <w:rPr>
          <w:rFonts w:ascii="Arial" w:cs="Arial" w:eastAsia="Arial" w:hAnsi="Arial"/>
          <w:sz w:val="17"/>
          <w:szCs w:val="17"/>
          <w:color w:val="auto"/>
        </w:rPr>
        <w:t xml:space="preserve"> Limited Guarantor joins in this Amendment for the sole purpose of confirming that nothing contained in this Amendment shall be deemed to terminate, reduce or otherwise alter Limited Guarantor's obligations under Section 36 of the Lease.</w:t>
      </w:r>
    </w:p>
    <w:p>
      <w:pPr>
        <w:spacing w:after="0" w:line="165" w:lineRule="exact"/>
        <w:rPr>
          <w:rFonts w:ascii="Arial" w:cs="Arial" w:eastAsia="Arial" w:hAnsi="Arial"/>
          <w:sz w:val="17"/>
          <w:szCs w:val="17"/>
          <w:color w:val="auto"/>
        </w:rPr>
      </w:pPr>
    </w:p>
    <w:p>
      <w:pPr>
        <w:ind w:left="542" w:right="60" w:hanging="542"/>
        <w:spacing w:after="0" w:line="271" w:lineRule="auto"/>
        <w:tabs>
          <w:tab w:leader="none" w:pos="542"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Except as otherwise provided herein, all capitalized terms used herein shall have the meaning ascribed to them in the Lease, including without limitation the Construction Rider attached to the Lease as Exhibit B. Except as specifically modified herein, all of the covenants, conditions, and obligations under the Lease shall remain unchanged and in full force and effect. In the event of a conflict between the terms of the Lease and this Amendment, the terms of this Amendment shall prevail. This Amendment shall be binding upon the parties hereto and their respective successors and assigns. This Amendment may be executed in one or more counterparts each of which when so executed and delivered shall constitute an original, but together said counterparts shall constitute one and the same instrument.</w:t>
      </w:r>
    </w:p>
    <w:p>
      <w:pPr>
        <w:spacing w:after="0" w:line="171" w:lineRule="exact"/>
        <w:rPr>
          <w:sz w:val="20"/>
          <w:szCs w:val="20"/>
          <w:color w:val="auto"/>
        </w:rPr>
      </w:pPr>
    </w:p>
    <w:p>
      <w:pPr>
        <w:ind w:left="2"/>
        <w:spacing w:after="0"/>
        <w:rPr>
          <w:sz w:val="20"/>
          <w:szCs w:val="20"/>
          <w:color w:val="auto"/>
        </w:rPr>
      </w:pPr>
      <w:r>
        <w:rPr>
          <w:rFonts w:ascii="Arial" w:cs="Arial" w:eastAsia="Arial" w:hAnsi="Arial"/>
          <w:sz w:val="17"/>
          <w:szCs w:val="17"/>
          <w:color w:val="auto"/>
        </w:rPr>
        <w:t>(signatures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414020</wp:posOffset>
            </wp:positionV>
            <wp:extent cx="7255510" cy="400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922"/>
          </w:cols>
          <w:pgMar w:left="418" w:top="330" w:right="559" w:bottom="1440" w:gutter="0" w:footer="0" w:header="0"/>
        </w:sectPr>
      </w:pPr>
    </w:p>
    <w:bookmarkStart w:id="171" w:name="page172"/>
    <w:bookmarkEnd w:id="171"/>
    <w:p>
      <w:pPr>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parties have executed this Amendment as of the latest of the signature dates set forth hereinbelow.</w:t>
      </w:r>
    </w:p>
    <w:p>
      <w:pPr>
        <w:sectPr>
          <w:pgSz w:w="11900" w:h="16838" w:orient="portrait"/>
          <w:cols w:equalWidth="0" w:num="1">
            <w:col w:w="10219"/>
          </w:cols>
          <w:pgMar w:left="240" w:top="326" w:right="1440" w:bottom="144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LANDLORD</w:t>
      </w:r>
      <w:r>
        <w:rPr>
          <w:rFonts w:ascii="Arial" w:cs="Arial" w:eastAsia="Arial" w:hAnsi="Arial"/>
          <w:sz w:val="17"/>
          <w:szCs w:val="17"/>
          <w:b w:val="1"/>
          <w:bCs w:val="1"/>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NEW BRIGHTON 14</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STREET LLC</w:t>
      </w:r>
    </w:p>
    <w:p>
      <w:pPr>
        <w:spacing w:after="0" w:line="154"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Authorized Signatory</w:t>
      </w:r>
    </w:p>
    <w:p>
      <w:pPr>
        <w:spacing w:after="0" w:line="1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Its:</w:t>
      </w:r>
      <w:r>
        <w:rPr>
          <w:sz w:val="20"/>
          <w:szCs w:val="20"/>
          <w:color w:val="auto"/>
        </w:rPr>
        <w:tab/>
      </w:r>
      <w:r>
        <w:rPr>
          <w:rFonts w:ascii="Arial" w:cs="Arial" w:eastAsia="Arial" w:hAnsi="Arial"/>
          <w:sz w:val="17"/>
          <w:szCs w:val="17"/>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-123190</wp:posOffset>
            </wp:positionV>
            <wp:extent cx="208089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9">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Dated: February 26,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12700</wp:posOffset>
            </wp:positionV>
            <wp:extent cx="20808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0">
                      <a:extLst>
                        <a:ext uri="{28A0092B-C50C-407E-A947-70E740481C1C}"/>
                      </a:extLst>
                    </a:blip>
                    <a:srcRect/>
                    <a:stretch>
                      <a:fillRect/>
                    </a:stretch>
                  </pic:blipFill>
                  <pic:spPr bwMode="auto">
                    <a:xfrm>
                      <a:off x="0" y="0"/>
                      <a:ext cx="2080895" cy="8255"/>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-123190</wp:posOffset>
            </wp:positionV>
            <wp:extent cx="20808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1">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LIMITED GUARANTOR</w:t>
      </w:r>
      <w:r>
        <w:rPr>
          <w:rFonts w:ascii="Arial" w:cs="Arial" w:eastAsia="Arial" w:hAnsi="Arial"/>
          <w:sz w:val="17"/>
          <w:szCs w:val="17"/>
          <w:b w:val="1"/>
          <w:bCs w:val="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RYAN COMPANIES US, INC.</w:t>
      </w:r>
    </w:p>
    <w:p>
      <w:pPr>
        <w:spacing w:after="0" w:line="20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Authorized Signatory</w:t>
      </w:r>
    </w:p>
    <w:p>
      <w:pPr>
        <w:spacing w:after="0" w:line="1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Its:</w:t>
      </w:r>
      <w:r>
        <w:rPr>
          <w:sz w:val="20"/>
          <w:szCs w:val="20"/>
          <w:color w:val="auto"/>
        </w:rPr>
        <w:tab/>
      </w:r>
      <w:r>
        <w:rPr>
          <w:rFonts w:ascii="Arial" w:cs="Arial" w:eastAsia="Arial" w:hAnsi="Arial"/>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-123190</wp:posOffset>
            </wp:positionV>
            <wp:extent cx="20808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2">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Dated: February 26,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12700</wp:posOffset>
            </wp:positionV>
            <wp:extent cx="20808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3">
                      <a:extLst>
                        <a:ext uri="{28A0092B-C50C-407E-A947-70E740481C1C}"/>
                      </a:extLst>
                    </a:blip>
                    <a:srcRect/>
                    <a:stretch>
                      <a:fillRect/>
                    </a:stretch>
                  </pic:blipFill>
                  <pic:spPr bwMode="auto">
                    <a:xfrm>
                      <a:off x="0" y="0"/>
                      <a:ext cx="2080895" cy="8255"/>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-123190</wp:posOffset>
            </wp:positionV>
            <wp:extent cx="20808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4">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TENANT</w:t>
      </w:r>
      <w:r>
        <w:rPr>
          <w:rFonts w:ascii="Arial" w:cs="Arial" w:eastAsia="Arial" w:hAnsi="Arial"/>
          <w:sz w:val="17"/>
          <w:szCs w:val="17"/>
          <w:b w:val="1"/>
          <w:bCs w:val="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TRANSOMA MEDICAL, INC.</w:t>
      </w:r>
    </w:p>
    <w:p>
      <w:pPr>
        <w:spacing w:after="0" w:line="25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Charles Coggin</w:t>
      </w:r>
    </w:p>
    <w:p>
      <w:pPr>
        <w:spacing w:after="0" w:line="1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Its:</w:t>
      </w:r>
      <w:r>
        <w:rPr>
          <w:sz w:val="20"/>
          <w:szCs w:val="20"/>
          <w:color w:val="auto"/>
        </w:rPr>
        <w:tab/>
      </w:r>
      <w:r>
        <w:rPr>
          <w:rFonts w:ascii="Arial" w:cs="Arial" w:eastAsia="Arial" w:hAnsi="Arial"/>
          <w:sz w:val="17"/>
          <w:szCs w:val="17"/>
          <w:color w:val="auto"/>
        </w:rPr>
        <w:t>VP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-123190</wp:posOffset>
            </wp:positionV>
            <wp:extent cx="20891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5">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Dated: February 15,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12700</wp:posOffset>
            </wp:positionV>
            <wp:extent cx="20891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6">
                      <a:extLst>
                        <a:ext uri="{28A0092B-C50C-407E-A947-70E740481C1C}"/>
                      </a:extLst>
                    </a:blip>
                    <a:srcRect/>
                    <a:stretch>
                      <a:fillRect/>
                    </a:stretch>
                  </pic:blipFill>
                  <pic:spPr bwMode="auto">
                    <a:xfrm>
                      <a:off x="0" y="0"/>
                      <a:ext cx="2089150" cy="8255"/>
                    </a:xfrm>
                    <a:prstGeom prst="rect">
                      <a:avLst/>
                    </a:prstGeom>
                    <a:noFill/>
                  </pic:spPr>
                </pic:pic>
              </a:graphicData>
            </a:graphic>
          </wp:anchor>
        </w:drawing>
        <w:drawing>
          <wp:anchor simplePos="0" relativeHeight="251657728" behindDoc="1" locked="0" layoutInCell="0" allowOverlap="1">
            <wp:simplePos x="0" y="0"/>
            <wp:positionH relativeFrom="column">
              <wp:posOffset>315595</wp:posOffset>
            </wp:positionH>
            <wp:positionV relativeFrom="paragraph">
              <wp:posOffset>-123190</wp:posOffset>
            </wp:positionV>
            <wp:extent cx="20891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7">
                      <a:extLst>
                        <a:ext uri="{28A0092B-C50C-407E-A947-70E740481C1C}"/>
                      </a:extLst>
                    </a:blip>
                    <a:srcRect/>
                    <a:stretch>
                      <a:fillRect/>
                    </a:stretch>
                  </pic:blipFill>
                  <pic:spPr bwMode="auto">
                    <a:xfrm>
                      <a:off x="0" y="0"/>
                      <a:ext cx="2089150" cy="825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2110105</wp:posOffset>
            </wp:positionV>
            <wp:extent cx="7255510" cy="400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2">
            <w:col w:w="6920" w:space="720"/>
            <w:col w:w="2579"/>
          </w:cols>
          <w:pgMar w:left="240" w:top="326" w:right="1440" w:bottom="1440" w:gutter="0" w:footer="0" w:header="0"/>
          <w:type w:val="continuous"/>
        </w:sectPr>
      </w:pPr>
    </w:p>
    <w:bookmarkStart w:id="172" w:name="page173"/>
    <w:bookmarkEnd w:id="172"/>
    <w:p>
      <w:pPr>
        <w:spacing w:after="0"/>
        <w:rPr>
          <w:sz w:val="20"/>
          <w:szCs w:val="20"/>
          <w:color w:val="auto"/>
        </w:rPr>
      </w:pPr>
      <w:r>
        <w:rPr>
          <w:rFonts w:ascii="Arial" w:cs="Arial" w:eastAsia="Arial" w:hAnsi="Arial"/>
          <w:sz w:val="17"/>
          <w:szCs w:val="17"/>
          <w:u w:val="single" w:color="auto"/>
          <w:color w:val="auto"/>
        </w:rPr>
        <w:t>First Amendment of Lease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EXHIBIT A</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List of Energy Savings Changes</w:t>
      </w:r>
    </w:p>
    <w:p>
      <w:pPr>
        <w:spacing w:after="0" w:line="209" w:lineRule="exact"/>
        <w:rPr>
          <w:sz w:val="20"/>
          <w:szCs w:val="20"/>
          <w:color w:val="auto"/>
        </w:rPr>
      </w:pPr>
    </w:p>
    <w:p>
      <w:pPr>
        <w:ind w:left="480" w:hanging="302"/>
        <w:spacing w:after="0"/>
        <w:tabs>
          <w:tab w:leader="none" w:pos="4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Strategic dual level switching in the offices &amp; huddle room (100 locations total)</w:t>
      </w:r>
    </w:p>
    <w:p>
      <w:pPr>
        <w:spacing w:after="0" w:line="209" w:lineRule="exact"/>
        <w:rPr>
          <w:rFonts w:ascii="Arial" w:cs="Arial" w:eastAsia="Arial" w:hAnsi="Arial"/>
          <w:sz w:val="17"/>
          <w:szCs w:val="17"/>
          <w:color w:val="auto"/>
        </w:rPr>
      </w:pPr>
    </w:p>
    <w:p>
      <w:pPr>
        <w:ind w:left="480" w:hanging="302"/>
        <w:spacing w:after="0"/>
        <w:tabs>
          <w:tab w:leader="none" w:pos="4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Occupancy sensors in all offices (74 locations total)</w:t>
      </w:r>
    </w:p>
    <w:p>
      <w:pPr>
        <w:spacing w:after="0" w:line="209" w:lineRule="exact"/>
        <w:rPr>
          <w:rFonts w:ascii="Arial" w:cs="Arial" w:eastAsia="Arial" w:hAnsi="Arial"/>
          <w:sz w:val="17"/>
          <w:szCs w:val="17"/>
          <w:color w:val="auto"/>
        </w:rPr>
      </w:pPr>
    </w:p>
    <w:p>
      <w:pPr>
        <w:ind w:left="480" w:hanging="302"/>
        <w:spacing w:after="0"/>
        <w:tabs>
          <w:tab w:leader="none" w:pos="4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Occupancy sensors in the conference rooms. (28 locations)</w:t>
      </w:r>
    </w:p>
    <w:p>
      <w:pPr>
        <w:spacing w:after="0" w:line="209" w:lineRule="exact"/>
        <w:rPr>
          <w:rFonts w:ascii="Arial" w:cs="Arial" w:eastAsia="Arial" w:hAnsi="Arial"/>
          <w:sz w:val="17"/>
          <w:szCs w:val="17"/>
          <w:color w:val="auto"/>
        </w:rPr>
      </w:pPr>
    </w:p>
    <w:p>
      <w:pPr>
        <w:ind w:left="480" w:hanging="302"/>
        <w:spacing w:after="0"/>
        <w:tabs>
          <w:tab w:leader="none" w:pos="4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Occupancy sensors in the bathrooms &amp; showers. (12 rooms)</w:t>
      </w:r>
    </w:p>
    <w:p>
      <w:pPr>
        <w:spacing w:after="0" w:line="209" w:lineRule="exact"/>
        <w:rPr>
          <w:rFonts w:ascii="Arial" w:cs="Arial" w:eastAsia="Arial" w:hAnsi="Arial"/>
          <w:sz w:val="17"/>
          <w:szCs w:val="17"/>
          <w:color w:val="auto"/>
        </w:rPr>
      </w:pPr>
    </w:p>
    <w:p>
      <w:pPr>
        <w:ind w:left="480" w:hanging="302"/>
        <w:spacing w:after="0"/>
        <w:tabs>
          <w:tab w:leader="none" w:pos="4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Daylight harvesting with dimming fixtures. (155 fixtures in 18 zones).</w:t>
      </w:r>
    </w:p>
    <w:p>
      <w:pPr>
        <w:spacing w:after="0" w:line="209" w:lineRule="exact"/>
        <w:rPr>
          <w:rFonts w:ascii="Arial" w:cs="Arial" w:eastAsia="Arial" w:hAnsi="Arial"/>
          <w:sz w:val="17"/>
          <w:szCs w:val="17"/>
          <w:color w:val="auto"/>
        </w:rPr>
      </w:pPr>
    </w:p>
    <w:p>
      <w:pPr>
        <w:ind w:left="480" w:hanging="302"/>
        <w:spacing w:after="0"/>
        <w:tabs>
          <w:tab w:leader="none" w:pos="4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Upgrade all T8 lamps to Super T8s, approximately 4,000 lamps.</w:t>
      </w:r>
    </w:p>
    <w:p>
      <w:pPr>
        <w:spacing w:after="0" w:line="209" w:lineRule="exact"/>
        <w:rPr>
          <w:rFonts w:ascii="Arial" w:cs="Arial" w:eastAsia="Arial" w:hAnsi="Arial"/>
          <w:sz w:val="17"/>
          <w:szCs w:val="17"/>
          <w:color w:val="auto"/>
        </w:rPr>
      </w:pPr>
    </w:p>
    <w:p>
      <w:pPr>
        <w:ind w:left="480" w:hanging="302"/>
        <w:spacing w:after="0" w:line="271" w:lineRule="auto"/>
        <w:tabs>
          <w:tab w:leader="none" w:pos="4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Relay controls and override switches for lighting connected with the building's EMS that allows for a central sweep. Emergency and night lights are not controlled.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528955</wp:posOffset>
            </wp:positionV>
            <wp:extent cx="7275830"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9">
                      <a:extLst>
                        <a:ext uri="{28A0092B-C50C-407E-A947-70E740481C1C}"/>
                      </a:extLst>
                    </a:blip>
                    <a:srcRect/>
                    <a:stretch>
                      <a:fillRect/>
                    </a:stretch>
                  </pic:blipFill>
                  <pic:spPr bwMode="auto">
                    <a:xfrm>
                      <a:off x="0" y="0"/>
                      <a:ext cx="7275830" cy="36830"/>
                    </a:xfrm>
                    <a:prstGeom prst="rect">
                      <a:avLst/>
                    </a:prstGeom>
                    <a:noFill/>
                  </pic:spPr>
                </pic:pic>
              </a:graphicData>
            </a:graphic>
          </wp:anchor>
        </w:drawing>
      </w:r>
    </w:p>
    <w:p>
      <w:pPr>
        <w:sectPr>
          <w:pgSz w:w="11900" w:h="16838" w:orient="portrait"/>
          <w:cols w:equalWidth="0" w:num="1">
            <w:col w:w="10720"/>
          </w:cols>
          <w:pgMar w:left="240" w:top="330" w:right="939" w:bottom="1440" w:gutter="0" w:footer="0" w:header="0"/>
        </w:sectPr>
      </w:pPr>
    </w:p>
    <w:bookmarkStart w:id="173" w:name="page174"/>
    <w:bookmarkEnd w:id="173"/>
    <w:p>
      <w:pPr>
        <w:spacing w:after="0"/>
        <w:rPr>
          <w:sz w:val="20"/>
          <w:szCs w:val="20"/>
          <w:color w:val="auto"/>
        </w:rPr>
      </w:pPr>
      <w:r>
        <w:rPr>
          <w:rFonts w:ascii="Arial" w:cs="Arial" w:eastAsia="Arial" w:hAnsi="Arial"/>
          <w:sz w:val="17"/>
          <w:szCs w:val="17"/>
          <w:b w:val="1"/>
          <w:bCs w:val="1"/>
          <w:color w:val="auto"/>
        </w:rPr>
        <w:t>EXHIBIT 10.45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 AMENDMENT TO LEASE</w:t>
      </w:r>
    </w:p>
    <w:p>
      <w:pPr>
        <w:spacing w:after="0" w:line="215" w:lineRule="exact"/>
        <w:rPr>
          <w:sz w:val="20"/>
          <w:szCs w:val="20"/>
          <w:color w:val="auto"/>
        </w:rPr>
      </w:pPr>
    </w:p>
    <w:p>
      <w:pPr>
        <w:ind w:right="860"/>
        <w:spacing w:after="0" w:line="210" w:lineRule="auto"/>
        <w:rPr>
          <w:sz w:val="20"/>
          <w:szCs w:val="20"/>
          <w:color w:val="auto"/>
        </w:rPr>
      </w:pPr>
      <w:r>
        <w:rPr>
          <w:rFonts w:ascii="Arial" w:cs="Arial" w:eastAsia="Arial" w:hAnsi="Arial"/>
          <w:sz w:val="17"/>
          <w:szCs w:val="17"/>
          <w:color w:val="auto"/>
        </w:rPr>
        <w:t>This Second Amendment to Lease, dated as of August 4, 2008, (Second Amendment), between New Brighton 14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LLC, a Minnesota limited liability company (Landlord) and Transoma Medical, Inc., a Delaware corporation (Tenant).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WITHNESSETH, </w:t>
      </w:r>
      <w:r>
        <w:rPr>
          <w:rFonts w:ascii="Arial" w:cs="Arial" w:eastAsia="Arial" w:hAnsi="Arial"/>
          <w:sz w:val="17"/>
          <w:szCs w:val="17"/>
          <w:color w:val="auto"/>
        </w:rPr>
        <w:t>that:</w:t>
      </w:r>
    </w:p>
    <w:p>
      <w:pPr>
        <w:spacing w:after="0" w:line="209" w:lineRule="exact"/>
        <w:rPr>
          <w:sz w:val="20"/>
          <w:szCs w:val="20"/>
          <w:color w:val="auto"/>
        </w:rPr>
      </w:pPr>
    </w:p>
    <w:p>
      <w:pPr>
        <w:ind w:right="540" w:firstLine="607"/>
        <w:spacing w:after="0" w:line="302"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Landlord and Tenant entered into a Lease dated October 1, 2007; and amended February 26, 2008, whereby Landlord has leased to Tenant</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premises located at 119 14</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Street NW, New Brighton, MN consisting of the Leased Premises as defined in the Lease; and</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Landlord and Tenant desire and intend hereby to further amend the Lease as specifically hereinafter set forth and provided.</w:t>
      </w:r>
    </w:p>
    <w:p>
      <w:pPr>
        <w:spacing w:after="0" w:line="209" w:lineRule="exact"/>
        <w:rPr>
          <w:sz w:val="20"/>
          <w:szCs w:val="20"/>
          <w:color w:val="auto"/>
        </w:rPr>
      </w:pPr>
    </w:p>
    <w:p>
      <w:pPr>
        <w:ind w:right="840" w:firstLine="607"/>
        <w:spacing w:after="0" w:line="308"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above Premises, the mutual covenants and agreements contained herein and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acknowledged by the parties hereto, Landlord and Tenant agree that:</w:t>
      </w:r>
    </w:p>
    <w:p>
      <w:pPr>
        <w:spacing w:after="0" w:line="139" w:lineRule="exact"/>
        <w:rPr>
          <w:sz w:val="20"/>
          <w:szCs w:val="20"/>
          <w:color w:val="auto"/>
        </w:rPr>
      </w:pPr>
    </w:p>
    <w:p>
      <w:pPr>
        <w:ind w:left="2100" w:hanging="884"/>
        <w:spacing w:after="0"/>
        <w:tabs>
          <w:tab w:leader="none" w:pos="21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Lease Commencement date shall be July 1, 2008</w:t>
      </w:r>
    </w:p>
    <w:p>
      <w:pPr>
        <w:spacing w:after="0" w:line="209" w:lineRule="exact"/>
        <w:rPr>
          <w:rFonts w:ascii="Arial" w:cs="Arial" w:eastAsia="Arial" w:hAnsi="Arial"/>
          <w:sz w:val="17"/>
          <w:szCs w:val="17"/>
          <w:color w:val="auto"/>
        </w:rPr>
      </w:pPr>
    </w:p>
    <w:p>
      <w:pPr>
        <w:ind w:left="2100" w:hanging="884"/>
        <w:spacing w:after="0"/>
        <w:tabs>
          <w:tab w:leader="none" w:pos="21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Lease Expiration Date shall be June 30, 2020.</w:t>
      </w:r>
    </w:p>
    <w:p>
      <w:pPr>
        <w:spacing w:after="0" w:line="209" w:lineRule="exact"/>
        <w:rPr>
          <w:rFonts w:ascii="Arial" w:cs="Arial" w:eastAsia="Arial" w:hAnsi="Arial"/>
          <w:sz w:val="17"/>
          <w:szCs w:val="17"/>
          <w:color w:val="auto"/>
        </w:rPr>
      </w:pPr>
    </w:p>
    <w:p>
      <w:pPr>
        <w:ind w:left="2100" w:hanging="884"/>
        <w:spacing w:after="0"/>
        <w:tabs>
          <w:tab w:leader="none" w:pos="21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Premises contains 115,667 of Rentable Area.</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 xml:space="preserve">EXCEPT </w:t>
      </w:r>
      <w:r>
        <w:rPr>
          <w:rFonts w:ascii="Arial" w:cs="Arial" w:eastAsia="Arial" w:hAnsi="Arial"/>
          <w:sz w:val="17"/>
          <w:szCs w:val="17"/>
          <w:color w:val="auto"/>
        </w:rPr>
        <w:t>as expressly amended or supplemented herein, the Lease shall remain and continue in full force and effect.</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this Amendment is hereby executed and delivered as of the date first above written.</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80" w:type="dxa"/>
            <w:vAlign w:val="bottom"/>
            <w:gridSpan w:val="2"/>
          </w:tcPr>
          <w:p>
            <w:pPr>
              <w:spacing w:after="0"/>
              <w:rPr>
                <w:sz w:val="20"/>
                <w:szCs w:val="20"/>
                <w:color w:val="auto"/>
              </w:rPr>
            </w:pPr>
            <w:r>
              <w:rPr>
                <w:rFonts w:ascii="Arial" w:cs="Arial" w:eastAsia="Arial" w:hAnsi="Arial"/>
                <w:sz w:val="17"/>
                <w:szCs w:val="17"/>
                <w:b w:val="1"/>
                <w:bCs w:val="1"/>
                <w:color w:val="auto"/>
              </w:rPr>
              <w:t>LANDLORD:</w:t>
            </w:r>
          </w:p>
        </w:tc>
        <w:tc>
          <w:tcPr>
            <w:tcW w:w="7640" w:type="dxa"/>
            <w:vAlign w:val="bottom"/>
            <w:gridSpan w:val="2"/>
          </w:tcPr>
          <w:p>
            <w:pPr>
              <w:ind w:left="3880"/>
              <w:spacing w:after="0"/>
              <w:rPr>
                <w:sz w:val="20"/>
                <w:szCs w:val="20"/>
                <w:color w:val="auto"/>
              </w:rPr>
            </w:pPr>
            <w:r>
              <w:rPr>
                <w:rFonts w:ascii="Arial" w:cs="Arial" w:eastAsia="Arial" w:hAnsi="Arial"/>
                <w:sz w:val="17"/>
                <w:szCs w:val="17"/>
                <w:b w:val="1"/>
                <w:bCs w:val="1"/>
                <w:color w:val="auto"/>
              </w:rPr>
              <w:t>TENANT:</w:t>
            </w:r>
          </w:p>
        </w:tc>
      </w:tr>
      <w:tr>
        <w:trPr>
          <w:trHeight w:val="559"/>
        </w:trPr>
        <w:tc>
          <w:tcPr>
            <w:tcW w:w="3780" w:type="dxa"/>
            <w:vAlign w:val="bottom"/>
            <w:gridSpan w:val="2"/>
          </w:tcPr>
          <w:p>
            <w:pPr>
              <w:spacing w:after="0"/>
              <w:rPr>
                <w:sz w:val="20"/>
                <w:szCs w:val="20"/>
                <w:color w:val="auto"/>
              </w:rPr>
            </w:pPr>
            <w:r>
              <w:rPr>
                <w:rFonts w:ascii="Arial" w:cs="Arial" w:eastAsia="Arial" w:hAnsi="Arial"/>
                <w:sz w:val="17"/>
                <w:szCs w:val="17"/>
                <w:b w:val="1"/>
                <w:bCs w:val="1"/>
                <w:color w:val="auto"/>
              </w:rPr>
              <w:t>NEW BRIGHTON 14</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STREET LLC</w:t>
            </w:r>
          </w:p>
        </w:tc>
        <w:tc>
          <w:tcPr>
            <w:tcW w:w="7640" w:type="dxa"/>
            <w:vAlign w:val="bottom"/>
            <w:gridSpan w:val="2"/>
          </w:tcPr>
          <w:p>
            <w:pPr>
              <w:ind w:left="3880"/>
              <w:spacing w:after="0"/>
              <w:rPr>
                <w:sz w:val="20"/>
                <w:szCs w:val="20"/>
                <w:color w:val="auto"/>
              </w:rPr>
            </w:pPr>
            <w:r>
              <w:rPr>
                <w:rFonts w:ascii="Arial" w:cs="Arial" w:eastAsia="Arial" w:hAnsi="Arial"/>
                <w:sz w:val="17"/>
                <w:szCs w:val="17"/>
                <w:b w:val="1"/>
                <w:bCs w:val="1"/>
                <w:color w:val="auto"/>
              </w:rPr>
              <w:t>TRANSOMA MEDICAL, INC.</w:t>
            </w:r>
          </w:p>
        </w:tc>
      </w:tr>
      <w:tr>
        <w:trPr>
          <w:trHeight w:val="288"/>
        </w:trPr>
        <w:tc>
          <w:tcPr>
            <w:tcW w:w="460" w:type="dxa"/>
            <w:vAlign w:val="bottom"/>
          </w:tcPr>
          <w:p>
            <w:pPr>
              <w:spacing w:after="0"/>
              <w:rPr>
                <w:sz w:val="20"/>
                <w:szCs w:val="20"/>
                <w:color w:val="auto"/>
              </w:rPr>
            </w:pPr>
            <w:r>
              <w:rPr>
                <w:rFonts w:ascii="Arial" w:cs="Arial" w:eastAsia="Arial" w:hAnsi="Arial"/>
                <w:sz w:val="17"/>
                <w:szCs w:val="17"/>
                <w:b w:val="1"/>
                <w:bCs w:val="1"/>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Authorized Signatory</w:t>
            </w:r>
          </w:p>
        </w:tc>
        <w:tc>
          <w:tcPr>
            <w:tcW w:w="4340" w:type="dxa"/>
            <w:vAlign w:val="bottom"/>
          </w:tcPr>
          <w:p>
            <w:pPr>
              <w:ind w:left="3880"/>
              <w:spacing w:after="0"/>
              <w:rPr>
                <w:sz w:val="20"/>
                <w:szCs w:val="20"/>
                <w:color w:val="auto"/>
              </w:rPr>
            </w:pPr>
            <w:r>
              <w:rPr>
                <w:rFonts w:ascii="Arial" w:cs="Arial" w:eastAsia="Arial" w:hAnsi="Arial"/>
                <w:sz w:val="17"/>
                <w:szCs w:val="17"/>
                <w:b w:val="1"/>
                <w:bCs w:val="1"/>
                <w:color w:val="auto"/>
              </w:rPr>
              <w:t>By:</w:t>
            </w:r>
          </w:p>
        </w:tc>
        <w:tc>
          <w:tcPr>
            <w:tcW w:w="3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Charles Coggin</w:t>
            </w:r>
          </w:p>
        </w:tc>
      </w:tr>
      <w:tr>
        <w:trPr>
          <w:trHeight w:val="411"/>
        </w:trPr>
        <w:tc>
          <w:tcPr>
            <w:tcW w:w="460" w:type="dxa"/>
            <w:vAlign w:val="bottom"/>
          </w:tcPr>
          <w:p>
            <w:pPr>
              <w:spacing w:after="0"/>
              <w:rPr>
                <w:sz w:val="20"/>
                <w:szCs w:val="20"/>
                <w:color w:val="auto"/>
              </w:rPr>
            </w:pPr>
            <w:r>
              <w:rPr>
                <w:rFonts w:ascii="Arial" w:cs="Arial" w:eastAsia="Arial" w:hAnsi="Arial"/>
                <w:sz w:val="17"/>
                <w:szCs w:val="17"/>
                <w:b w:val="1"/>
                <w:bCs w:val="1"/>
                <w:color w:val="auto"/>
              </w:rPr>
              <w:t>Its:</w:t>
            </w:r>
          </w:p>
        </w:tc>
        <w:tc>
          <w:tcPr>
            <w:tcW w:w="3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Manager</w:t>
            </w:r>
          </w:p>
        </w:tc>
        <w:tc>
          <w:tcPr>
            <w:tcW w:w="4340" w:type="dxa"/>
            <w:vAlign w:val="bottom"/>
          </w:tcPr>
          <w:p>
            <w:pPr>
              <w:ind w:left="3880"/>
              <w:spacing w:after="0"/>
              <w:rPr>
                <w:sz w:val="20"/>
                <w:szCs w:val="20"/>
                <w:color w:val="auto"/>
              </w:rPr>
            </w:pPr>
            <w:r>
              <w:rPr>
                <w:rFonts w:ascii="Arial" w:cs="Arial" w:eastAsia="Arial" w:hAnsi="Arial"/>
                <w:sz w:val="17"/>
                <w:szCs w:val="17"/>
                <w:b w:val="1"/>
                <w:bCs w:val="1"/>
                <w:color w:val="auto"/>
              </w:rPr>
              <w:t>Its:</w:t>
            </w:r>
          </w:p>
        </w:tc>
        <w:tc>
          <w:tcPr>
            <w:tcW w:w="3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VP and CFO</w:t>
            </w:r>
          </w:p>
        </w:tc>
      </w:tr>
    </w:tbl>
    <w:p>
      <w:pPr>
        <w:sectPr>
          <w:pgSz w:w="11900" w:h="16838" w:orient="portrait"/>
          <w:cols w:equalWidth="0" w:num="1">
            <w:col w:w="11420"/>
          </w:cols>
          <w:pgMar w:left="240" w:top="123"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7"/>
          <w:szCs w:val="17"/>
          <w:b w:val="1"/>
          <w:bCs w:val="1"/>
          <w:color w:val="auto"/>
        </w:rPr>
        <w:t>Exhibit 21.1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Subsidiaries of the Registrant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AHN Acquisition GmbH (Germany)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Asys Hitech GmbH (Austria)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Biochrom Limited (United Kingdom)</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Biochrom US, Inc. (United States)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BioDrop Ltd. (United Kingdom)</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Cartesian Technologies, Inc. (United States)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CMA Microdialysis AB (Sweden)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Coulbourn Instruments, LLC (United States)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Denville Scientific, Inc. (now known as Harvard Distribution Oldco, Inc. following name change after December 31, 2017) (United States)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Ealing Scientific Limited (doing business as Harvard Apparatus, Canada) (Canada)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FKA GSI US, Inc. (formerly Genomic Solutions, Inc.) (United States)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FKAUBI, Inc. (formerly Union Biometrica, Inc.) (United States)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Genomic Solutions Canada, Inc. (United States)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Harvard Apparatus Limited (United Kingdom)</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Harvard Apparatus, S.A.R.L. (France)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HEKA Electronics Incorporated (Canada)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HEKA Electronik Dr. Schulze GmbH (Germany)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HEKA Instruments Incorporated (United States)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Hoefer, Inc. (United States)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Hugo Sachs Elektronik - Harvard Apparatus GmbH (Germany)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KD Scientific, Inc. (United States)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Multi Channel Systems MCS GmbH (Germany)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Panlab S.L. (Spain)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Scie-Plas Ltd. (United Kingdom)</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Triangle BioSystems, Inc. (United States)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Walden Precision Apparatus Ltd. (United Kingdom)</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Warner Instruments LLC (United States)</w:t>
      </w:r>
    </w:p>
    <w:p>
      <w:pPr>
        <w:spacing w:after="0" w:line="198" w:lineRule="exact"/>
        <w:rPr>
          <w:sz w:val="20"/>
          <w:szCs w:val="20"/>
          <w:color w:val="auto"/>
        </w:rPr>
      </w:pPr>
    </w:p>
    <w:p>
      <w:pPr>
        <w:ind w:right="780"/>
        <w:spacing w:after="0" w:line="271" w:lineRule="auto"/>
        <w:rPr>
          <w:sz w:val="20"/>
          <w:szCs w:val="20"/>
          <w:color w:val="auto"/>
        </w:rPr>
      </w:pPr>
      <w:r>
        <w:rPr>
          <w:rFonts w:ascii="Arial" w:cs="Arial" w:eastAsia="Arial" w:hAnsi="Arial"/>
          <w:sz w:val="17"/>
          <w:szCs w:val="17"/>
          <w:color w:val="auto"/>
        </w:rPr>
        <w:t>*This list excludes the following entities which were not subsidiaries as of December 31, 2017 but are subsidiaries following the acquisition of Data Sciences International, Inc. in January 2018:</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Data Sciences International, Inc.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Data Sciences (UK) MN, Ltd.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Data Sciences EURL</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Data Sciences GmbH</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DSI (Shanghai) Trading Co Ltd.</w:t>
      </w:r>
    </w:p>
    <w:p>
      <w:pPr>
        <w:sectPr>
          <w:pgSz w:w="11900" w:h="16838" w:orient="portrait"/>
          <w:cols w:equalWidth="0" w:num="1">
            <w:col w:w="11420"/>
          </w:cols>
          <w:pgMar w:left="240" w:top="123" w:right="23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b w:val="1"/>
          <w:bCs w:val="1"/>
          <w:color w:val="auto"/>
        </w:rPr>
        <w:t>EXHIBIT 23.1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Harvard Bioscience, Inc.:</w:t>
      </w:r>
    </w:p>
    <w:p>
      <w:pPr>
        <w:spacing w:after="0" w:line="198"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We have issued our reports dated March 16, 2018, with the respect to the consolidated financial statements and internal control over financial reporting included in the Annual Report of Harvard Bioscience, Inc. on Form 10-K for the year ended December 31, 2017. We consent to the incorporation by reference of the said reports in the Registration Statements of Harvard Bioscience, Inc. on Form S-3, as amended (File No. 333-203552) and Forms S-8 (File No. 333-53848, File No. 333-104544, File No. 333-135418, File No. 333-151003, File No. 333-174476, File No. 333-189175, File No. 333-204760 and File No. 333-218497).</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16, 2018</w:t>
      </w:r>
    </w:p>
    <w:p>
      <w:pPr>
        <w:sectPr>
          <w:pgSz w:w="11900" w:h="16838" w:orient="portrait"/>
          <w:cols w:equalWidth="0" w:num="1">
            <w:col w:w="11320"/>
          </w:cols>
          <w:pgMar w:left="240" w:top="123"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7"/>
          <w:szCs w:val="17"/>
          <w:b w:val="1"/>
          <w:bCs w:val="1"/>
          <w:color w:val="auto"/>
        </w:rPr>
        <w:t>EXHIBIT 23.2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Harvard Bioscience, Inc.:</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consent to the incorporation by reference in the Registration Statement Numbers 333-53848, 333-104544, 333-135418, 333-151003, 333-174476, 333-189175, 333-204760 and 333-218497 on Form S-8, and 333-203552 on Form S-3, as amended, of Harvard Bioscience, Inc. and subsidiaries of our report dated March 16, 2017, with respect to the consolidated balance sheet of Harvard Bioscience, Inc. and subsidiaries as of December 31, 2016, and the related consolidated statements of operations, comprehensive (loss) income, stockholders’ equity and cash flows for each of the years in the two-year period ended December 31, 2016, which report appears in the December 31, 2017 annual report on Form 10-K of Harvard Bioscience, Inc.</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KPMG LLP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Cambridge, Massachusetts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16, 2018</w:t>
      </w:r>
    </w:p>
    <w:p>
      <w:pPr>
        <w:sectPr>
          <w:pgSz w:w="11900" w:h="16838" w:orient="portrait"/>
          <w:cols w:equalWidth="0" w:num="1">
            <w:col w:w="11420"/>
          </w:cols>
          <w:pgMar w:left="240" w:top="123"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7"/>
          <w:szCs w:val="17"/>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 Robert E. Gagnon, certify that: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1.I have reviewed this annual report on Form 10-K of Harvard Bioscience, Inc.;</w:t>
      </w:r>
    </w:p>
    <w:p>
      <w:pPr>
        <w:spacing w:after="0" w:line="209" w:lineRule="exact"/>
        <w:rPr>
          <w:sz w:val="20"/>
          <w:szCs w:val="20"/>
          <w:color w:val="auto"/>
        </w:rPr>
      </w:pPr>
    </w:p>
    <w:p>
      <w:pPr>
        <w:ind w:left="120" w:right="100" w:hanging="126"/>
        <w:spacing w:after="0" w:line="303"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sz w:val="20"/>
          <w:szCs w:val="20"/>
          <w:color w:val="auto"/>
        </w:rPr>
      </w:pPr>
    </w:p>
    <w:p>
      <w:pPr>
        <w:ind w:left="120" w:right="100" w:hanging="126"/>
        <w:spacing w:after="0" w:line="271"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sz w:val="20"/>
          <w:szCs w:val="20"/>
          <w:color w:val="auto"/>
        </w:rPr>
      </w:pPr>
    </w:p>
    <w:p>
      <w:pPr>
        <w:ind w:left="120" w:right="280" w:hanging="126"/>
        <w:spacing w:after="0" w:line="339" w:lineRule="auto"/>
        <w:rPr>
          <w:sz w:val="20"/>
          <w:szCs w:val="20"/>
          <w:color w:val="auto"/>
        </w:rPr>
      </w:pPr>
      <w:r>
        <w:rPr>
          <w:rFonts w:ascii="Arial" w:cs="Arial" w:eastAsia="Arial" w:hAnsi="Arial"/>
          <w:sz w:val="15"/>
          <w:szCs w:val="15"/>
          <w:color w:val="auto"/>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sz w:val="20"/>
          <w:szCs w:val="20"/>
          <w:color w:val="auto"/>
        </w:rPr>
      </w:pPr>
    </w:p>
    <w:p>
      <w:pPr>
        <w:jc w:val="both"/>
        <w:ind w:left="460" w:right="20" w:hanging="126"/>
        <w:spacing w:after="0" w:line="260" w:lineRule="auto"/>
        <w:rPr>
          <w:sz w:val="20"/>
          <w:szCs w:val="20"/>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sz w:val="20"/>
          <w:szCs w:val="20"/>
          <w:color w:val="auto"/>
        </w:rPr>
      </w:pPr>
    </w:p>
    <w:p>
      <w:pPr>
        <w:ind w:left="460" w:right="60" w:hanging="126"/>
        <w:spacing w:after="0" w:line="260" w:lineRule="auto"/>
        <w:rPr>
          <w:sz w:val="20"/>
          <w:szCs w:val="20"/>
          <w:color w:val="auto"/>
        </w:rPr>
      </w:pPr>
      <w:r>
        <w:rPr>
          <w:rFonts w:ascii="Arial" w:cs="Arial" w:eastAsia="Arial" w:hAnsi="Arial"/>
          <w:sz w:val="17"/>
          <w:szCs w:val="17"/>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sz w:val="20"/>
          <w:szCs w:val="20"/>
          <w:color w:val="auto"/>
        </w:rPr>
      </w:pPr>
    </w:p>
    <w:p>
      <w:pPr>
        <w:ind w:left="460" w:right="500" w:hanging="126"/>
        <w:spacing w:after="0" w:line="271" w:lineRule="auto"/>
        <w:rPr>
          <w:sz w:val="20"/>
          <w:szCs w:val="20"/>
          <w:color w:val="auto"/>
        </w:rPr>
      </w:pPr>
      <w:r>
        <w:rPr>
          <w:rFonts w:ascii="Arial" w:cs="Arial" w:eastAsia="Arial" w:hAnsi="Arial"/>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sz w:val="20"/>
          <w:szCs w:val="20"/>
          <w:color w:val="auto"/>
        </w:rPr>
      </w:pPr>
    </w:p>
    <w:p>
      <w:pPr>
        <w:ind w:left="460" w:right="140" w:hanging="126"/>
        <w:spacing w:after="0" w:line="260"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sz w:val="20"/>
          <w:szCs w:val="20"/>
          <w:color w:val="auto"/>
        </w:rPr>
      </w:pPr>
    </w:p>
    <w:p>
      <w:pPr>
        <w:ind w:left="120" w:right="400" w:hanging="126"/>
        <w:spacing w:after="0" w:line="271" w:lineRule="auto"/>
        <w:rPr>
          <w:sz w:val="20"/>
          <w:szCs w:val="20"/>
          <w:color w:val="auto"/>
        </w:rPr>
      </w:pPr>
      <w:r>
        <w:rPr>
          <w:rFonts w:ascii="Arial" w:cs="Arial" w:eastAsia="Arial" w:hAnsi="Arial"/>
          <w:sz w:val="17"/>
          <w:szCs w:val="17"/>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sz w:val="20"/>
          <w:szCs w:val="20"/>
          <w:color w:val="auto"/>
        </w:rPr>
      </w:pPr>
    </w:p>
    <w:p>
      <w:pPr>
        <w:ind w:left="460" w:hanging="126"/>
        <w:spacing w:after="0" w:line="271" w:lineRule="auto"/>
        <w:rPr>
          <w:sz w:val="20"/>
          <w:szCs w:val="20"/>
          <w:color w:val="auto"/>
        </w:rPr>
      </w:pPr>
      <w:r>
        <w:rPr>
          <w:rFonts w:ascii="Arial" w:cs="Arial" w:eastAsia="Arial" w:hAnsi="Arial"/>
          <w:sz w:val="17"/>
          <w:szCs w:val="17"/>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sz w:val="20"/>
          <w:szCs w:val="20"/>
          <w:color w:val="auto"/>
        </w:rPr>
      </w:pPr>
    </w:p>
    <w:p>
      <w:pPr>
        <w:ind w:left="460" w:right="280" w:hanging="126"/>
        <w:spacing w:after="0" w:line="271" w:lineRule="auto"/>
        <w:rPr>
          <w:sz w:val="20"/>
          <w:szCs w:val="20"/>
          <w:color w:val="auto"/>
        </w:rPr>
      </w:pPr>
      <w:r>
        <w:rPr>
          <w:rFonts w:ascii="Arial" w:cs="Arial" w:eastAsia="Arial" w:hAnsi="Arial"/>
          <w:sz w:val="17"/>
          <w:szCs w:val="17"/>
          <w:color w:val="auto"/>
        </w:rPr>
        <w:t>b.Any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5420" w:type="dxa"/>
            <w:vAlign w:val="bottom"/>
          </w:tcPr>
          <w:p>
            <w:pPr>
              <w:spacing w:after="0"/>
              <w:rPr>
                <w:sz w:val="20"/>
                <w:szCs w:val="20"/>
                <w:color w:val="auto"/>
              </w:rPr>
            </w:pPr>
            <w:r>
              <w:rPr>
                <w:rFonts w:ascii="Arial" w:cs="Arial" w:eastAsia="Arial" w:hAnsi="Arial"/>
                <w:sz w:val="17"/>
                <w:szCs w:val="17"/>
                <w:color w:val="auto"/>
              </w:rPr>
              <w:t>Date: March 16,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ROBERT E. GAGNON</w:t>
            </w:r>
          </w:p>
        </w:tc>
      </w:tr>
      <w:tr>
        <w:trPr>
          <w:trHeight w:val="183"/>
        </w:trPr>
        <w:tc>
          <w:tcPr>
            <w:tcW w:w="5420" w:type="dxa"/>
            <w:vAlign w:val="bottom"/>
          </w:tcPr>
          <w:p>
            <w:pPr>
              <w:spacing w:after="0"/>
              <w:rPr>
                <w:sz w:val="15"/>
                <w:szCs w:val="15"/>
                <w:color w:val="auto"/>
              </w:rPr>
            </w:pPr>
          </w:p>
        </w:tc>
        <w:tc>
          <w:tcPr>
            <w:tcW w:w="5700" w:type="dxa"/>
            <w:vAlign w:val="bottom"/>
          </w:tcPr>
          <w:p>
            <w:pPr>
              <w:spacing w:after="0" w:line="183" w:lineRule="exact"/>
              <w:rPr>
                <w:sz w:val="20"/>
                <w:szCs w:val="20"/>
                <w:color w:val="auto"/>
              </w:rPr>
            </w:pPr>
            <w:r>
              <w:rPr>
                <w:rFonts w:ascii="Arial" w:cs="Arial" w:eastAsia="Arial" w:hAnsi="Arial"/>
                <w:sz w:val="17"/>
                <w:szCs w:val="17"/>
                <w:color w:val="auto"/>
              </w:rPr>
              <w:t>Robert E. Gagnon</w:t>
            </w:r>
          </w:p>
        </w:tc>
      </w:tr>
      <w:tr>
        <w:trPr>
          <w:trHeight w:val="214"/>
        </w:trPr>
        <w:tc>
          <w:tcPr>
            <w:tcW w:w="54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420"/>
          </w:cols>
          <w:pgMar w:left="240" w:top="123"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7"/>
          <w:szCs w:val="17"/>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 Jeffrey A. Duchemin, certify that: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1.I have reviewed this annual report on Form 10-K of Harvard Bioscience, Inc.;</w:t>
      </w:r>
    </w:p>
    <w:p>
      <w:pPr>
        <w:spacing w:after="0" w:line="209" w:lineRule="exact"/>
        <w:rPr>
          <w:sz w:val="20"/>
          <w:szCs w:val="20"/>
          <w:color w:val="auto"/>
        </w:rPr>
      </w:pPr>
    </w:p>
    <w:p>
      <w:pPr>
        <w:ind w:left="120" w:right="100" w:hanging="126"/>
        <w:spacing w:after="0" w:line="303"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sz w:val="20"/>
          <w:szCs w:val="20"/>
          <w:color w:val="auto"/>
        </w:rPr>
      </w:pPr>
    </w:p>
    <w:p>
      <w:pPr>
        <w:ind w:left="120" w:right="100" w:hanging="126"/>
        <w:spacing w:after="0" w:line="271"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sz w:val="20"/>
          <w:szCs w:val="20"/>
          <w:color w:val="auto"/>
        </w:rPr>
      </w:pPr>
    </w:p>
    <w:p>
      <w:pPr>
        <w:ind w:left="120" w:right="280" w:hanging="126"/>
        <w:spacing w:after="0" w:line="339" w:lineRule="auto"/>
        <w:rPr>
          <w:sz w:val="20"/>
          <w:szCs w:val="20"/>
          <w:color w:val="auto"/>
        </w:rPr>
      </w:pPr>
      <w:r>
        <w:rPr>
          <w:rFonts w:ascii="Arial" w:cs="Arial" w:eastAsia="Arial" w:hAnsi="Arial"/>
          <w:sz w:val="15"/>
          <w:szCs w:val="15"/>
          <w:color w:val="auto"/>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sz w:val="20"/>
          <w:szCs w:val="20"/>
          <w:color w:val="auto"/>
        </w:rPr>
      </w:pPr>
    </w:p>
    <w:p>
      <w:pPr>
        <w:jc w:val="both"/>
        <w:ind w:left="460" w:right="20" w:hanging="126"/>
        <w:spacing w:after="0" w:line="260" w:lineRule="auto"/>
        <w:rPr>
          <w:sz w:val="20"/>
          <w:szCs w:val="20"/>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sz w:val="20"/>
          <w:szCs w:val="20"/>
          <w:color w:val="auto"/>
        </w:rPr>
      </w:pPr>
    </w:p>
    <w:p>
      <w:pPr>
        <w:ind w:left="460" w:right="60" w:hanging="126"/>
        <w:spacing w:after="0" w:line="260" w:lineRule="auto"/>
        <w:rPr>
          <w:sz w:val="20"/>
          <w:szCs w:val="20"/>
          <w:color w:val="auto"/>
        </w:rPr>
      </w:pPr>
      <w:r>
        <w:rPr>
          <w:rFonts w:ascii="Arial" w:cs="Arial" w:eastAsia="Arial" w:hAnsi="Arial"/>
          <w:sz w:val="17"/>
          <w:szCs w:val="17"/>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sz w:val="20"/>
          <w:szCs w:val="20"/>
          <w:color w:val="auto"/>
        </w:rPr>
      </w:pPr>
    </w:p>
    <w:p>
      <w:pPr>
        <w:ind w:left="460" w:right="500" w:hanging="126"/>
        <w:spacing w:after="0" w:line="271" w:lineRule="auto"/>
        <w:rPr>
          <w:sz w:val="20"/>
          <w:szCs w:val="20"/>
          <w:color w:val="auto"/>
        </w:rPr>
      </w:pPr>
      <w:r>
        <w:rPr>
          <w:rFonts w:ascii="Arial" w:cs="Arial" w:eastAsia="Arial" w:hAnsi="Arial"/>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sz w:val="20"/>
          <w:szCs w:val="20"/>
          <w:color w:val="auto"/>
        </w:rPr>
      </w:pPr>
    </w:p>
    <w:p>
      <w:pPr>
        <w:ind w:left="460" w:right="140" w:hanging="126"/>
        <w:spacing w:after="0" w:line="260"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sz w:val="20"/>
          <w:szCs w:val="20"/>
          <w:color w:val="auto"/>
        </w:rPr>
      </w:pPr>
    </w:p>
    <w:p>
      <w:pPr>
        <w:ind w:left="120" w:right="400" w:hanging="126"/>
        <w:spacing w:after="0" w:line="271" w:lineRule="auto"/>
        <w:rPr>
          <w:sz w:val="20"/>
          <w:szCs w:val="20"/>
          <w:color w:val="auto"/>
        </w:rPr>
      </w:pPr>
      <w:r>
        <w:rPr>
          <w:rFonts w:ascii="Arial" w:cs="Arial" w:eastAsia="Arial" w:hAnsi="Arial"/>
          <w:sz w:val="17"/>
          <w:szCs w:val="17"/>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sz w:val="20"/>
          <w:szCs w:val="20"/>
          <w:color w:val="auto"/>
        </w:rPr>
      </w:pPr>
    </w:p>
    <w:p>
      <w:pPr>
        <w:ind w:left="460" w:right="20" w:hanging="126"/>
        <w:spacing w:after="0" w:line="271" w:lineRule="auto"/>
        <w:rPr>
          <w:sz w:val="20"/>
          <w:szCs w:val="20"/>
          <w:color w:val="auto"/>
        </w:rPr>
      </w:pPr>
      <w:r>
        <w:rPr>
          <w:rFonts w:ascii="Arial" w:cs="Arial" w:eastAsia="Arial" w:hAnsi="Arial"/>
          <w:sz w:val="17"/>
          <w:szCs w:val="17"/>
          <w:color w:val="auto"/>
        </w:rPr>
        <w:t>a.All significant deficiencies and material weaknesses in the design or operation of internal control over financial reporting which are reasonable likely to adversely affect the registrant’s ability to record, process, summarize and report financial information; and</w:t>
      </w:r>
    </w:p>
    <w:p>
      <w:pPr>
        <w:spacing w:after="0" w:line="166" w:lineRule="exact"/>
        <w:rPr>
          <w:sz w:val="20"/>
          <w:szCs w:val="20"/>
          <w:color w:val="auto"/>
        </w:rPr>
      </w:pPr>
    </w:p>
    <w:p>
      <w:pPr>
        <w:ind w:left="460" w:right="280" w:hanging="126"/>
        <w:spacing w:after="0" w:line="271" w:lineRule="auto"/>
        <w:rPr>
          <w:sz w:val="20"/>
          <w:szCs w:val="20"/>
          <w:color w:val="auto"/>
        </w:rPr>
      </w:pPr>
      <w:r>
        <w:rPr>
          <w:rFonts w:ascii="Arial" w:cs="Arial" w:eastAsia="Arial" w:hAnsi="Arial"/>
          <w:sz w:val="17"/>
          <w:szCs w:val="17"/>
          <w:color w:val="auto"/>
        </w:rPr>
        <w:t>b.Any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5420" w:type="dxa"/>
            <w:vAlign w:val="bottom"/>
          </w:tcPr>
          <w:p>
            <w:pPr>
              <w:spacing w:after="0"/>
              <w:rPr>
                <w:sz w:val="20"/>
                <w:szCs w:val="20"/>
                <w:color w:val="auto"/>
              </w:rPr>
            </w:pPr>
            <w:r>
              <w:rPr>
                <w:rFonts w:ascii="Arial" w:cs="Arial" w:eastAsia="Arial" w:hAnsi="Arial"/>
                <w:sz w:val="17"/>
                <w:szCs w:val="17"/>
                <w:color w:val="auto"/>
              </w:rPr>
              <w:t>Date: March 16,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JEFFREY A. DUCHEMIN</w:t>
            </w:r>
          </w:p>
        </w:tc>
      </w:tr>
      <w:tr>
        <w:trPr>
          <w:trHeight w:val="183"/>
        </w:trPr>
        <w:tc>
          <w:tcPr>
            <w:tcW w:w="5420" w:type="dxa"/>
            <w:vAlign w:val="bottom"/>
          </w:tcPr>
          <w:p>
            <w:pPr>
              <w:spacing w:after="0"/>
              <w:rPr>
                <w:sz w:val="15"/>
                <w:szCs w:val="15"/>
                <w:color w:val="auto"/>
              </w:rPr>
            </w:pPr>
          </w:p>
        </w:tc>
        <w:tc>
          <w:tcPr>
            <w:tcW w:w="5700" w:type="dxa"/>
            <w:vAlign w:val="bottom"/>
          </w:tcPr>
          <w:p>
            <w:pPr>
              <w:spacing w:after="0" w:line="183" w:lineRule="exact"/>
              <w:rPr>
                <w:sz w:val="20"/>
                <w:szCs w:val="20"/>
                <w:color w:val="auto"/>
              </w:rPr>
            </w:pPr>
            <w:r>
              <w:rPr>
                <w:rFonts w:ascii="Arial" w:cs="Arial" w:eastAsia="Arial" w:hAnsi="Arial"/>
                <w:sz w:val="17"/>
                <w:szCs w:val="17"/>
                <w:color w:val="auto"/>
              </w:rPr>
              <w:t>Jeffrey A. Duchemin</w:t>
            </w:r>
          </w:p>
        </w:tc>
      </w:tr>
      <w:tr>
        <w:trPr>
          <w:trHeight w:val="214"/>
        </w:trPr>
        <w:tc>
          <w:tcPr>
            <w:tcW w:w="54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420"/>
          </w:cols>
          <w:pgMar w:left="240" w:top="123"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7"/>
          <w:szCs w:val="17"/>
          <w:b w:val="1"/>
          <w:bCs w:val="1"/>
          <w:color w:val="auto"/>
        </w:rPr>
        <w:t>EXHIBIT 32.1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PERIODIC FINANCIAL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9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5"/>
          <w:szCs w:val="15"/>
          <w:color w:val="auto"/>
        </w:rPr>
        <w:t>The undersigned officer of Harvard Bioscience, Inc. (the “Company”) hereby certifies to his knowledge that the Company’s annual report on Form 10-K for the year ended December 31, 2017 to which this certification is being furnished as an exhibit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380" w:type="dxa"/>
            <w:vAlign w:val="bottom"/>
          </w:tcPr>
          <w:p>
            <w:pPr>
              <w:spacing w:after="0"/>
              <w:rPr>
                <w:sz w:val="20"/>
                <w:szCs w:val="20"/>
                <w:color w:val="auto"/>
              </w:rPr>
            </w:pPr>
            <w:r>
              <w:rPr>
                <w:rFonts w:ascii="Arial" w:cs="Arial" w:eastAsia="Arial" w:hAnsi="Arial"/>
                <w:sz w:val="17"/>
                <w:szCs w:val="17"/>
                <w:color w:val="auto"/>
              </w:rPr>
              <w:t>Date: March 16,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ROBERT E. GAGNON</w:t>
            </w:r>
          </w:p>
        </w:tc>
      </w:tr>
      <w:tr>
        <w:trPr>
          <w:trHeight w:val="183"/>
        </w:trPr>
        <w:tc>
          <w:tcPr>
            <w:tcW w:w="5380" w:type="dxa"/>
            <w:vAlign w:val="bottom"/>
          </w:tcPr>
          <w:p>
            <w:pPr>
              <w:spacing w:after="0"/>
              <w:rPr>
                <w:sz w:val="15"/>
                <w:szCs w:val="15"/>
                <w:color w:val="auto"/>
              </w:rPr>
            </w:pPr>
          </w:p>
        </w:tc>
        <w:tc>
          <w:tcPr>
            <w:tcW w:w="5700" w:type="dxa"/>
            <w:vAlign w:val="bottom"/>
          </w:tcPr>
          <w:p>
            <w:pPr>
              <w:spacing w:after="0" w:line="183" w:lineRule="exact"/>
              <w:rPr>
                <w:sz w:val="20"/>
                <w:szCs w:val="20"/>
                <w:color w:val="auto"/>
              </w:rPr>
            </w:pPr>
            <w:r>
              <w:rPr>
                <w:rFonts w:ascii="Arial" w:cs="Arial" w:eastAsia="Arial" w:hAnsi="Arial"/>
                <w:sz w:val="17"/>
                <w:szCs w:val="17"/>
                <w:color w:val="auto"/>
              </w:rPr>
              <w:t>Name: Robert E. Gagnon</w:t>
            </w:r>
          </w:p>
        </w:tc>
      </w:tr>
      <w:tr>
        <w:trPr>
          <w:trHeight w:val="214"/>
        </w:trPr>
        <w:tc>
          <w:tcPr>
            <w:tcW w:w="53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Title: Chief Financial Officer</w:t>
            </w:r>
          </w:p>
        </w:tc>
      </w:tr>
    </w:tbl>
    <w:p>
      <w:pPr>
        <w:sectPr>
          <w:pgSz w:w="11900" w:h="16838" w:orient="portrait"/>
          <w:cols w:equalWidth="0" w:num="1">
            <w:col w:w="11420"/>
          </w:cols>
          <w:pgMar w:left="240" w:top="123"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7"/>
          <w:szCs w:val="17"/>
          <w:b w:val="1"/>
          <w:bCs w:val="1"/>
          <w:color w:val="auto"/>
        </w:rPr>
        <w:t>EXHIBIT 32.2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PERIODIC FINANCIAL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9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5"/>
          <w:szCs w:val="15"/>
          <w:color w:val="auto"/>
        </w:rPr>
        <w:t>The undersigned officer of Harvard Bioscience, Inc. (the “Company”) hereby certifies to his knowledge that the Company’s annual report on Form 10-K for the year ended December 31, 2017 to which this certification is being furnished as an exhibit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60"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5420" w:type="dxa"/>
            <w:vAlign w:val="bottom"/>
          </w:tcPr>
          <w:p>
            <w:pPr>
              <w:spacing w:after="0"/>
              <w:rPr>
                <w:sz w:val="20"/>
                <w:szCs w:val="20"/>
                <w:color w:val="auto"/>
              </w:rPr>
            </w:pPr>
            <w:r>
              <w:rPr>
                <w:rFonts w:ascii="Arial" w:cs="Arial" w:eastAsia="Arial" w:hAnsi="Arial"/>
                <w:sz w:val="17"/>
                <w:szCs w:val="17"/>
                <w:color w:val="auto"/>
              </w:rPr>
              <w:t>Date: March 16,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JEFFREY A. DUCHEMIN</w:t>
            </w:r>
          </w:p>
        </w:tc>
      </w:tr>
      <w:tr>
        <w:trPr>
          <w:trHeight w:val="183"/>
        </w:trPr>
        <w:tc>
          <w:tcPr>
            <w:tcW w:w="5420" w:type="dxa"/>
            <w:vAlign w:val="bottom"/>
          </w:tcPr>
          <w:p>
            <w:pPr>
              <w:spacing w:after="0"/>
              <w:rPr>
                <w:sz w:val="15"/>
                <w:szCs w:val="15"/>
                <w:color w:val="auto"/>
              </w:rPr>
            </w:pPr>
          </w:p>
        </w:tc>
        <w:tc>
          <w:tcPr>
            <w:tcW w:w="5700" w:type="dxa"/>
            <w:vAlign w:val="bottom"/>
          </w:tcPr>
          <w:p>
            <w:pPr>
              <w:spacing w:after="0" w:line="183" w:lineRule="exact"/>
              <w:rPr>
                <w:sz w:val="20"/>
                <w:szCs w:val="20"/>
                <w:color w:val="auto"/>
              </w:rPr>
            </w:pPr>
            <w:r>
              <w:rPr>
                <w:rFonts w:ascii="Arial" w:cs="Arial" w:eastAsia="Arial" w:hAnsi="Arial"/>
                <w:sz w:val="17"/>
                <w:szCs w:val="17"/>
                <w:color w:val="auto"/>
              </w:rPr>
              <w:t>Name: Jeffrey A. Duchemin</w:t>
            </w:r>
          </w:p>
        </w:tc>
      </w:tr>
      <w:tr>
        <w:trPr>
          <w:trHeight w:val="214"/>
        </w:trPr>
        <w:tc>
          <w:tcPr>
            <w:tcW w:w="54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Title: Chief Executive Officer</w:t>
            </w:r>
          </w:p>
        </w:tc>
      </w:tr>
    </w:tbl>
    <w:p>
      <w:pPr>
        <w:spacing w:after="0" w:line="1" w:lineRule="exact"/>
        <w:rPr>
          <w:sz w:val="20"/>
          <w:szCs w:val="20"/>
          <w:color w:val="auto"/>
        </w:rPr>
      </w:pP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
      <w:numFmt w:val="bullet"/>
      <w:start w:val="1"/>
    </w:lvl>
  </w:abstractNum>
  <w:abstractNum w:abstractNumId="5">
    <w:nsid w:val="885E1B"/>
    <w:multiLevelType w:val="hybridMultilevel"/>
    <w:lvl w:ilvl="0">
      <w:lvlJc w:val="left"/>
      <w:lvlText w:val="•"/>
      <w:numFmt w:val="bullet"/>
      <w:start w:val="1"/>
    </w:lvl>
  </w:abstractNum>
  <w:abstractNum w:abstractNumId="6">
    <w:nsid w:val="76272110"/>
    <w:multiLevelType w:val="hybridMultilevel"/>
    <w:lvl w:ilvl="0">
      <w:lvlJc w:val="left"/>
      <w:lvlText w:val="(%1)"/>
      <w:numFmt w:val="decimal"/>
      <w:start w:val="1"/>
    </w:lvl>
  </w:abstractNum>
  <w:abstractNum w:abstractNumId="7">
    <w:nsid w:val="4C04A8AF"/>
    <w:multiLevelType w:val="hybridMultilevel"/>
    <w:lvl w:ilvl="0">
      <w:lvlJc w:val="left"/>
      <w:lvlText w:val="•"/>
      <w:numFmt w:val="bullet"/>
      <w:start w:val="1"/>
    </w:lvl>
  </w:abstractNum>
  <w:abstractNum w:abstractNumId="8">
    <w:nsid w:val="1716703B"/>
    <w:multiLevelType w:val="hybridMultilevel"/>
    <w:lvl w:ilvl="0">
      <w:lvlJc w:val="left"/>
      <w:lvlText w:val="•"/>
      <w:numFmt w:val="bullet"/>
      <w:start w:val="1"/>
    </w:lvl>
  </w:abstractNum>
  <w:abstractNum w:abstractNumId="9">
    <w:nsid w:val="14E17E33"/>
    <w:multiLevelType w:val="hybridMultilevel"/>
    <w:lvl w:ilvl="0">
      <w:lvlJc w:val="left"/>
      <w:lvlText w:val="•"/>
      <w:numFmt w:val="bullet"/>
      <w:start w:val="1"/>
    </w:lvl>
  </w:abstractNum>
  <w:abstractNum w:abstractNumId="10">
    <w:nsid w:val="3222E7CD"/>
    <w:multiLevelType w:val="hybridMultilevel"/>
    <w:lvl w:ilvl="0">
      <w:lvlJc w:val="left"/>
      <w:lvlText w:val="(%1)"/>
      <w:numFmt w:val="lowerLetter"/>
      <w:start w:val="1"/>
    </w:lvl>
  </w:abstractNum>
  <w:abstractNum w:abstractNumId="11">
    <w:nsid w:val="74DE0EE3"/>
    <w:multiLevelType w:val="hybridMultilevel"/>
    <w:lvl w:ilvl="0">
      <w:lvlJc w:val="left"/>
      <w:lvlText w:val="(%1)"/>
      <w:numFmt w:val="lowerLetter"/>
      <w:start w:val="2"/>
    </w:lvl>
  </w:abstractNum>
  <w:abstractNum w:abstractNumId="12">
    <w:nsid w:val="68EBC550"/>
    <w:multiLevelType w:val="hybridMultilevel"/>
    <w:lvl w:ilvl="0">
      <w:lvlJc w:val="left"/>
      <w:lvlText w:val="\endash "/>
      <w:numFmt w:val="bullet"/>
      <w:start w:val="1"/>
    </w:lvl>
  </w:abstractNum>
  <w:abstractNum w:abstractNumId="13">
    <w:nsid w:val="2DF6D648"/>
    <w:multiLevelType w:val="hybridMultilevel"/>
    <w:lvl w:ilvl="0">
      <w:lvlJc w:val="left"/>
      <w:lvlText w:val="(%1)"/>
      <w:numFmt w:val="lowerLetter"/>
      <w:start w:val="3"/>
    </w:lvl>
  </w:abstractNum>
  <w:abstractNum w:abstractNumId="14">
    <w:nsid w:val="46B7D447"/>
    <w:multiLevelType w:val="hybridMultilevel"/>
    <w:lvl w:ilvl="0">
      <w:lvlJc w:val="left"/>
      <w:lvlText w:val="(%1)"/>
      <w:numFmt w:val="lowerLetter"/>
      <w:start w:val="4"/>
    </w:lvl>
  </w:abstractNum>
  <w:abstractNum w:abstractNumId="15">
    <w:nsid w:val="4A2AC315"/>
    <w:multiLevelType w:val="hybridMultilevel"/>
    <w:lvl w:ilvl="0">
      <w:lvlJc w:val="left"/>
      <w:lvlText w:val="(%1)"/>
      <w:numFmt w:val="lowerLetter"/>
      <w:start w:val="5"/>
    </w:lvl>
  </w:abstractNum>
  <w:abstractNum w:abstractNumId="16">
    <w:nsid w:val="39EE015C"/>
    <w:multiLevelType w:val="hybridMultilevel"/>
    <w:lvl w:ilvl="0">
      <w:lvlJc w:val="left"/>
      <w:lvlText w:val="1"/>
      <w:numFmt w:val="bullet"/>
      <w:start w:val="1"/>
    </w:lvl>
  </w:abstractNum>
  <w:abstractNum w:abstractNumId="17">
    <w:nsid w:val="57FC4FBB"/>
    <w:multiLevelType w:val="hybridMultilevel"/>
    <w:lvl w:ilvl="0">
      <w:lvlJc w:val="left"/>
      <w:lvlText w:val="2"/>
      <w:numFmt w:val="bullet"/>
      <w:start w:val="1"/>
    </w:lvl>
  </w:abstractNum>
  <w:abstractNum w:abstractNumId="18">
    <w:nsid w:val="CC1016F"/>
    <w:multiLevelType w:val="hybridMultilevel"/>
    <w:lvl w:ilvl="0">
      <w:lvlJc w:val="left"/>
      <w:lvlText w:val="%1."/>
      <w:numFmt w:val="decimal"/>
      <w:start w:val="1"/>
    </w:lvl>
  </w:abstractNum>
  <w:abstractNum w:abstractNumId="19">
    <w:nsid w:val="43F18422"/>
    <w:multiLevelType w:val="hybridMultilevel"/>
    <w:lvl w:ilvl="0">
      <w:lvlJc w:val="left"/>
      <w:lvlText w:val="%1."/>
      <w:numFmt w:val="decimal"/>
      <w:start w:val="2"/>
    </w:lvl>
  </w:abstractNum>
  <w:abstractNum w:abstractNumId="20">
    <w:nsid w:val="60EF0119"/>
    <w:multiLevelType w:val="hybridMultilevel"/>
    <w:lvl w:ilvl="0">
      <w:lvlJc w:val="left"/>
      <w:lvlText w:val="(%1)"/>
      <w:numFmt w:val="lowerLetter"/>
      <w:start w:val="1"/>
    </w:lvl>
  </w:abstractNum>
  <w:abstractNum w:abstractNumId="21">
    <w:nsid w:val="26F324BA"/>
    <w:multiLevelType w:val="hybridMultilevel"/>
    <w:lvl w:ilvl="0">
      <w:lvlJc w:val="left"/>
      <w:lvlText w:val="(%1)"/>
      <w:numFmt w:val="lowerLetter"/>
      <w:start w:val="2"/>
    </w:lvl>
  </w:abstractNum>
  <w:abstractNum w:abstractNumId="22">
    <w:nsid w:val="7F01579B"/>
    <w:multiLevelType w:val="hybridMultilevel"/>
    <w:lvl w:ilvl="0">
      <w:lvlJc w:val="left"/>
      <w:lvlText w:val="(%1)"/>
      <w:numFmt w:val="lowerLetter"/>
      <w:start w:val="3"/>
    </w:lvl>
  </w:abstractNum>
  <w:abstractNum w:abstractNumId="23">
    <w:nsid w:val="49DA307D"/>
    <w:multiLevelType w:val="hybridMultilevel"/>
    <w:lvl w:ilvl="0">
      <w:lvlJc w:val="left"/>
      <w:lvlText w:val="(%1)"/>
      <w:numFmt w:val="lowerLetter"/>
      <w:start w:val="4"/>
    </w:lvl>
  </w:abstractNum>
  <w:abstractNum w:abstractNumId="24">
    <w:nsid w:val="7055A5F5"/>
    <w:multiLevelType w:val="hybridMultilevel"/>
    <w:lvl w:ilvl="0">
      <w:lvlJc w:val="left"/>
      <w:lvlText w:val="(%1)"/>
      <w:numFmt w:val="lowerLetter"/>
      <w:start w:val="5"/>
    </w:lvl>
  </w:abstractNum>
  <w:abstractNum w:abstractNumId="25">
    <w:nsid w:val="5FB8370B"/>
    <w:multiLevelType w:val="hybridMultilevel"/>
    <w:lvl w:ilvl="0">
      <w:lvlJc w:val="left"/>
      <w:lvlText w:val="(%1)"/>
      <w:numFmt w:val="lowerLetter"/>
      <w:start w:val="6"/>
    </w:lvl>
  </w:abstractNum>
  <w:abstractNum w:abstractNumId="26">
    <w:nsid w:val="50801EE1"/>
    <w:multiLevelType w:val="hybridMultilevel"/>
    <w:lvl w:ilvl="0">
      <w:lvlJc w:val="left"/>
      <w:lvlText w:val="(%1)"/>
      <w:numFmt w:val="lowerLetter"/>
      <w:start w:val="7"/>
    </w:lvl>
  </w:abstractNum>
  <w:abstractNum w:abstractNumId="27">
    <w:nsid w:val="488AC1A"/>
    <w:multiLevelType w:val="hybridMultilevel"/>
    <w:lvl w:ilvl="0">
      <w:lvlJc w:val="left"/>
      <w:lvlText w:val="(%1)"/>
      <w:numFmt w:val="lowerLetter"/>
      <w:start w:val="8"/>
    </w:lvl>
  </w:abstractNum>
  <w:abstractNum w:abstractNumId="28">
    <w:nsid w:val="5FB8011C"/>
    <w:multiLevelType w:val="hybridMultilevel"/>
    <w:lvl w:ilvl="0">
      <w:lvlJc w:val="left"/>
      <w:lvlText w:val="(%1)"/>
      <w:numFmt w:val="lowerRoman"/>
      <w:start w:val="1"/>
    </w:lvl>
  </w:abstractNum>
  <w:abstractNum w:abstractNumId="29">
    <w:nsid w:val="6AA78F7F"/>
    <w:multiLevelType w:val="hybridMultilevel"/>
    <w:lvl w:ilvl="0">
      <w:lvlJc w:val="left"/>
      <w:lvlText w:val="(%1)"/>
      <w:numFmt w:val="lowerLetter"/>
      <w:start w:val="10"/>
    </w:lvl>
  </w:abstractNum>
  <w:abstractNum w:abstractNumId="30">
    <w:nsid w:val="7672BD23"/>
    <w:multiLevelType w:val="hybridMultilevel"/>
    <w:lvl w:ilvl="0">
      <w:lvlJc w:val="left"/>
      <w:lvlText w:val="(%1)"/>
      <w:numFmt w:val="lowerLetter"/>
      <w:start w:val="11"/>
    </w:lvl>
  </w:abstractNum>
  <w:abstractNum w:abstractNumId="31">
    <w:nsid w:val="6FC75AF8"/>
    <w:multiLevelType w:val="hybridMultilevel"/>
    <w:lvl w:ilvl="0">
      <w:lvlJc w:val="left"/>
      <w:lvlText w:val="(%1)"/>
      <w:numFmt w:val="lowerLetter"/>
      <w:start w:val="12"/>
    </w:lvl>
  </w:abstractNum>
  <w:abstractNum w:abstractNumId="32">
    <w:nsid w:val="6A5F7029"/>
    <w:multiLevelType w:val="hybridMultilevel"/>
    <w:lvl w:ilvl="0">
      <w:lvlJc w:val="left"/>
      <w:lvlText w:val="(%1)"/>
      <w:numFmt w:val="lowerLetter"/>
      <w:start w:val="13"/>
    </w:lvl>
  </w:abstractNum>
  <w:abstractNum w:abstractNumId="33">
    <w:nsid w:val="7D5E18F8"/>
    <w:multiLevelType w:val="hybridMultilevel"/>
    <w:lvl w:ilvl="0">
      <w:lvlJc w:val="left"/>
      <w:lvlText w:val="(%1)"/>
      <w:numFmt w:val="lowerLetter"/>
      <w:start w:val="14"/>
    </w:lvl>
  </w:abstractNum>
  <w:abstractNum w:abstractNumId="34">
    <w:nsid w:val="5F3534A4"/>
    <w:multiLevelType w:val="hybridMultilevel"/>
    <w:lvl w:ilvl="0">
      <w:lvlJc w:val="left"/>
      <w:lvlText w:val="(%1)"/>
      <w:numFmt w:val="lowerLetter"/>
      <w:start w:val="15"/>
    </w:lvl>
  </w:abstractNum>
  <w:abstractNum w:abstractNumId="35">
    <w:nsid w:val="73A1821B"/>
    <w:multiLevelType w:val="hybridMultilevel"/>
    <w:lvl w:ilvl="0">
      <w:lvlJc w:val="left"/>
      <w:lvlText w:val="(%1)"/>
      <w:numFmt w:val="lowerLetter"/>
      <w:start w:val="16"/>
    </w:lvl>
  </w:abstractNum>
  <w:abstractNum w:abstractNumId="36">
    <w:nsid w:val="7DE67713"/>
    <w:multiLevelType w:val="hybridMultilevel"/>
    <w:lvl w:ilvl="0">
      <w:lvlJc w:val="left"/>
      <w:lvlText w:val="(%1)"/>
      <w:numFmt w:val="lowerLetter"/>
      <w:start w:val="17"/>
    </w:lvl>
  </w:abstractNum>
  <w:abstractNum w:abstractNumId="37">
    <w:nsid w:val="555C55B5"/>
    <w:multiLevelType w:val="hybridMultilevel"/>
    <w:lvl w:ilvl="0">
      <w:lvlJc w:val="left"/>
      <w:lvlText w:val="(%1)"/>
      <w:numFmt w:val="lowerLetter"/>
      <w:start w:val="17"/>
    </w:lvl>
    <w:lvl w:ilvl="1">
      <w:lvlJc w:val="left"/>
      <w:lvlText w:val="§"/>
      <w:numFmt w:val="bullet"/>
      <w:start w:val="1"/>
    </w:lvl>
  </w:abstractNum>
  <w:abstractNum w:abstractNumId="38">
    <w:nsid w:val="3FA62ACA"/>
    <w:multiLevelType w:val="hybridMultilevel"/>
    <w:lvl w:ilvl="0">
      <w:lvlJc w:val="left"/>
      <w:lvlText w:val="(%1)"/>
      <w:numFmt w:val="lowerLetter"/>
      <w:start w:val="19"/>
    </w:lvl>
  </w:abstractNum>
  <w:abstractNum w:abstractNumId="39">
    <w:nsid w:val="14FCE74E"/>
    <w:multiLevelType w:val="hybridMultilevel"/>
    <w:lvl w:ilvl="0">
      <w:lvlJc w:val="left"/>
      <w:lvlText w:val="%1."/>
      <w:numFmt w:val="decimal"/>
      <w:start w:val="3"/>
    </w:lvl>
  </w:abstractNum>
  <w:abstractNum w:abstractNumId="40">
    <w:nsid w:val="6A3DD3E8"/>
    <w:multiLevelType w:val="hybridMultilevel"/>
    <w:lvl w:ilvl="0">
      <w:lvlJc w:val="left"/>
      <w:lvlText w:val="%1."/>
      <w:numFmt w:val="decimal"/>
      <w:start w:val="4"/>
    </w:lvl>
  </w:abstractNum>
  <w:abstractNum w:abstractNumId="41">
    <w:nsid w:val="71C91298"/>
    <w:multiLevelType w:val="hybridMultilevel"/>
    <w:lvl w:ilvl="0">
      <w:lvlJc w:val="left"/>
      <w:lvlText w:val="%1."/>
      <w:numFmt w:val="decimal"/>
      <w:start w:val="5"/>
    </w:lvl>
  </w:abstractNum>
  <w:abstractNum w:abstractNumId="42">
    <w:nsid w:val="9DAF632"/>
    <w:multiLevelType w:val="hybridMultilevel"/>
    <w:lvl w:ilvl="0">
      <w:lvlJc w:val="left"/>
      <w:lvlText w:val="%1."/>
      <w:numFmt w:val="decimal"/>
      <w:start w:val="8"/>
    </w:lvl>
  </w:abstractNum>
  <w:abstractNum w:abstractNumId="43">
    <w:nsid w:val="53299938"/>
    <w:multiLevelType w:val="hybridMultilevel"/>
    <w:lvl w:ilvl="0">
      <w:lvlJc w:val="left"/>
      <w:lvlText w:val="•"/>
      <w:numFmt w:val="bullet"/>
      <w:start w:val="1"/>
    </w:lvl>
  </w:abstractNum>
  <w:abstractNum w:abstractNumId="44">
    <w:nsid w:val="1FBFE8E0"/>
    <w:multiLevelType w:val="hybridMultilevel"/>
    <w:lvl w:ilvl="0">
      <w:lvlJc w:val="left"/>
      <w:lvlText w:val="(%1)"/>
      <w:numFmt w:val="lowerLetter"/>
      <w:start w:val="1"/>
    </w:lvl>
  </w:abstractNum>
  <w:abstractNum w:abstractNumId="45">
    <w:nsid w:val="5092CA79"/>
    <w:multiLevelType w:val="hybridMultilevel"/>
    <w:lvl w:ilvl="0">
      <w:lvlJc w:val="left"/>
      <w:lvlText w:val="(%1)"/>
      <w:numFmt w:val="decimal"/>
      <w:start w:val="1"/>
    </w:lvl>
  </w:abstractNum>
  <w:abstractNum w:abstractNumId="46">
    <w:nsid w:val="1D545C4D"/>
    <w:multiLevelType w:val="hybridMultilevel"/>
    <w:lvl w:ilvl="0">
      <w:lvlJc w:val="left"/>
      <w:lvlText w:val="%1"/>
      <w:numFmt w:val="decimal"/>
      <w:start w:val="1"/>
    </w:lvl>
    <w:lvl w:ilvl="1">
      <w:lvlJc w:val="left"/>
      <w:lvlText w:val="(%2)"/>
      <w:numFmt w:val="decimal"/>
      <w:start w:val="1"/>
    </w:lvl>
  </w:abstractNum>
  <w:abstractNum w:abstractNumId="47">
    <w:nsid w:val="59ADEA3D"/>
    <w:multiLevelType w:val="hybridMultilevel"/>
    <w:lvl w:ilvl="0">
      <w:lvlJc w:val="left"/>
      <w:lvlText w:val="%1."/>
      <w:numFmt w:val="decimal"/>
      <w:start w:val="23"/>
    </w:lvl>
    <w:lvl w:ilvl="1">
      <w:lvlJc w:val="left"/>
      <w:lvlText w:val="%2"/>
      <w:numFmt w:val="decimal"/>
      <w:start w:val="1"/>
    </w:lvl>
  </w:abstractNum>
  <w:abstractNum w:abstractNumId="48">
    <w:nsid w:val="288F1A34"/>
    <w:multiLevelType w:val="hybridMultilevel"/>
    <w:lvl w:ilvl="0">
      <w:lvlJc w:val="left"/>
      <w:lvlText w:val="%1."/>
      <w:numFmt w:val="decimal"/>
      <w:start w:val="24"/>
    </w:lvl>
  </w:abstractNum>
  <w:abstractNum w:abstractNumId="49">
    <w:nsid w:val="2A155DBC"/>
    <w:multiLevelType w:val="hybridMultilevel"/>
    <w:lvl w:ilvl="0">
      <w:lvlJc w:val="left"/>
      <w:lvlText w:val="+"/>
      <w:numFmt w:val="bullet"/>
      <w:start w:val="1"/>
    </w:lvl>
  </w:abstractNum>
  <w:abstractNum w:abstractNumId="50">
    <w:nsid w:val="1D9F6E5F"/>
    <w:multiLevelType w:val="hybridMultilevel"/>
    <w:lvl w:ilvl="0">
      <w:lvlJc w:val="left"/>
      <w:lvlText w:val="*"/>
      <w:numFmt w:val="bullet"/>
      <w:start w:val="1"/>
    </w:lvl>
  </w:abstractNum>
  <w:abstractNum w:abstractNumId="51">
    <w:nsid w:val="97E1B4E"/>
    <w:multiLevelType w:val="hybridMultilevel"/>
    <w:lvl w:ilvl="0">
      <w:lvlJc w:val="left"/>
      <w:lvlText w:val="#"/>
      <w:numFmt w:val="bullet"/>
      <w:start w:val="1"/>
    </w:lvl>
  </w:abstractNum>
  <w:abstractNum w:abstractNumId="52">
    <w:nsid w:val="51088277"/>
    <w:multiLevelType w:val="hybridMultilevel"/>
    <w:lvl w:ilvl="0">
      <w:lvlJc w:val="left"/>
      <w:lvlText w:val="§"/>
      <w:numFmt w:val="bullet"/>
      <w:start w:val="1"/>
    </w:lvl>
  </w:abstractNum>
  <w:abstractNum w:abstractNumId="53">
    <w:nsid w:val="1CA0C5FA"/>
    <w:multiLevelType w:val="hybridMultilevel"/>
    <w:lvl w:ilvl="0">
      <w:lvlJc w:val="left"/>
      <w:lvlText w:val="%1."/>
      <w:numFmt w:val="decimal"/>
      <w:start w:val="1"/>
    </w:lvl>
  </w:abstractNum>
  <w:abstractNum w:abstractNumId="54">
    <w:nsid w:val="53584BCB"/>
    <w:multiLevelType w:val="hybridMultilevel"/>
    <w:lvl w:ilvl="0">
      <w:lvlJc w:val="left"/>
      <w:lvlText w:val="%1"/>
      <w:numFmt w:val="decimal"/>
      <w:start w:val="453"/>
    </w:lvl>
  </w:abstractNum>
  <w:abstractNum w:abstractNumId="55">
    <w:nsid w:val="415E286C"/>
    <w:multiLevelType w:val="hybridMultilevel"/>
    <w:lvl w:ilvl="0">
      <w:lvlJc w:val="left"/>
      <w:lvlText w:val="(%1)"/>
      <w:numFmt w:val="lowerRoman"/>
      <w:start w:val="1"/>
    </w:lvl>
  </w:abstractNum>
  <w:abstractNum w:abstractNumId="56">
    <w:nsid w:val="7C58FD05"/>
    <w:multiLevelType w:val="hybridMultilevel"/>
    <w:lvl w:ilvl="0">
      <w:lvlJc w:val="left"/>
      <w:lvlText w:val="(%1)"/>
      <w:numFmt w:val="lowerLetter"/>
      <w:start w:val="1"/>
    </w:lvl>
  </w:abstractNum>
  <w:abstractNum w:abstractNumId="57">
    <w:nsid w:val="23D86AAC"/>
    <w:multiLevelType w:val="hybridMultilevel"/>
    <w:lvl w:ilvl="0">
      <w:lvlJc w:val="left"/>
      <w:lvlText w:val="(%1)"/>
      <w:numFmt w:val="lowerLetter"/>
      <w:start w:val="4"/>
    </w:lvl>
  </w:abstractNum>
  <w:abstractNum w:abstractNumId="58">
    <w:nsid w:val="45E6D486"/>
    <w:multiLevelType w:val="hybridMultilevel"/>
    <w:lvl w:ilvl="0">
      <w:lvlJc w:val="left"/>
      <w:lvlText w:val="%1."/>
      <w:numFmt w:val="decimal"/>
      <w:start w:val="3"/>
    </w:lvl>
  </w:abstractNum>
  <w:abstractNum w:abstractNumId="59">
    <w:nsid w:val="5C10FE21"/>
    <w:multiLevelType w:val="hybridMultilevel"/>
    <w:lvl w:ilvl="0">
      <w:lvlJc w:val="left"/>
      <w:lvlText w:val="(%1)"/>
      <w:numFmt w:val="lowerLetter"/>
      <w:start w:val="1"/>
    </w:lvl>
    <w:lvl w:ilvl="1">
      <w:lvlJc w:val="left"/>
      <w:lvlText w:val="(%2)"/>
      <w:numFmt w:val="decimal"/>
      <w:start w:val="1"/>
    </w:lvl>
  </w:abstractNum>
  <w:abstractNum w:abstractNumId="60">
    <w:nsid w:val="E7FFA2B"/>
    <w:multiLevelType w:val="hybridMultilevel"/>
    <w:lvl w:ilvl="0">
      <w:lvlJc w:val="left"/>
      <w:lvlText w:val="(%1)"/>
      <w:numFmt w:val="decimal"/>
      <w:start w:val="1"/>
    </w:lvl>
  </w:abstractNum>
  <w:abstractNum w:abstractNumId="61">
    <w:nsid w:val="3C5991AA"/>
    <w:multiLevelType w:val="hybridMultilevel"/>
    <w:lvl w:ilvl="0">
      <w:lvlJc w:val="left"/>
      <w:lvlText w:val="(%1)"/>
      <w:numFmt w:val="decimal"/>
      <w:start w:val="3"/>
    </w:lvl>
  </w:abstractNum>
  <w:abstractNum w:abstractNumId="62">
    <w:nsid w:val="4BD8591A"/>
    <w:multiLevelType w:val="hybridMultilevel"/>
    <w:lvl w:ilvl="0">
      <w:lvlJc w:val="left"/>
      <w:lvlText w:val="(%1)"/>
      <w:numFmt w:val="decimal"/>
      <w:start w:val="11"/>
    </w:lvl>
  </w:abstractNum>
  <w:abstractNum w:abstractNumId="63">
    <w:nsid w:val="78DF6A55"/>
    <w:multiLevelType w:val="hybridMultilevel"/>
    <w:lvl w:ilvl="0">
      <w:lvlJc w:val="left"/>
      <w:lvlText w:val="(%1)"/>
      <w:numFmt w:val="decimal"/>
      <w:start w:val="21"/>
    </w:lvl>
    <w:lvl w:ilvl="1">
      <w:lvlJc w:val="left"/>
      <w:lvlText w:val="(%2)"/>
      <w:numFmt w:val="decimal"/>
      <w:start w:val="2"/>
    </w:lvl>
  </w:abstractNum>
  <w:abstractNum w:abstractNumId="64">
    <w:nsid w:val="39B7AAA2"/>
    <w:multiLevelType w:val="hybridMultilevel"/>
    <w:lvl w:ilvl="0">
      <w:lvlJc w:val="left"/>
      <w:lvlText w:val="%1"/>
      <w:numFmt w:val="lowerLetter"/>
      <w:start w:val="1"/>
    </w:lvl>
    <w:lvl w:ilvl="1">
      <w:lvlJc w:val="left"/>
      <w:lvlText w:val="(%2)"/>
      <w:numFmt w:val="decimal"/>
      <w:start w:val="3"/>
    </w:lvl>
  </w:abstractNum>
  <w:abstractNum w:abstractNumId="65">
    <w:nsid w:val="2B0D8DBE"/>
    <w:multiLevelType w:val="hybridMultilevel"/>
    <w:lvl w:ilvl="0">
      <w:lvlJc w:val="left"/>
      <w:lvlText w:val="(%1)"/>
      <w:numFmt w:val="lowerLetter"/>
      <w:start w:val="2"/>
    </w:lvl>
    <w:lvl w:ilvl="1">
      <w:lvlJc w:val="left"/>
      <w:lvlText w:val="(%2)"/>
      <w:numFmt w:val="decimal"/>
      <w:start w:val="1"/>
    </w:lvl>
  </w:abstractNum>
  <w:abstractNum w:abstractNumId="66">
    <w:nsid w:val="6C80EC70"/>
    <w:multiLevelType w:val="hybridMultilevel"/>
    <w:lvl w:ilvl="0">
      <w:lvlJc w:val="left"/>
      <w:lvlText w:val="%1"/>
      <w:numFmt w:val="lowerLetter"/>
      <w:start w:val="1"/>
    </w:lvl>
    <w:lvl w:ilvl="1">
      <w:lvlJc w:val="left"/>
      <w:lvlText w:val="(%2)"/>
      <w:numFmt w:val="decimal"/>
      <w:start w:val="4"/>
    </w:lvl>
  </w:abstractNum>
  <w:abstractNum w:abstractNumId="67">
    <w:nsid w:val="379E21B5"/>
    <w:multiLevelType w:val="hybridMultilevel"/>
    <w:lvl w:ilvl="0">
      <w:lvlJc w:val="left"/>
      <w:lvlText w:val="(%1)"/>
      <w:numFmt w:val="lowerLetter"/>
      <w:start w:val="3"/>
    </w:lvl>
    <w:lvl w:ilvl="1">
      <w:lvlJc w:val="left"/>
      <w:lvlText w:val="(%2)"/>
      <w:numFmt w:val="decimal"/>
      <w:start w:val="1"/>
    </w:lvl>
  </w:abstractNum>
  <w:abstractNum w:abstractNumId="68">
    <w:nsid w:val="69E373"/>
    <w:multiLevelType w:val="hybridMultilevel"/>
    <w:lvl w:ilvl="0">
      <w:lvlJc w:val="left"/>
      <w:lvlText w:val="%1."/>
      <w:numFmt w:val="decimal"/>
      <w:start w:val="4"/>
    </w:lvl>
  </w:abstractNum>
  <w:abstractNum w:abstractNumId="69">
    <w:nsid w:val="2C27173B"/>
    <w:multiLevelType w:val="hybridMultilevel"/>
    <w:lvl w:ilvl="0">
      <w:lvlJc w:val="left"/>
      <w:lvlText w:val="(%1)"/>
      <w:numFmt w:val="lowerLetter"/>
      <w:start w:val="1"/>
    </w:lvl>
    <w:lvl w:ilvl="1">
      <w:lvlJc w:val="left"/>
      <w:lvlText w:val="(%2)"/>
      <w:numFmt w:val="lowerRoman"/>
      <w:start w:val="1"/>
    </w:lvl>
  </w:abstractNum>
  <w:abstractNum w:abstractNumId="70">
    <w:nsid w:val="4C9B090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1">
    <w:nsid w:val="6AA7B75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2">
    <w:nsid w:val="1DF029D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3">
    <w:nsid w:val="5675FF36"/>
    <w:multiLevelType w:val="hybridMultilevel"/>
    <w:lvl w:ilvl="0">
      <w:lvlJc w:val="left"/>
      <w:lvlText w:val="(%1)"/>
      <w:numFmt w:val="lowerLetter"/>
      <w:start w:val="1"/>
    </w:lvl>
    <w:lvl w:ilvl="1">
      <w:lvlJc w:val="left"/>
      <w:lvlText w:val="(%2)"/>
      <w:numFmt w:val="decimal"/>
      <w:start w:val="1"/>
    </w:lvl>
  </w:abstractNum>
  <w:abstractNum w:abstractNumId="74">
    <w:nsid w:val="3DD15094"/>
    <w:multiLevelType w:val="hybridMultilevel"/>
    <w:lvl w:ilvl="0">
      <w:lvlJc w:val="left"/>
      <w:lvlText w:val="%1"/>
      <w:numFmt w:val="lowerLetter"/>
      <w:start w:val="1"/>
    </w:lvl>
    <w:lvl w:ilvl="1">
      <w:lvlJc w:val="left"/>
      <w:lvlText w:val="(%2)"/>
      <w:numFmt w:val="decimal"/>
      <w:start w:val="6"/>
    </w:lvl>
  </w:abstractNum>
  <w:abstractNum w:abstractNumId="75">
    <w:nsid w:val="3DB012B3"/>
    <w:multiLevelType w:val="hybridMultilevel"/>
    <w:lvl w:ilvl="0">
      <w:lvlJc w:val="left"/>
      <w:lvlText w:val="(%1)"/>
      <w:numFmt w:val="lowerLetter"/>
      <w:start w:val="2"/>
    </w:lvl>
    <w:lvl w:ilvl="1">
      <w:lvlJc w:val="left"/>
      <w:lvlText w:val="%2"/>
      <w:numFmt w:val="decimal"/>
      <w:start w:val="1"/>
    </w:lvl>
  </w:abstractNum>
  <w:abstractNum w:abstractNumId="76">
    <w:nsid w:val="2708C9AF"/>
    <w:multiLevelType w:val="hybridMultilevel"/>
    <w:lvl w:ilvl="0">
      <w:lvlJc w:val="left"/>
      <w:lvlText w:val="(%1)"/>
      <w:numFmt w:val="lowerLetter"/>
      <w:start w:val="4"/>
    </w:lvl>
  </w:abstractNum>
  <w:abstractNum w:abstractNumId="77">
    <w:nsid w:val="5B25ACE2"/>
    <w:multiLevelType w:val="hybridMultilevel"/>
    <w:lvl w:ilvl="0">
      <w:lvlJc w:val="left"/>
      <w:lvlText w:val="(%1)"/>
      <w:numFmt w:val="lowerLetter"/>
      <w:start w:val="7"/>
    </w:lvl>
  </w:abstractNum>
  <w:abstractNum w:abstractNumId="78">
    <w:nsid w:val="175DFCF0"/>
    <w:multiLevelType w:val="hybridMultilevel"/>
    <w:lvl w:ilvl="0">
      <w:lvlJc w:val="left"/>
      <w:lvlText w:val="%1."/>
      <w:numFmt w:val="decimal"/>
      <w:start w:val="6"/>
    </w:lvl>
  </w:abstractNum>
  <w:abstractNum w:abstractNumId="79">
    <w:nsid w:val="4F97E3E4"/>
    <w:multiLevelType w:val="hybridMultilevel"/>
    <w:lvl w:ilvl="0">
      <w:lvlJc w:val="left"/>
      <w:lvlText w:val="(%1)"/>
      <w:numFmt w:val="lowerLetter"/>
      <w:start w:val="5"/>
    </w:lvl>
  </w:abstractNum>
  <w:abstractNum w:abstractNumId="80">
    <w:nsid w:val="53B0A9E"/>
    <w:multiLevelType w:val="hybridMultilevel"/>
    <w:lvl w:ilvl="0">
      <w:lvlJc w:val="left"/>
      <w:lvlText w:val="%1."/>
      <w:numFmt w:val="decimal"/>
      <w:start w:val="7"/>
    </w:lvl>
  </w:abstractNum>
  <w:abstractNum w:abstractNumId="81">
    <w:nsid w:val="34FD6B4F"/>
    <w:multiLevelType w:val="hybridMultilevel"/>
    <w:lvl w:ilvl="0">
      <w:lvlJc w:val="left"/>
      <w:lvlText w:val="%1."/>
      <w:numFmt w:val="decimal"/>
      <w:start w:val="8"/>
    </w:lvl>
  </w:abstractNum>
  <w:abstractNum w:abstractNumId="82">
    <w:nsid w:val="5915FF32"/>
    <w:multiLevelType w:val="hybridMultilevel"/>
    <w:lvl w:ilvl="0">
      <w:lvlJc w:val="left"/>
      <w:lvlText w:val="%1."/>
      <w:numFmt w:val="decimal"/>
      <w:start w:val="10"/>
    </w:lvl>
  </w:abstractNum>
  <w:abstractNum w:abstractNumId="83">
    <w:nsid w:val="56438D15"/>
    <w:multiLevelType w:val="hybridMultilevel"/>
    <w:lvl w:ilvl="0">
      <w:lvlJc w:val="left"/>
      <w:lvlText w:val="%1."/>
      <w:numFmt w:val="decimal"/>
      <w:start w:val="11"/>
    </w:lvl>
  </w:abstractNum>
  <w:abstractNum w:abstractNumId="84">
    <w:nsid w:val="519E3149"/>
    <w:multiLevelType w:val="hybridMultilevel"/>
    <w:lvl w:ilvl="0">
      <w:lvlJc w:val="left"/>
      <w:lvlText w:val="(%1)"/>
      <w:numFmt w:val="lowerLetter"/>
      <w:start w:val="1"/>
    </w:lvl>
  </w:abstractNum>
  <w:abstractNum w:abstractNumId="85">
    <w:nsid w:val="2C6E4AFD"/>
    <w:multiLevelType w:val="hybridMultilevel"/>
    <w:lvl w:ilvl="0">
      <w:lvlJc w:val="left"/>
      <w:lvlText w:val="(%1)"/>
      <w:numFmt w:val="lowerLetter"/>
      <w:start w:val="3"/>
    </w:lvl>
  </w:abstractNum>
  <w:abstractNum w:abstractNumId="86">
    <w:nsid w:val="17A1B582"/>
    <w:multiLevelType w:val="hybridMultilevel"/>
    <w:lvl w:ilvl="0">
      <w:lvlJc w:val="left"/>
      <w:lvlText w:val="%1."/>
      <w:numFmt w:val="decimal"/>
      <w:start w:val="12"/>
    </w:lvl>
    <w:lvl w:ilvl="1">
      <w:lvlJc w:val="left"/>
      <w:lvlText w:val="(%2)"/>
      <w:numFmt w:val="lowerLetter"/>
      <w:start w:val="1"/>
    </w:lvl>
  </w:abstractNum>
  <w:abstractNum w:abstractNumId="87">
    <w:nsid w:val="4DF72E4E"/>
    <w:multiLevelType w:val="hybridMultilevel"/>
    <w:lvl w:ilvl="0">
      <w:lvlJc w:val="left"/>
      <w:lvlText w:val="(%1)"/>
      <w:numFmt w:val="lowerLetter"/>
      <w:start w:val="1"/>
    </w:lvl>
  </w:abstractNum>
  <w:abstractNum w:abstractNumId="88">
    <w:nsid w:val="5046B5A9"/>
    <w:multiLevelType w:val="hybridMultilevel"/>
    <w:lvl w:ilvl="0">
      <w:lvlJc w:val="left"/>
      <w:lvlText w:val="(%1)"/>
      <w:numFmt w:val="lowerLetter"/>
      <w:start w:val="1"/>
    </w:lvl>
  </w:abstractNum>
  <w:abstractNum w:abstractNumId="89">
    <w:nsid w:val="5D888A08"/>
    <w:multiLevelType w:val="hybridMultilevel"/>
    <w:lvl w:ilvl="0">
      <w:lvlJc w:val="left"/>
      <w:lvlText w:val="(%1)"/>
      <w:numFmt w:val="decimal"/>
      <w:start w:val="365"/>
    </w:lvl>
  </w:abstractNum>
  <w:abstractNum w:abstractNumId="90">
    <w:nsid w:val="2A082C70"/>
    <w:multiLevelType w:val="hybridMultilevel"/>
    <w:lvl w:ilvl="0">
      <w:lvlJc w:val="left"/>
      <w:lvlText w:val="%1."/>
      <w:numFmt w:val="decimal"/>
      <w:start w:val="13"/>
    </w:lvl>
    <w:lvl w:ilvl="1">
      <w:lvlJc w:val="left"/>
      <w:lvlText w:val="(%2)"/>
      <w:numFmt w:val="lowerLetter"/>
      <w:start w:val="1"/>
    </w:lvl>
  </w:abstractNum>
  <w:abstractNum w:abstractNumId="91">
    <w:nsid w:val="5EC6AFD4"/>
    <w:multiLevelType w:val="hybridMultilevel"/>
    <w:lvl w:ilvl="0">
      <w:lvlJc w:val="left"/>
      <w:lvlText w:val="%1"/>
      <w:numFmt w:val="decimal"/>
      <w:start w:val="1"/>
    </w:lvl>
    <w:lvl w:ilvl="1">
      <w:lvlJc w:val="left"/>
      <w:lvlText w:val="(%2)"/>
      <w:numFmt w:val="lowerLetter"/>
      <w:start w:val="1"/>
    </w:lvl>
  </w:abstractNum>
  <w:abstractNum w:abstractNumId="92">
    <w:nsid w:val="19E21BB2"/>
    <w:multiLevelType w:val="hybridMultilevel"/>
    <w:lvl w:ilvl="0">
      <w:lvlJc w:val="left"/>
      <w:lvlText w:val="(%1)"/>
      <w:numFmt w:val="decimal"/>
      <w:start w:val="60"/>
    </w:lvl>
    <w:lvl w:ilvl="1">
      <w:lvlJc w:val="left"/>
      <w:lvlText w:val="(%2)"/>
      <w:numFmt w:val="lowerLetter"/>
      <w:start w:val="2"/>
    </w:lvl>
  </w:abstractNum>
  <w:abstractNum w:abstractNumId="93">
    <w:nsid w:val="75E0858A"/>
    <w:multiLevelType w:val="hybridMultilevel"/>
    <w:lvl w:ilvl="0">
      <w:lvlJc w:val="left"/>
      <w:lvlText w:val="%1."/>
      <w:numFmt w:val="decimal"/>
      <w:start w:val="14"/>
    </w:lvl>
  </w:abstractNum>
  <w:abstractNum w:abstractNumId="94">
    <w:nsid w:val="57A61A29"/>
    <w:multiLevelType w:val="hybridMultilevel"/>
    <w:lvl w:ilvl="0">
      <w:lvlJc w:val="left"/>
      <w:lvlText w:val="%1."/>
      <w:numFmt w:val="decimal"/>
      <w:start w:val="15"/>
    </w:lvl>
  </w:abstractNum>
  <w:abstractNum w:abstractNumId="95">
    <w:nsid w:val="5399C654"/>
    <w:multiLevelType w:val="hybridMultilevel"/>
    <w:lvl w:ilvl="0">
      <w:lvlJc w:val="left"/>
      <w:lvlText w:val="(%1)"/>
      <w:numFmt w:val="lowerLetter"/>
      <w:start w:val="1"/>
    </w:lvl>
  </w:abstractNum>
  <w:abstractNum w:abstractNumId="96">
    <w:nsid w:val="20EE1348"/>
    <w:multiLevelType w:val="hybridMultilevel"/>
    <w:lvl w:ilvl="0">
      <w:lvlJc w:val="left"/>
      <w:lvlText w:val="%1"/>
      <w:numFmt w:val="decimal"/>
      <w:start w:val="1"/>
    </w:lvl>
    <w:lvl w:ilvl="1">
      <w:lvlJc w:val="left"/>
      <w:lvlText w:val="(%2)"/>
      <w:numFmt w:val="lowerLetter"/>
      <w:start w:val="5"/>
    </w:lvl>
  </w:abstractNum>
  <w:abstractNum w:abstractNumId="97">
    <w:nsid w:val="4427069A"/>
    <w:multiLevelType w:val="hybridMultilevel"/>
    <w:lvl w:ilvl="0">
      <w:lvlJc w:val="left"/>
      <w:lvlText w:val="(%1)"/>
      <w:numFmt w:val="decimal"/>
      <w:start w:val="90"/>
    </w:lvl>
    <w:lvl w:ilvl="1">
      <w:lvlJc w:val="left"/>
      <w:lvlText w:val="%2"/>
      <w:numFmt w:val="lowerLetter"/>
      <w:start w:val="1"/>
    </w:lvl>
  </w:abstractNum>
  <w:abstractNum w:abstractNumId="98">
    <w:nsid w:val="B37E80A"/>
    <w:multiLevelType w:val="hybridMultilevel"/>
    <w:lvl w:ilvl="0">
      <w:lvlJc w:val="left"/>
      <w:lvlText w:val="(%1)"/>
      <w:numFmt w:val="lowerLetter"/>
      <w:start w:val="1"/>
    </w:lvl>
  </w:abstractNum>
  <w:abstractNum w:abstractNumId="99">
    <w:nsid w:val="2157F6BC"/>
    <w:multiLevelType w:val="hybridMultilevel"/>
    <w:lvl w:ilvl="0">
      <w:lvlJc w:val="left"/>
      <w:lvlText w:val="%1."/>
      <w:numFmt w:val="decimal"/>
      <w:start w:val="16"/>
    </w:lvl>
  </w:abstractNum>
  <w:abstractNum w:abstractNumId="100">
    <w:nsid w:val="704E1DD5"/>
    <w:multiLevelType w:val="hybridMultilevel"/>
    <w:lvl w:ilvl="0">
      <w:lvlJc w:val="left"/>
      <w:lvlText w:val="%1."/>
      <w:numFmt w:val="decimal"/>
      <w:start w:val="17"/>
    </w:lvl>
  </w:abstractNum>
  <w:abstractNum w:abstractNumId="101">
    <w:nsid w:val="57D2F10E"/>
    <w:multiLevelType w:val="hybridMultilevel"/>
    <w:lvl w:ilvl="0">
      <w:lvlJc w:val="left"/>
      <w:lvlText w:val="%1."/>
      <w:numFmt w:val="decimal"/>
      <w:start w:val="18"/>
    </w:lvl>
  </w:abstractNum>
  <w:abstractNum w:abstractNumId="102">
    <w:nsid w:val="BFFAE18"/>
    <w:multiLevelType w:val="hybridMultilevel"/>
    <w:lvl w:ilvl="0">
      <w:lvlJc w:val="left"/>
      <w:lvlText w:val="%1."/>
      <w:numFmt w:val="decimal"/>
      <w:start w:val="21"/>
    </w:lvl>
  </w:abstractNum>
  <w:abstractNum w:abstractNumId="103">
    <w:nsid w:val="E3E47A8"/>
    <w:multiLevelType w:val="hybridMultilevel"/>
    <w:lvl w:ilvl="0">
      <w:lvlJc w:val="left"/>
      <w:lvlText w:val="%1."/>
      <w:numFmt w:val="decimal"/>
      <w:start w:val="22"/>
    </w:lvl>
  </w:abstractNum>
  <w:abstractNum w:abstractNumId="104">
    <w:nsid w:val="2E48F044"/>
    <w:multiLevelType w:val="hybridMultilevel"/>
    <w:lvl w:ilvl="0">
      <w:lvlJc w:val="left"/>
      <w:lvlText w:val="%1."/>
      <w:numFmt w:val="decimal"/>
      <w:start w:val="23"/>
    </w:lvl>
  </w:abstractNum>
  <w:abstractNum w:abstractNumId="105">
    <w:nsid w:val="49D0FEAC"/>
    <w:multiLevelType w:val="hybridMultilevel"/>
    <w:lvl w:ilvl="0">
      <w:lvlJc w:val="left"/>
      <w:lvlText w:val="%1."/>
      <w:numFmt w:val="decimal"/>
      <w:start w:val="27"/>
    </w:lvl>
  </w:abstractNum>
  <w:abstractNum w:abstractNumId="106">
    <w:nsid w:val="4BEE5A5B"/>
    <w:multiLevelType w:val="hybridMultilevel"/>
    <w:lvl w:ilvl="0">
      <w:lvlJc w:val="left"/>
      <w:lvlText w:val="%1."/>
      <w:numFmt w:val="decimal"/>
      <w:start w:val="29"/>
    </w:lvl>
  </w:abstractNum>
  <w:abstractNum w:abstractNumId="107">
    <w:nsid w:val="5551B9F3"/>
    <w:multiLevelType w:val="hybridMultilevel"/>
    <w:lvl w:ilvl="0">
      <w:lvlJc w:val="left"/>
      <w:lvlText w:val="%1."/>
      <w:numFmt w:val="decimal"/>
      <w:start w:val="30"/>
    </w:lvl>
  </w:abstractNum>
  <w:abstractNum w:abstractNumId="108">
    <w:nsid w:val="24F6AB8E"/>
    <w:multiLevelType w:val="hybridMultilevel"/>
    <w:lvl w:ilvl="0">
      <w:lvlJc w:val="left"/>
      <w:lvlText w:val="%1."/>
      <w:numFmt w:val="decimal"/>
      <w:start w:val="33"/>
    </w:lvl>
    <w:lvl w:ilvl="1">
      <w:lvlJc w:val="left"/>
      <w:lvlText w:val="(%2)"/>
      <w:numFmt w:val="lowerLetter"/>
      <w:start w:val="1"/>
    </w:lvl>
  </w:abstractNum>
  <w:abstractNum w:abstractNumId="109">
    <w:nsid w:val="634C574C"/>
    <w:multiLevelType w:val="hybridMultilevel"/>
    <w:lvl w:ilvl="0">
      <w:lvlJc w:val="left"/>
      <w:lvlText w:val="%1."/>
      <w:numFmt w:val="decimal"/>
      <w:start w:val="34"/>
    </w:lvl>
    <w:lvl w:ilvl="1">
      <w:lvlJc w:val="left"/>
      <w:lvlText w:val="(%2)"/>
      <w:numFmt w:val="lowerLetter"/>
      <w:start w:val="1"/>
    </w:lvl>
  </w:abstractNum>
  <w:abstractNum w:abstractNumId="110">
    <w:nsid w:val="24E99DD7"/>
    <w:multiLevelType w:val="hybridMultilevel"/>
    <w:lvl w:ilvl="0">
      <w:lvlJc w:val="left"/>
      <w:lvlText w:val="%1"/>
      <w:numFmt w:val="decimal"/>
      <w:start w:val="1"/>
    </w:lvl>
    <w:lvl w:ilvl="1">
      <w:lvlJc w:val="left"/>
      <w:lvlText w:val="(%2)"/>
      <w:numFmt w:val="lowerLetter"/>
      <w:start w:val="3"/>
    </w:lvl>
  </w:abstractNum>
  <w:abstractNum w:abstractNumId="111">
    <w:nsid w:val="2A31B62D"/>
    <w:multiLevelType w:val="hybridMultilevel"/>
    <w:lvl w:ilvl="0">
      <w:lvlJc w:val="left"/>
      <w:lvlText w:val="%1."/>
      <w:numFmt w:val="decimal"/>
      <w:start w:val="36"/>
    </w:lvl>
    <w:lvl w:ilvl="1">
      <w:lvlJc w:val="left"/>
      <w:lvlText w:val="%2"/>
      <w:numFmt w:val="lowerLetter"/>
      <w:start w:val="1"/>
    </w:lvl>
  </w:abstractNum>
  <w:abstractNum w:abstractNumId="112">
    <w:nsid w:val="1849C29B"/>
    <w:multiLevelType w:val="hybridMultilevel"/>
    <w:lvl w:ilvl="0">
      <w:lvlJc w:val="left"/>
      <w:lvlText w:val="%1."/>
      <w:numFmt w:val="decimal"/>
      <w:start w:val="38"/>
    </w:lvl>
  </w:abstractNum>
  <w:abstractNum w:abstractNumId="113">
    <w:nsid w:val="7DFF9D09"/>
    <w:multiLevelType w:val="hybridMultilevel"/>
    <w:lvl w:ilvl="0">
      <w:lvlJc w:val="left"/>
      <w:lvlText w:val="%1."/>
      <w:numFmt w:val="decimal"/>
      <w:start w:val="1"/>
    </w:lvl>
  </w:abstractNum>
  <w:abstractNum w:abstractNumId="114">
    <w:nsid w:val="754342"/>
    <w:multiLevelType w:val="hybridMultilevel"/>
    <w:lvl w:ilvl="0">
      <w:lvlJc w:val="left"/>
      <w:lvlText w:val="(%1)"/>
      <w:numFmt w:val="lowerLetter"/>
      <w:start w:val="1"/>
    </w:lvl>
  </w:abstractNum>
  <w:abstractNum w:abstractNumId="115">
    <w:nsid w:val="69E7F3E5"/>
    <w:multiLevelType w:val="hybridMultilevel"/>
    <w:lvl w:ilvl="0">
      <w:lvlJc w:val="left"/>
      <w:lvlText w:val="%1."/>
      <w:numFmt w:val="decimal"/>
      <w:start w:val="2"/>
    </w:lvl>
  </w:abstractNum>
  <w:abstractNum w:abstractNumId="116">
    <w:nsid w:val="2A6DE806"/>
    <w:multiLevelType w:val="hybridMultilevel"/>
    <w:lvl w:ilvl="0">
      <w:lvlJc w:val="left"/>
      <w:lvlText w:val="(%1)"/>
      <w:numFmt w:val="lowerLetter"/>
      <w:start w:val="1"/>
    </w:lvl>
  </w:abstractNum>
  <w:abstractNum w:abstractNumId="117">
    <w:nsid w:val="1816F8C4"/>
    <w:multiLevelType w:val="hybridMultilevel"/>
    <w:lvl w:ilvl="0">
      <w:lvlJc w:val="left"/>
      <w:lvlText w:val="(%1)"/>
      <w:numFmt w:val="lowerLetter"/>
      <w:start w:val="1"/>
    </w:lvl>
  </w:abstractNum>
  <w:abstractNum w:abstractNumId="118">
    <w:nsid w:val="37DF2233"/>
    <w:multiLevelType w:val="hybridMultilevel"/>
    <w:lvl w:ilvl="0">
      <w:lvlJc w:val="left"/>
      <w:lvlText w:val="(%1)"/>
      <w:numFmt w:val="lowerLetter"/>
      <w:start w:val="2"/>
    </w:lvl>
  </w:abstractNum>
  <w:abstractNum w:abstractNumId="119">
    <w:nsid w:val="7AB49DAF"/>
    <w:multiLevelType w:val="hybridMultilevel"/>
    <w:lvl w:ilvl="0">
      <w:lvlJc w:val="left"/>
      <w:lvlText w:val="(%1)"/>
      <w:numFmt w:val="lowerLetter"/>
      <w:start w:val="1"/>
    </w:lvl>
  </w:abstractNum>
  <w:abstractNum w:abstractNumId="120">
    <w:nsid w:val="759F82CD"/>
    <w:multiLevelType w:val="hybridMultilevel"/>
    <w:lvl w:ilvl="0">
      <w:lvlJc w:val="left"/>
      <w:lvlText w:val="%1."/>
      <w:numFmt w:val="decimal"/>
      <w:start w:val="3"/>
    </w:lvl>
  </w:abstractNum>
  <w:abstractNum w:abstractNumId="121">
    <w:nsid w:val="61E74EA3"/>
    <w:multiLevelType w:val="hybridMultilevel"/>
    <w:lvl w:ilvl="0">
      <w:lvlJc w:val="left"/>
      <w:lvlText w:val="%1."/>
      <w:numFmt w:val="upperLetter"/>
      <w:start w:val="9"/>
    </w:lvl>
  </w:abstractNum>
  <w:abstractNum w:abstractNumId="122">
    <w:nsid w:val="597B4D84"/>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123">
    <w:nsid w:val="F819E7F"/>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9"/>
    </w:lvl>
  </w:abstractNum>
  <w:abstractNum w:abstractNumId="124">
    <w:nsid w:val="57C7D42D"/>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5"/>
    </w:lvl>
  </w:abstractNum>
  <w:abstractNum w:abstractNumId="125">
    <w:nsid w:val="312167A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26">
    <w:nsid w:val="631B64D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27">
    <w:nsid w:val="78B5E77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2"/>
    </w:lvl>
    <w:lvl w:ilvl="4">
      <w:lvlJc w:val="left"/>
      <w:lvlText w:val="%5)"/>
      <w:numFmt w:val="decimal"/>
      <w:start w:val="1"/>
    </w:lvl>
    <w:lvl w:ilvl="5">
      <w:lvlJc w:val="left"/>
      <w:lvlText w:val="%6"/>
      <w:numFmt w:val="lowerLetter"/>
      <w:start w:val="1"/>
    </w:lvl>
  </w:abstractNum>
  <w:abstractNum w:abstractNumId="128">
    <w:nsid w:val="75486E47"/>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lvl w:ilvl="3">
      <w:lvlJc w:val="left"/>
      <w:lvlText w:val="%4."/>
      <w:numFmt w:val="lowerLetter"/>
      <w:start w:val="1"/>
    </w:lvl>
    <w:lvl w:ilvl="4">
      <w:lvlJc w:val="left"/>
      <w:lvlText w:val="%5)"/>
      <w:numFmt w:val="decimal"/>
      <w:start w:val="1"/>
    </w:lvl>
    <w:lvl w:ilvl="5">
      <w:lvlJc w:val="left"/>
      <w:lvlText w:val="%6"/>
      <w:numFmt w:val="lowerLetter"/>
      <w:start w:val="1"/>
    </w:lvl>
  </w:abstractNum>
  <w:abstractNum w:abstractNumId="129">
    <w:nsid w:val="6E534CD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decimal"/>
      <w:start w:val="1"/>
    </w:lvl>
    <w:lvl w:ilvl="5">
      <w:lvlJc w:val="left"/>
      <w:lvlText w:val="(%6)"/>
      <w:numFmt w:val="lowerLetter"/>
      <w:start w:val="1"/>
    </w:lvl>
  </w:abstractNum>
  <w:abstractNum w:abstractNumId="130">
    <w:nsid w:val="1A0DDE3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decimal"/>
      <w:start w:val="1"/>
    </w:lvl>
    <w:lvl w:ilvl="4">
      <w:lvlJc w:val="left"/>
      <w:lvlText w:val="%5"/>
      <w:numFmt w:val="lowerLetter"/>
      <w:start w:val="1"/>
    </w:lvl>
    <w:lvl w:ilvl="5">
      <w:lvlJc w:val="left"/>
      <w:lvlText w:val="(%6)"/>
      <w:numFmt w:val="lowerLetter"/>
      <w:start w:val="4"/>
    </w:lvl>
  </w:abstractNum>
  <w:abstractNum w:abstractNumId="131">
    <w:nsid w:val="65968C1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decimal"/>
      <w:start w:val="2"/>
    </w:lvl>
    <w:lvl w:ilvl="4">
      <w:lvlJc w:val="left"/>
      <w:lvlText w:val="(%5)"/>
      <w:numFmt w:val="lowerLetter"/>
      <w:start w:val="1"/>
    </w:lvl>
    <w:lvl w:ilvl="5">
      <w:lvlJc w:val="left"/>
      <w:lvlText w:val="%6"/>
      <w:numFmt w:val="lowerLetter"/>
      <w:start w:val="1"/>
    </w:lvl>
  </w:abstractNum>
  <w:abstractNum w:abstractNumId="132">
    <w:nsid w:val="46263DEC"/>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133">
    <w:nsid w:val="260D8C4A"/>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decimal"/>
      <w:start w:val="4"/>
    </w:lvl>
    <w:lvl w:ilvl="4">
      <w:lvlJc w:val="left"/>
      <w:lvlText w:val="%5"/>
      <w:numFmt w:val="lowerLetter"/>
      <w:start w:val="1"/>
    </w:lvl>
    <w:lvl w:ilvl="5">
      <w:lvlJc w:val="left"/>
      <w:lvlText w:val="%6"/>
      <w:numFmt w:val="lowerLetter"/>
      <w:start w:val="1"/>
    </w:lvl>
  </w:abstractNum>
  <w:abstractNum w:abstractNumId="134">
    <w:nsid w:val="73D4D3C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135">
    <w:nsid w:val="746F2E30"/>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decimal"/>
      <w:start w:val="1"/>
    </w:lvl>
    <w:lvl w:ilvl="5">
      <w:lvlJc w:val="left"/>
      <w:lvlText w:val="%6)"/>
      <w:numFmt w:val="decimal"/>
      <w:start w:val="1"/>
    </w:lvl>
  </w:abstractNum>
  <w:abstractNum w:abstractNumId="136">
    <w:nsid w:val="6FDE8AF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37">
    <w:nsid w:val="3FC32E2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decimal"/>
      <w:start w:val="1"/>
    </w:lvl>
  </w:abstractNum>
  <w:abstractNum w:abstractNumId="138">
    <w:nsid w:val="49C0E823"/>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1"/>
    </w:lvl>
    <w:lvl w:ilvl="3">
      <w:lvlJc w:val="left"/>
      <w:lvlText w:val="%4"/>
      <w:numFmt w:val="decimal"/>
      <w:start w:val="1"/>
    </w:lvl>
  </w:abstractNum>
  <w:abstractNum w:abstractNumId="139">
    <w:nsid w:val="14D5368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40">
    <w:nsid w:val="230F856C"/>
    <w:multiLevelType w:val="hybridMultilevel"/>
    <w:lvl w:ilvl="0">
      <w:lvlJc w:val="left"/>
      <w:lvlText w:val="%1."/>
      <w:numFmt w:val="lowerLetter"/>
      <w:start w:val="2"/>
    </w:lvl>
  </w:abstractNum>
  <w:abstractNum w:abstractNumId="141">
    <w:nsid w:val="6EAA85FB"/>
    <w:multiLevelType w:val="hybridMultilevel"/>
    <w:lvl w:ilvl="0">
      <w:lvlJc w:val="left"/>
      <w:lvlText w:val="%1."/>
      <w:numFmt w:val="lowerLetter"/>
      <w:start w:val="3"/>
    </w:lvl>
  </w:abstractNum>
  <w:abstractNum w:abstractNumId="142">
    <w:nsid w:val="3F06ECB2"/>
    <w:multiLevelType w:val="hybridMultilevel"/>
    <w:lvl w:ilvl="0">
      <w:lvlJc w:val="left"/>
      <w:lvlText w:val="%1."/>
      <w:numFmt w:val="lowerLetter"/>
      <w:start w:val="4"/>
    </w:lvl>
  </w:abstractNum>
  <w:abstractNum w:abstractNumId="143">
    <w:nsid w:val="3B594807"/>
    <w:multiLevelType w:val="hybridMultilevel"/>
    <w:lvl w:ilvl="0">
      <w:lvlJc w:val="left"/>
      <w:lvlText w:val="%1."/>
      <w:numFmt w:val="decimal"/>
      <w:start w:val="3"/>
    </w:lvl>
  </w:abstractNum>
  <w:abstractNum w:abstractNumId="144">
    <w:nsid w:val="6CAA230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45">
    <w:nsid w:val="3F7C2FF4"/>
    <w:multiLevelType w:val="hybridMultilevel"/>
    <w:lvl w:ilvl="0">
      <w:lvlJc w:val="left"/>
      <w:lvlText w:val="%1."/>
      <w:numFmt w:val="decimal"/>
      <w:start w:val="4"/>
    </w:lvl>
    <w:lvl w:ilvl="1">
      <w:lvlJc w:val="left"/>
      <w:lvlText w:val="%2."/>
      <w:numFmt w:val="decimal"/>
      <w:start w:val="4"/>
    </w:lvl>
    <w:lvl w:ilvl="2">
      <w:lvlJc w:val="left"/>
      <w:lvlText w:val="%3."/>
      <w:numFmt w:val="lowerLetter"/>
      <w:start w:val="1"/>
    </w:lvl>
  </w:abstractNum>
  <w:abstractNum w:abstractNumId="146">
    <w:nsid w:val="25413BE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147">
    <w:nsid w:val="17180B0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decimal"/>
      <w:start w:val="1"/>
    </w:lvl>
    <w:lvl w:ilvl="4">
      <w:lvlJc w:val="left"/>
      <w:lvlText w:val="%5"/>
      <w:numFmt w:val="decimal"/>
      <w:start w:val="1"/>
    </w:lvl>
    <w:lvl w:ilvl="5">
      <w:lvlJc w:val="left"/>
      <w:lvlText w:val="%6"/>
      <w:numFmt w:val="lowerLetter"/>
      <w:start w:val="1"/>
    </w:lvl>
  </w:abstractNum>
  <w:abstractNum w:abstractNumId="148">
    <w:nsid w:val="579328B9"/>
    <w:multiLevelType w:val="hybridMultilevel"/>
    <w:lvl w:ilvl="0">
      <w:lvlJc w:val="left"/>
      <w:lvlText w:val="%1"/>
      <w:numFmt w:val="upperLetter"/>
      <w:start w:val="1"/>
    </w:lvl>
    <w:lvl w:ilvl="1">
      <w:lvlJc w:val="left"/>
      <w:lvlText w:val="%2."/>
      <w:numFmt w:val="decimal"/>
      <w:start w:val="10"/>
    </w:lvl>
    <w:lvl w:ilvl="2">
      <w:lvlJc w:val="left"/>
      <w:lvlText w:val="%3."/>
      <w:numFmt w:val="lowerLetter"/>
      <w:start w:val="1"/>
    </w:lvl>
    <w:lvl w:ilvl="3">
      <w:lvlJc w:val="left"/>
      <w:lvlText w:val="%4"/>
      <w:numFmt w:val="decimal"/>
      <w:start w:val="1"/>
    </w:lvl>
    <w:lvl w:ilvl="4">
      <w:lvlJc w:val="left"/>
      <w:lvlText w:val="%5"/>
      <w:numFmt w:val="decimal"/>
      <w:start w:val="1"/>
    </w:lvl>
    <w:lvl w:ilvl="5">
      <w:lvlJc w:val="left"/>
      <w:lvlText w:val="%6"/>
      <w:numFmt w:val="lowerLetter"/>
      <w:start w:val="1"/>
    </w:lvl>
  </w:abstractNum>
  <w:abstractNum w:abstractNumId="149">
    <w:nsid w:val="5D205E20"/>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lvl w:ilvl="3">
      <w:lvlJc w:val="left"/>
      <w:lvlText w:val="%4)"/>
      <w:numFmt w:val="decimal"/>
      <w:start w:val="1"/>
    </w:lvl>
    <w:lvl w:ilvl="4">
      <w:lvlJc w:val="left"/>
      <w:lvlText w:val="%5)"/>
      <w:numFmt w:val="decimal"/>
      <w:start w:val="1"/>
    </w:lvl>
    <w:lvl w:ilvl="5">
      <w:lvlJc w:val="left"/>
      <w:lvlText w:val="(%6)"/>
      <w:numFmt w:val="lowerLetter"/>
      <w:start w:val="1"/>
    </w:lvl>
  </w:abstractNum>
  <w:abstractNum w:abstractNumId="150">
    <w:nsid w:val="11CCA8BA"/>
    <w:multiLevelType w:val="hybridMultilevel"/>
    <w:lvl w:ilvl="0">
      <w:lvlJc w:val="left"/>
      <w:lvlText w:val="%1"/>
      <w:numFmt w:val="decimal"/>
      <w:start w:val="1"/>
    </w:lvl>
    <w:lvl w:ilvl="1">
      <w:lvlJc w:val="left"/>
      <w:lvlText w:val="%2"/>
      <w:numFmt w:val="lowerLetter"/>
      <w:start w:val="1"/>
    </w:lvl>
    <w:lvl w:ilvl="2">
      <w:lvlJc w:val="left"/>
      <w:lvlText w:val="%3)"/>
      <w:numFmt w:val="decimal"/>
      <w:start w:val="8"/>
    </w:lvl>
  </w:abstractNum>
  <w:abstractNum w:abstractNumId="151">
    <w:nsid w:val="4D32AB86"/>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52">
    <w:nsid w:val="3F07ACC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lvl w:ilvl="3">
      <w:lvlJc w:val="left"/>
      <w:lvlText w:val="(%4)"/>
      <w:numFmt w:val="lowerLetter"/>
      <w:start w:val="1"/>
    </w:lvl>
  </w:abstractNum>
  <w:abstractNum w:abstractNumId="153">
    <w:nsid w:val="6B47F63E"/>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154">
    <w:nsid w:val="5CB44A05"/>
    <w:multiLevelType w:val="hybridMultilevel"/>
    <w:lvl w:ilvl="0">
      <w:lvlJc w:val="left"/>
      <w:lvlText w:val="%1)"/>
      <w:numFmt w:val="upperLetter"/>
      <w:start w:val="9"/>
    </w:lvl>
  </w:abstractNum>
  <w:abstractNum w:abstractNumId="155">
    <w:nsid w:val="16CF80F1"/>
    <w:multiLevelType w:val="hybridMultilevel"/>
    <w:lvl w:ilvl="0">
      <w:lvlJc w:val="left"/>
      <w:lvlText w:val="%1)"/>
      <w:numFmt w:val="decimal"/>
      <w:start w:val="2"/>
    </w:lvl>
  </w:abstractNum>
  <w:abstractNum w:abstractNumId="156">
    <w:nsid w:val="1C695DE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decimal"/>
      <w:start w:val="3"/>
    </w:lvl>
    <w:lvl w:ilvl="4">
      <w:lvlJc w:val="left"/>
      <w:lvlText w:val="%5"/>
      <w:numFmt w:val="decimal"/>
      <w:start w:val="1"/>
    </w:lvl>
  </w:abstractNum>
  <w:abstractNum w:abstractNumId="157">
    <w:nsid w:val="3FCFAED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lvl w:ilvl="3">
      <w:lvlJc w:val="left"/>
      <w:lvlText w:val="%4)"/>
      <w:numFmt w:val="decimal"/>
      <w:start w:val="1"/>
    </w:lvl>
    <w:lvl w:ilvl="4">
      <w:lvlJc w:val="left"/>
      <w:lvlText w:val="%5"/>
      <w:numFmt w:val="decimal"/>
      <w:start w:val="1"/>
    </w:lvl>
  </w:abstractNum>
  <w:abstractNum w:abstractNumId="158">
    <w:nsid w:val="F85686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decimal"/>
      <w:start w:val="1"/>
    </w:lvl>
    <w:lvl w:ilvl="4">
      <w:lvlJc w:val="left"/>
      <w:lvlText w:val="%5)"/>
      <w:numFmt w:val="decimal"/>
      <w:start w:val="1"/>
    </w:lvl>
  </w:abstractNum>
  <w:abstractNum w:abstractNumId="159">
    <w:nsid w:val="11B1CC33"/>
    <w:multiLevelType w:val="hybridMultilevel"/>
    <w:lvl w:ilvl="0">
      <w:lvlJc w:val="left"/>
      <w:lvlText w:val="%1"/>
      <w:numFmt w:val="upperLetter"/>
      <w:start w:val="1"/>
    </w:lvl>
    <w:lvl w:ilvl="1">
      <w:lvlJc w:val="left"/>
      <w:lvlText w:val="%2."/>
      <w:numFmt w:val="decimal"/>
      <w:start w:val="3"/>
    </w:lvl>
    <w:lvl w:ilvl="2">
      <w:lvlJc w:val="left"/>
      <w:lvlText w:val="%3."/>
      <w:numFmt w:val="decimal"/>
      <w:start w:val="1"/>
    </w:lvl>
    <w:lvl w:ilvl="3">
      <w:lvlJc w:val="left"/>
      <w:lvlText w:val="%4."/>
      <w:numFmt w:val="lowerLetter"/>
      <w:start w:val="1"/>
    </w:lvl>
  </w:abstractNum>
  <w:abstractNum w:abstractNumId="160">
    <w:nsid w:val="2E22FBB7"/>
    <w:multiLevelType w:val="hybridMultilevel"/>
    <w:lvl w:ilvl="0">
      <w:lvlJc w:val="left"/>
      <w:lvlText w:val="%1."/>
      <w:numFmt w:val="upperLetter"/>
      <w:start w:val="1"/>
    </w:lvl>
  </w:abstractNum>
  <w:abstractNum w:abstractNumId="161">
    <w:nsid w:val="29934699"/>
    <w:multiLevelType w:val="hybridMultilevel"/>
    <w:lvl w:ilvl="0">
      <w:lvlJc w:val="left"/>
      <w:lvlText w:val="%1."/>
      <w:numFmt w:val="decimal"/>
      <w:start w:val="1"/>
    </w:lvl>
  </w:abstractNum>
  <w:abstractNum w:abstractNumId="162">
    <w:nsid w:val="77485850"/>
    <w:multiLevelType w:val="hybridMultilevel"/>
    <w:lvl w:ilvl="0">
      <w:lvlJc w:val="left"/>
      <w:lvlText w:val="%1."/>
      <w:numFmt w:val="decimal"/>
      <w:start w:val="3"/>
    </w:lvl>
  </w:abstractNum>
  <w:abstractNum w:abstractNumId="163">
    <w:nsid w:val="744939A3"/>
    <w:multiLevelType w:val="hybridMultilevel"/>
    <w:lvl w:ilvl="0">
      <w:lvlJc w:val="left"/>
      <w:lvlText w:val="%1"/>
      <w:numFmt w:val="decimal"/>
      <w:start w:val="1"/>
    </w:lvl>
    <w:lvl w:ilvl="1">
      <w:lvlJc w:val="left"/>
      <w:lvlText w:val="(%2)"/>
      <w:numFmt w:val="lowerLetter"/>
      <w:start w:val="1"/>
    </w:lvl>
  </w:abstractNum>
  <w:abstractNum w:abstractNumId="164">
    <w:nsid w:val="4FA0D2E3"/>
    <w:multiLevelType w:val="hybridMultilevel"/>
    <w:lvl w:ilvl="0">
      <w:lvlJc w:val="left"/>
      <w:lvlText w:val="%1."/>
      <w:numFmt w:val="decimal"/>
      <w:start w:val="4"/>
    </w:lvl>
    <w:lvl w:ilvl="1">
      <w:lvlJc w:val="left"/>
      <w:lvlText w:val="%2"/>
      <w:numFmt w:val="lowerLetter"/>
      <w:start w:val="1"/>
    </w:lvl>
  </w:abstractNum>
  <w:abstractNum w:abstractNumId="165">
    <w:nsid w:val="6B1D2C14"/>
    <w:multiLevelType w:val="hybridMultilevel"/>
    <w:lvl w:ilvl="0">
      <w:lvlJc w:val="left"/>
      <w:lvlText w:val="·"/>
      <w:numFmt w:val="bullet"/>
      <w:start w:val="1"/>
    </w:lvl>
  </w:abstractNum>
  <w:abstractNum w:abstractNumId="166">
    <w:nsid w:val="68B867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3" Type="http://schemas.openxmlformats.org/officeDocument/2006/relationships/image" Target="media/image126.png"/><Relationship Id="rId156" Type="http://schemas.openxmlformats.org/officeDocument/2006/relationships/image" Target="media/image127.png"/><Relationship Id="rId169" Type="http://schemas.openxmlformats.org/officeDocument/2006/relationships/image" Target="media/image128.png"/><Relationship Id="rId182" Type="http://schemas.openxmlformats.org/officeDocument/2006/relationships/image" Target="media/image129.png"/><Relationship Id="rId193" Type="http://schemas.openxmlformats.org/officeDocument/2006/relationships/image" Target="media/image130.png"/><Relationship Id="rId196" Type="http://schemas.openxmlformats.org/officeDocument/2006/relationships/image" Target="media/image131.png"/><Relationship Id="rId197" Type="http://schemas.openxmlformats.org/officeDocument/2006/relationships/image" Target="media/image132.png"/><Relationship Id="rId198" Type="http://schemas.openxmlformats.org/officeDocument/2006/relationships/image" Target="media/image133.png"/><Relationship Id="rId199" Type="http://schemas.openxmlformats.org/officeDocument/2006/relationships/image" Target="media/image134.png"/><Relationship Id="rId200" Type="http://schemas.openxmlformats.org/officeDocument/2006/relationships/image" Target="media/image135.png"/><Relationship Id="rId201" Type="http://schemas.openxmlformats.org/officeDocument/2006/relationships/image" Target="media/image136.png"/><Relationship Id="rId202" Type="http://schemas.openxmlformats.org/officeDocument/2006/relationships/image" Target="media/image137.png"/><Relationship Id="rId203" Type="http://schemas.openxmlformats.org/officeDocument/2006/relationships/image" Target="media/image138.png"/><Relationship Id="rId204" Type="http://schemas.openxmlformats.org/officeDocument/2006/relationships/image" Target="media/image139.png"/><Relationship Id="rId205" Type="http://schemas.openxmlformats.org/officeDocument/2006/relationships/image" Target="media/image140.png"/><Relationship Id="rId206" Type="http://schemas.openxmlformats.org/officeDocument/2006/relationships/image" Target="media/image141.png"/><Relationship Id="rId207" Type="http://schemas.openxmlformats.org/officeDocument/2006/relationships/image" Target="media/image142.png"/><Relationship Id="rId208" Type="http://schemas.openxmlformats.org/officeDocument/2006/relationships/image" Target="media/image143.png"/><Relationship Id="rId209" Type="http://schemas.openxmlformats.org/officeDocument/2006/relationships/image" Target="media/image144.png"/><Relationship Id="rId210" Type="http://schemas.openxmlformats.org/officeDocument/2006/relationships/image" Target="media/image145.png"/><Relationship Id="rId211" Type="http://schemas.openxmlformats.org/officeDocument/2006/relationships/image" Target="media/image146.png"/><Relationship Id="rId212" Type="http://schemas.openxmlformats.org/officeDocument/2006/relationships/image" Target="media/image147.png"/><Relationship Id="rId213" Type="http://schemas.openxmlformats.org/officeDocument/2006/relationships/image" Target="media/image148.png"/><Relationship Id="rId214" Type="http://schemas.openxmlformats.org/officeDocument/2006/relationships/image" Target="media/image149.png"/><Relationship Id="rId215" Type="http://schemas.openxmlformats.org/officeDocument/2006/relationships/image" Target="media/image150.png"/><Relationship Id="rId216" Type="http://schemas.openxmlformats.org/officeDocument/2006/relationships/image" Target="media/image151.png"/><Relationship Id="rId217" Type="http://schemas.openxmlformats.org/officeDocument/2006/relationships/image" Target="media/image152.png"/><Relationship Id="rId218" Type="http://schemas.openxmlformats.org/officeDocument/2006/relationships/image" Target="media/image153.png"/><Relationship Id="rId219" Type="http://schemas.openxmlformats.org/officeDocument/2006/relationships/image" Target="media/image154.png"/><Relationship Id="rId220" Type="http://schemas.openxmlformats.org/officeDocument/2006/relationships/image" Target="media/image155.png"/><Relationship Id="rId221" Type="http://schemas.openxmlformats.org/officeDocument/2006/relationships/image" Target="media/image156.png"/><Relationship Id="rId222" Type="http://schemas.openxmlformats.org/officeDocument/2006/relationships/image" Target="media/image157.png"/><Relationship Id="rId223" Type="http://schemas.openxmlformats.org/officeDocument/2006/relationships/image" Target="media/image158.png"/><Relationship Id="rId224" Type="http://schemas.openxmlformats.org/officeDocument/2006/relationships/image" Target="media/image159.png"/><Relationship Id="rId225" Type="http://schemas.openxmlformats.org/officeDocument/2006/relationships/image" Target="media/image160.png"/><Relationship Id="rId226" Type="http://schemas.openxmlformats.org/officeDocument/2006/relationships/image" Target="media/image161.png"/><Relationship Id="rId227" Type="http://schemas.openxmlformats.org/officeDocument/2006/relationships/image" Target="media/image162.png"/><Relationship Id="rId228" Type="http://schemas.openxmlformats.org/officeDocument/2006/relationships/image" Target="media/image163.png"/><Relationship Id="rId229" Type="http://schemas.openxmlformats.org/officeDocument/2006/relationships/image" Target="media/image164.png"/><Relationship Id="rId230" Type="http://schemas.openxmlformats.org/officeDocument/2006/relationships/image" Target="media/image165.png"/><Relationship Id="rId231" Type="http://schemas.openxmlformats.org/officeDocument/2006/relationships/image" Target="media/image166.png"/><Relationship Id="rId232" Type="http://schemas.openxmlformats.org/officeDocument/2006/relationships/image" Target="media/image167.png"/><Relationship Id="rId233" Type="http://schemas.openxmlformats.org/officeDocument/2006/relationships/image" Target="media/image168.png"/><Relationship Id="rId234" Type="http://schemas.openxmlformats.org/officeDocument/2006/relationships/image" Target="media/image169.png"/><Relationship Id="rId235" Type="http://schemas.openxmlformats.org/officeDocument/2006/relationships/image" Target="media/image170.png"/><Relationship Id="rId236" Type="http://schemas.openxmlformats.org/officeDocument/2006/relationships/image" Target="media/image171.png"/><Relationship Id="rId237" Type="http://schemas.openxmlformats.org/officeDocument/2006/relationships/image" Target="media/image172.png"/><Relationship Id="rId238" Type="http://schemas.openxmlformats.org/officeDocument/2006/relationships/image" Target="media/image173.png"/><Relationship Id="rId239" Type="http://schemas.openxmlformats.org/officeDocument/2006/relationships/image" Target="media/image174.png"/><Relationship Id="rId240" Type="http://schemas.openxmlformats.org/officeDocument/2006/relationships/image" Target="media/image175.png"/><Relationship Id="rId241" Type="http://schemas.openxmlformats.org/officeDocument/2006/relationships/image" Target="media/image176.png"/><Relationship Id="rId242" Type="http://schemas.openxmlformats.org/officeDocument/2006/relationships/image" Target="media/image177.png"/><Relationship Id="rId243" Type="http://schemas.openxmlformats.org/officeDocument/2006/relationships/image" Target="media/image178.png"/><Relationship Id="rId244" Type="http://schemas.openxmlformats.org/officeDocument/2006/relationships/image" Target="media/image179.png"/><Relationship Id="rId245" Type="http://schemas.openxmlformats.org/officeDocument/2006/relationships/image" Target="media/image180.png"/><Relationship Id="rId246" Type="http://schemas.openxmlformats.org/officeDocument/2006/relationships/image" Target="media/image181.png"/><Relationship Id="rId247" Type="http://schemas.openxmlformats.org/officeDocument/2006/relationships/image" Target="media/image182.png"/><Relationship Id="rId248" Type="http://schemas.openxmlformats.org/officeDocument/2006/relationships/image" Target="media/image183.png"/><Relationship Id="rId249" Type="http://schemas.openxmlformats.org/officeDocument/2006/relationships/image" Target="media/image184.png"/><Relationship Id="rId250" Type="http://schemas.openxmlformats.org/officeDocument/2006/relationships/image" Target="media/image185.png"/><Relationship Id="rId251" Type="http://schemas.openxmlformats.org/officeDocument/2006/relationships/image" Target="media/image186.png"/><Relationship Id="rId252" Type="http://schemas.openxmlformats.org/officeDocument/2006/relationships/image" Target="media/image187.png"/><Relationship Id="rId253" Type="http://schemas.openxmlformats.org/officeDocument/2006/relationships/image" Target="media/image188.png"/><Relationship Id="rId254" Type="http://schemas.openxmlformats.org/officeDocument/2006/relationships/image" Target="media/image189.png"/><Relationship Id="rId255" Type="http://schemas.openxmlformats.org/officeDocument/2006/relationships/image" Target="media/image190.png"/><Relationship Id="rId256" Type="http://schemas.openxmlformats.org/officeDocument/2006/relationships/image" Target="media/image191.png"/><Relationship Id="rId257" Type="http://schemas.openxmlformats.org/officeDocument/2006/relationships/image" Target="media/image192.png"/><Relationship Id="rId258" Type="http://schemas.openxmlformats.org/officeDocument/2006/relationships/image" Target="media/image193.png"/><Relationship Id="rId259" Type="http://schemas.openxmlformats.org/officeDocument/2006/relationships/image" Target="media/image194.png"/><Relationship Id="rId260" Type="http://schemas.openxmlformats.org/officeDocument/2006/relationships/image" Target="media/image195.png"/><Relationship Id="rId261" Type="http://schemas.openxmlformats.org/officeDocument/2006/relationships/image" Target="media/image196.png"/><Relationship Id="rId262" Type="http://schemas.openxmlformats.org/officeDocument/2006/relationships/image" Target="media/image197.png"/><Relationship Id="rId263" Type="http://schemas.openxmlformats.org/officeDocument/2006/relationships/image" Target="media/image198.png"/><Relationship Id="rId264" Type="http://schemas.openxmlformats.org/officeDocument/2006/relationships/image" Target="media/image199.png"/><Relationship Id="rId265" Type="http://schemas.openxmlformats.org/officeDocument/2006/relationships/image" Target="media/image200.png"/><Relationship Id="rId266" Type="http://schemas.openxmlformats.org/officeDocument/2006/relationships/image" Target="media/image201.png"/><Relationship Id="rId267" Type="http://schemas.openxmlformats.org/officeDocument/2006/relationships/image" Target="media/image202.png"/><Relationship Id="rId268" Type="http://schemas.openxmlformats.org/officeDocument/2006/relationships/image" Target="media/image203.png"/><Relationship Id="rId269" Type="http://schemas.openxmlformats.org/officeDocument/2006/relationships/image" Target="media/image204.png"/><Relationship Id="rId270" Type="http://schemas.openxmlformats.org/officeDocument/2006/relationships/image" Target="media/image205.png"/><Relationship Id="rId271" Type="http://schemas.openxmlformats.org/officeDocument/2006/relationships/image" Target="media/image206.png"/><Relationship Id="rId272" Type="http://schemas.openxmlformats.org/officeDocument/2006/relationships/image" Target="media/image207.png"/><Relationship Id="rId273" Type="http://schemas.openxmlformats.org/officeDocument/2006/relationships/image" Target="media/image208.png"/><Relationship Id="rId274" Type="http://schemas.openxmlformats.org/officeDocument/2006/relationships/image" Target="media/image209.png"/><Relationship Id="rId275" Type="http://schemas.openxmlformats.org/officeDocument/2006/relationships/image" Target="media/image210.png"/><Relationship Id="rId276" Type="http://schemas.openxmlformats.org/officeDocument/2006/relationships/image" Target="media/image211.png"/><Relationship Id="rId277" Type="http://schemas.openxmlformats.org/officeDocument/2006/relationships/image" Target="media/image212.png"/><Relationship Id="rId278" Type="http://schemas.openxmlformats.org/officeDocument/2006/relationships/image" Target="media/image213.png"/><Relationship Id="rId279" Type="http://schemas.openxmlformats.org/officeDocument/2006/relationships/image" Target="media/image214.png"/><Relationship Id="rId280" Type="http://schemas.openxmlformats.org/officeDocument/2006/relationships/image" Target="media/image215.png"/><Relationship Id="rId281" Type="http://schemas.openxmlformats.org/officeDocument/2006/relationships/image" Target="media/image216.png"/><Relationship Id="rId282" Type="http://schemas.openxmlformats.org/officeDocument/2006/relationships/image" Target="media/image217.png"/><Relationship Id="rId283" Type="http://schemas.openxmlformats.org/officeDocument/2006/relationships/image" Target="media/image218.png"/><Relationship Id="rId284" Type="http://schemas.openxmlformats.org/officeDocument/2006/relationships/image" Target="media/image219.png"/><Relationship Id="rId285" Type="http://schemas.openxmlformats.org/officeDocument/2006/relationships/image" Target="media/image220.png"/><Relationship Id="rId286" Type="http://schemas.openxmlformats.org/officeDocument/2006/relationships/image" Target="media/image221.png"/><Relationship Id="rId287" Type="http://schemas.openxmlformats.org/officeDocument/2006/relationships/image" Target="media/image222.png"/><Relationship Id="rId288" Type="http://schemas.openxmlformats.org/officeDocument/2006/relationships/image" Target="media/image223.png"/><Relationship Id="rId289" Type="http://schemas.openxmlformats.org/officeDocument/2006/relationships/image" Target="media/image224.png"/><Relationship Id="rId290" Type="http://schemas.openxmlformats.org/officeDocument/2006/relationships/image" Target="media/image225.png"/><Relationship Id="rId291" Type="http://schemas.openxmlformats.org/officeDocument/2006/relationships/image" Target="media/image226.png"/><Relationship Id="rId292" Type="http://schemas.openxmlformats.org/officeDocument/2006/relationships/image" Target="media/image227.png"/><Relationship Id="rId293" Type="http://schemas.openxmlformats.org/officeDocument/2006/relationships/image" Target="media/image228.png"/><Relationship Id="rId294" Type="http://schemas.openxmlformats.org/officeDocument/2006/relationships/image" Target="media/image229.png"/><Relationship Id="rId295" Type="http://schemas.openxmlformats.org/officeDocument/2006/relationships/image" Target="media/image230.png"/><Relationship Id="rId296" Type="http://schemas.openxmlformats.org/officeDocument/2006/relationships/image" Target="media/image231.png"/><Relationship Id="rId297" Type="http://schemas.openxmlformats.org/officeDocument/2006/relationships/image" Target="media/image232.png"/><Relationship Id="rId298" Type="http://schemas.openxmlformats.org/officeDocument/2006/relationships/image" Target="media/image233.png"/><Relationship Id="rId299" Type="http://schemas.openxmlformats.org/officeDocument/2006/relationships/image" Target="media/image234.png"/><Relationship Id="rId133" Type="http://schemas.openxmlformats.org/officeDocument/2006/relationships/hyperlink" Target="http://www.sec.gov/Archives/edgar/data/1123494/000114420413059290/v359438_ex2-1.htm" TargetMode="External"/><Relationship Id="rId134" Type="http://schemas.openxmlformats.org/officeDocument/2006/relationships/hyperlink" Target="http://www.sec.gov/Archives/edgar/data/1123494/000117184314004551/exh_21.htm" TargetMode="External"/><Relationship Id="rId135" Type="http://schemas.openxmlformats.org/officeDocument/2006/relationships/hyperlink" Target="http://www.sec.gov/Archives/edgar/data/1123494/000117184314004551/exh_22.htm" TargetMode="External"/><Relationship Id="rId136" Type="http://schemas.openxmlformats.org/officeDocument/2006/relationships/hyperlink" Target="http://www.sec.gov/Archives/edgar/data/1123494/000117184315000157/exh_21.htm" TargetMode="External"/><Relationship Id="rId137" Type="http://schemas.openxmlformats.org/officeDocument/2006/relationships/hyperlink" Target="http://www.sec.gov/Archives/edgar/data/1123494/000117184315000157/exh_22.htm" TargetMode="External"/><Relationship Id="rId138" Type="http://schemas.openxmlformats.org/officeDocument/2006/relationships/hyperlink" Target="http://www.sec.gov/Archives/edgar/data/1123494/000117184318000685/exh_21.htm" TargetMode="External"/><Relationship Id="rId139" Type="http://schemas.openxmlformats.org/officeDocument/2006/relationships/hyperlink" Target="http://www.sec.gov/Archives/edgar/data/1123494/000117184318000685/exh_22.htm" TargetMode="External"/><Relationship Id="rId140" Type="http://schemas.openxmlformats.org/officeDocument/2006/relationships/hyperlink" Target="http://www.sec.gov/Archives/edgar/data/1123494/000091205700047957/a2029062zex-3_2.txt" TargetMode="External"/><Relationship Id="rId141" Type="http://schemas.openxmlformats.org/officeDocument/2006/relationships/hyperlink" Target="http://www.sec.gov/Archives/edgar/data/1123494/000091205700047957/a2029062zex-3_3.txt" TargetMode="External"/><Relationship Id="rId142" Type="http://schemas.openxmlformats.org/officeDocument/2006/relationships/hyperlink" Target="http://www.sec.gov/Archives/edgar/data/1123494/000119312507232564/dex31.htm" TargetMode="External"/><Relationship Id="rId144" Type="http://schemas.openxmlformats.org/officeDocument/2006/relationships/hyperlink" Target="http://www.sec.gov/Archives/edgar/data/1123494/000119312508024128/dex31.htm" TargetMode="External"/><Relationship Id="rId145" Type="http://schemas.openxmlformats.org/officeDocument/2006/relationships/hyperlink" Target="http://www.sec.gov/Archives/edgar/data/1123494/000117184318001653/exh_41.htm" TargetMode="External"/><Relationship Id="rId146" Type="http://schemas.openxmlformats.org/officeDocument/2006/relationships/hyperlink" Target="http://www.sec.gov/Archives/edgar/data/1123494/000091205700047957/a2029062zex-4_1.txt" TargetMode="External"/><Relationship Id="rId147" Type="http://schemas.openxmlformats.org/officeDocument/2006/relationships/hyperlink" Target="http://www.sec.gov/Archives/edgar/data/1123494/000091205700045901/a2028300zex-4_2.txt" TargetMode="External"/><Relationship Id="rId148" Type="http://schemas.openxmlformats.org/officeDocument/2006/relationships/hyperlink" Target="http://www.sec.gov/Archives/edgar/data/1123494/000119312508024128/dex41.htm" TargetMode="External"/><Relationship Id="rId149" Type="http://schemas.openxmlformats.org/officeDocument/2006/relationships/hyperlink" Target="http://www.sec.gov/Archives/edgar/data/1123494/000091205700045901/a2028300zex-10_1.txt" TargetMode="External"/><Relationship Id="rId150" Type="http://schemas.openxmlformats.org/officeDocument/2006/relationships/hyperlink" Target="http://www.sec.gov/Archives/edgar/data/1123494/000119312511099211/ddef14a.htm" TargetMode="External"/><Relationship Id="rId151" Type="http://schemas.openxmlformats.org/officeDocument/2006/relationships/hyperlink" Target="http://www.sec.gov/Archives/edgar/data/1123494/000091205700047957/a2029062zex-10_3.txt" TargetMode="External"/><Relationship Id="rId152" Type="http://schemas.openxmlformats.org/officeDocument/2006/relationships/hyperlink" Target="http://www.sec.gov/Archives/edgar/data/1123494/000091205700045901/a2028300zex-10_8.txt" TargetMode="External"/><Relationship Id="rId153" Type="http://schemas.openxmlformats.org/officeDocument/2006/relationships/hyperlink" Target="http://www.sec.gov/Archives/edgar/data/1123494/000119312509050973/dex107.htm" TargetMode="External"/><Relationship Id="rId154" Type="http://schemas.openxmlformats.org/officeDocument/2006/relationships/hyperlink" Target="http://www.sec.gov/Archives/edgar/data/1123494/000110465904007469/a04-3132_1ex10d19.htm" TargetMode="External"/><Relationship Id="rId155" Type="http://schemas.openxmlformats.org/officeDocument/2006/relationships/hyperlink" Target="http://www.sec.gov/Archives/edgar/data/1123494/000110465903010306/j0607_ex10d1.htm" TargetMode="External"/><Relationship Id="rId157" Type="http://schemas.openxmlformats.org/officeDocument/2006/relationships/hyperlink" Target="http://www.sec.gov/Archives/edgar/data/1123494/000110465906000389/a06-1106_1ex99d1.htm" TargetMode="External"/><Relationship Id="rId158" Type="http://schemas.openxmlformats.org/officeDocument/2006/relationships/hyperlink" Target="http://www.sec.gov/Archives/edgar/data/1123494/000110465906017303/a06-2607_1ex10d27.htm" TargetMode="External"/><Relationship Id="rId159" Type="http://schemas.openxmlformats.org/officeDocument/2006/relationships/hyperlink" Target="http://www.sec.gov/Archives/edgar/data/1123494/000110465906017303/a06-2607_1ex10d28.htm" TargetMode="External"/><Relationship Id="rId160" Type="http://schemas.openxmlformats.org/officeDocument/2006/relationships/hyperlink" Target="http://www.sec.gov/Archives/edgar/data/1123494/000110465906017303/a06-2607_1ex10d29.htm" TargetMode="External"/><Relationship Id="rId161" Type="http://schemas.openxmlformats.org/officeDocument/2006/relationships/hyperlink" Target="http://www.sec.gov/Archives/edgar/data/1123494/000119312509174425/dex101.htm" TargetMode="External"/><Relationship Id="rId162" Type="http://schemas.openxmlformats.org/officeDocument/2006/relationships/hyperlink" Target="http://www.sec.gov/Archives/edgar/data/1123494/000119312510131559/dex101.htm" TargetMode="External"/><Relationship Id="rId163" Type="http://schemas.openxmlformats.org/officeDocument/2006/relationships/hyperlink" Target="http://www.sec.gov/Archives/edgar/data/1123494/000119312511068577/dex1026.htm" TargetMode="External"/><Relationship Id="rId164" Type="http://schemas.openxmlformats.org/officeDocument/2006/relationships/hyperlink" Target="http://www.sec.gov/Archives/edgar/data/1123494/000117184314001247/exh_1021.htm" TargetMode="External"/><Relationship Id="rId165" Type="http://schemas.openxmlformats.org/officeDocument/2006/relationships/hyperlink" Target="http://www.sec.gov/Archives/edgar/data/1123494/000117184314001247/exh_1022.htm" TargetMode="External"/><Relationship Id="rId166" Type="http://schemas.openxmlformats.org/officeDocument/2006/relationships/hyperlink" Target="http://www.sec.gov/Archives/edgar/data/1123494/000119312513140452/d515543dex101.htm" TargetMode="External"/><Relationship Id="rId167" Type="http://schemas.openxmlformats.org/officeDocument/2006/relationships/hyperlink" Target="http://www.sec.gov/Archives/edgar/data/1123494/000117184314001247/exh_1024.htm" TargetMode="External"/><Relationship Id="rId168" Type="http://schemas.openxmlformats.org/officeDocument/2006/relationships/hyperlink" Target="http://www.sec.gov/Archives/edgar/data/1123494/000117184314001247/exh_1025.htm" TargetMode="External"/><Relationship Id="rId170" Type="http://schemas.openxmlformats.org/officeDocument/2006/relationships/hyperlink" Target="http://www.sec.gov/Archives/edgar/data/1123494/000117184313003557/exh_101.htm" TargetMode="External"/><Relationship Id="rId171" Type="http://schemas.openxmlformats.org/officeDocument/2006/relationships/hyperlink" Target="http://www.sec.gov/Archives/edgar/data/1123494/000117184314000820/exh_102.htm" TargetMode="External"/><Relationship Id="rId172" Type="http://schemas.openxmlformats.org/officeDocument/2006/relationships/hyperlink" Target="http://www.sec.gov/Archives/edgar/data/1123494/000117184313004005/exh_101.htm" TargetMode="External"/><Relationship Id="rId173" Type="http://schemas.openxmlformats.org/officeDocument/2006/relationships/hyperlink" Target="http://www.sec.gov/Archives/edgar/data/1123494/000117184314001247/exh_1030.htm" TargetMode="External"/><Relationship Id="rId174" Type="http://schemas.openxmlformats.org/officeDocument/2006/relationships/hyperlink" Target="http://www.sec.gov/Archives/edgar/data/1123494/000114420413059290/v359438_ex10-1.htm" TargetMode="External"/><Relationship Id="rId175" Type="http://schemas.openxmlformats.org/officeDocument/2006/relationships/hyperlink" Target="http://www.sec.gov/Archives/edgar/data/1123494/000114420413059290/v359438_ex10-2.htm" TargetMode="External"/><Relationship Id="rId176" Type="http://schemas.openxmlformats.org/officeDocument/2006/relationships/hyperlink" Target="http://www.sec.gov/Archives/edgar/data/1123494/000114420413059290/v359438_ex10-3.htm" TargetMode="External"/><Relationship Id="rId177" Type="http://schemas.openxmlformats.org/officeDocument/2006/relationships/hyperlink" Target="http://www.sec.gov/Archives/edgar/data/1123494/000114420413059290/v359438_ex10-4.htm" TargetMode="External"/><Relationship Id="rId178" Type="http://schemas.openxmlformats.org/officeDocument/2006/relationships/hyperlink" Target="http://www.sec.gov/Archives/edgar/data/1123494/000117184314003579/exh_101.htm" TargetMode="External"/><Relationship Id="rId179" Type="http://schemas.openxmlformats.org/officeDocument/2006/relationships/hyperlink" Target="http://www.sec.gov/Archives/edgar/data/1123494/000117184314003579/exh_102.htm" TargetMode="External"/><Relationship Id="rId180" Type="http://schemas.openxmlformats.org/officeDocument/2006/relationships/hyperlink" Target="http://www.sec.gov/Archives/edgar/data/1123494/000117184314003812/exh_101.htm" TargetMode="External"/><Relationship Id="rId181" Type="http://schemas.openxmlformats.org/officeDocument/2006/relationships/hyperlink" Target="http://www.sec.gov/Archives/edgar/data/1123494/000117184315002649/exh_101.htm" TargetMode="External"/><Relationship Id="rId183" Type="http://schemas.openxmlformats.org/officeDocument/2006/relationships/hyperlink" Target="http://www.sec.gov/Archives/edgar/data/1123494/000117184315004444/exh_101.htm" TargetMode="External"/><Relationship Id="rId184" Type="http://schemas.openxmlformats.org/officeDocument/2006/relationships/hyperlink" Target="http://www.sec.gov/Archives/edgar/data/1123494/000117184315004444/exh_102.htm" TargetMode="External"/><Relationship Id="rId185" Type="http://schemas.openxmlformats.org/officeDocument/2006/relationships/hyperlink" Target="http://www.sec.gov/Archives/edgar/data/1123494/000117184315006060/exh_101.htm" TargetMode="External"/><Relationship Id="rId186" Type="http://schemas.openxmlformats.org/officeDocument/2006/relationships/hyperlink" Target="http://www.sec.gov/Archives/edgar/data/1123494/000117184316009551/exh_1044.htm" TargetMode="External"/><Relationship Id="rId187" Type="http://schemas.openxmlformats.org/officeDocument/2006/relationships/hyperlink" Target="http://www.sec.gov/Archives/edgar/data/1123494/000117184316010082/exh_101.htm" TargetMode="External"/><Relationship Id="rId188" Type="http://schemas.openxmlformats.org/officeDocument/2006/relationships/hyperlink" Target="http://www.sec.gov/Archives/edgar/data/1123494/000117184316011528/exh_101.htm" TargetMode="External"/><Relationship Id="rId189" Type="http://schemas.openxmlformats.org/officeDocument/2006/relationships/hyperlink" Target="http://www.sec.gov/Archives/edgar/data/1123494/000117184316010363/exh_101.htm" TargetMode="External"/><Relationship Id="rId190" Type="http://schemas.openxmlformats.org/officeDocument/2006/relationships/hyperlink" Target="http://www.sec.gov/Archives/edgar/data/1123494/000117184316010363/exh_102.htm" TargetMode="External"/><Relationship Id="rId191" Type="http://schemas.openxmlformats.org/officeDocument/2006/relationships/hyperlink" Target="http://www.sec.gov/Archives/edgar/data/1123494/000117184316010363/exh_103.htm" TargetMode="External"/><Relationship Id="rId192" Type="http://schemas.openxmlformats.org/officeDocument/2006/relationships/hyperlink" Target="http://www.sec.gov/Archives/edgar/data/1123494/000117184317001588/exh_1042.htm" TargetMode="External"/><Relationship Id="rId194" Type="http://schemas.openxmlformats.org/officeDocument/2006/relationships/hyperlink" Target="http://www.sec.gov/Archives/edgar/data/1123494/000117184318000847/exh_101.htm" TargetMode="External"/><Relationship Id="rId195" Type="http://schemas.openxmlformats.org/officeDocument/2006/relationships/hyperlink" Target="http://www.sec.gov/Archives/edgar/data/1123494/000117184317002987/exh_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2019-12-28T23:07:28Z</dcterms:created>
  <dcterms:modified xsi:type="dcterms:W3CDTF">2019-12-28T23:07:28Z</dcterms:modified>
</cp:coreProperties>
</file>