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Benson Seth Benjamin</w:t>
              </w:r>
            </w:hyperlink>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HARVARD BIOSCIENCE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HBIO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20" w:type="dxa"/>
            <w:vAlign w:val="bottom"/>
            <w:gridSpan w:val="3"/>
            <w:vMerge w:val="continue"/>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20" w:type="dxa"/>
            <w:vAlign w:val="bottom"/>
            <w:tcBorders>
              <w:bottom w:val="single" w:sz="8" w:color="0000EE"/>
            </w:tcBorders>
          </w:tcPr>
          <w:p>
            <w:pPr>
              <w:spacing w:after="0"/>
              <w:rPr>
                <w:sz w:val="6"/>
                <w:szCs w:val="6"/>
                <w:color w:val="auto"/>
              </w:rPr>
            </w:pPr>
          </w:p>
        </w:tc>
        <w:tc>
          <w:tcPr>
            <w:tcW w:w="10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28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0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HARVARD BIOSCIENCE, INC.</w:t>
            </w:r>
          </w:p>
        </w:tc>
        <w:tc>
          <w:tcPr>
            <w:tcW w:w="2880" w:type="dxa"/>
            <w:vAlign w:val="bottom"/>
            <w:gridSpan w:val="3"/>
            <w:vMerge w:val="continue"/>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84 OCTOBER HILL ROAD</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7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20" w:type="dxa"/>
            <w:vAlign w:val="bottom"/>
            <w:gridSpan w:val="3"/>
            <w:vMerge w:val="continue"/>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0"/>
          <w:szCs w:val="20"/>
          <w:color w:val="auto"/>
        </w:rPr>
      </w:pPr>
    </w:p>
    <w:p>
      <w:pPr>
        <w:ind w:left="120"/>
        <w:spacing w:after="0"/>
        <w:tabs>
          <w:tab w:leader="none" w:pos="1320" w:val="left"/>
        </w:tabs>
        <w:rPr>
          <w:sz w:val="20"/>
          <w:szCs w:val="20"/>
          <w:color w:val="auto"/>
        </w:rPr>
      </w:pPr>
      <w:r>
        <w:rPr>
          <w:rFonts w:ascii="Times New Roman" w:cs="Times New Roman" w:eastAsia="Times New Roman" w:hAnsi="Times New Roman"/>
          <w:sz w:val="17"/>
          <w:szCs w:val="17"/>
          <w:color w:val="0000FF"/>
        </w:rPr>
        <w:t>HOLLISTON</w:t>
        <w:tab/>
        <w:t>MA</w:t>
      </w:r>
    </w:p>
    <w:p>
      <w:pPr>
        <w:spacing w:after="0" w:line="33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06/09/2026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16,556</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00"/>
              <w:spacing w:after="0" w:line="320" w:lineRule="exact"/>
              <w:rPr>
                <w:sz w:val="20"/>
                <w:szCs w:val="20"/>
                <w:color w:val="auto"/>
              </w:rPr>
            </w:pPr>
            <w:r>
              <w:rPr>
                <w:rFonts w:ascii="Times New Roman" w:cs="Times New Roman" w:eastAsia="Times New Roman" w:hAnsi="Times New Roman"/>
                <w:sz w:val="34"/>
                <w:szCs w:val="34"/>
                <w:color w:val="0000FF"/>
                <w:vertAlign w:val="subscript"/>
              </w:rPr>
              <w:t>27,556</w:t>
            </w:r>
            <w:r>
              <w:rPr>
                <w:rFonts w:ascii="Times New Roman" w:cs="Times New Roman" w:eastAsia="Times New Roman" w:hAnsi="Times New Roman"/>
                <w:sz w:val="11"/>
                <w:szCs w:val="11"/>
                <w:color w:val="008000"/>
              </w:rPr>
              <w:t>(2)(3)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16,556 restricted stock units that vests in full (i) immediately prior to the Company's next annual meeting; or (ii) one year from the date of grant, whichever is earlier.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(a) the award described in footnote (1) above and (b) 11,000 shares of common stock beneficially owned by the Reporting Person.</w:t>
      </w:r>
    </w:p>
    <w:p>
      <w:pPr>
        <w:spacing w:after="0" w:line="50" w:lineRule="exact"/>
        <w:rPr>
          <w:rFonts w:ascii="Times New Roman" w:cs="Times New Roman" w:eastAsia="Times New Roman" w:hAnsi="Times New Roman"/>
          <w:sz w:val="13"/>
          <w:szCs w:val="13"/>
          <w:color w:val="008000"/>
        </w:rPr>
      </w:pPr>
    </w:p>
    <w:p>
      <w:pPr>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13, 2026, the common stock of Harvard Bioscience, Inc. underwent a reverse stock split in a ratio of 10-for-1. The 11,000 shares referenced in Footnote 2(b) were previously reported as covering 110,000 restricted stock units (which have now vested) and are beneficially owned by the Reporting Person. These numbers have been adjusted to reflect the stock split that occurred on March 13, 2026.</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Seth Benson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06/11/2026</w:t>
            </w: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78549" TargetMode="External"/><Relationship Id="rId14" Type="http://schemas.openxmlformats.org/officeDocument/2006/relationships/hyperlink" Target="http://www.sec.gov/cgi-bin/browse-edgar?action=getcompany&amp;CIK=00011234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2026-06-11T09:02:19Z</dcterms:created>
  <dcterms:modified xsi:type="dcterms:W3CDTF">2026-06-11T09:02:19Z</dcterms:modified>
</cp:coreProperties>
</file>