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169545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3980" w:right="3940" w:hanging="3972"/>
        <w:spacing w:after="0" w:line="545" w:lineRule="auto"/>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2017</w:t>
      </w:r>
    </w:p>
    <w:p>
      <w:pPr>
        <w:spacing w:after="0" w:line="2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163195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HARVARD BIOSCIENCE,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04-3306140</w:t>
            </w:r>
          </w:p>
        </w:tc>
      </w:t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846"/>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84 October Hill Road, Holliston, MA</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01746</w:t>
            </w:r>
          </w:p>
        </w:tc>
      </w:tr>
      <w:tr>
        <w:trPr>
          <w:trHeight w:val="234"/>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480" w:type="dxa"/>
            <w:vAlign w:val="bottom"/>
          </w:tcPr>
          <w:p>
            <w:pPr>
              <w:jc w:val="right"/>
              <w:ind w:right="1430"/>
              <w:spacing w:after="0"/>
              <w:rPr>
                <w:sz w:val="20"/>
                <w:szCs w:val="20"/>
                <w:color w:val="auto"/>
              </w:rPr>
            </w:pPr>
            <w:r>
              <w:rPr>
                <w:rFonts w:ascii="Arial" w:cs="Arial" w:eastAsia="Arial" w:hAnsi="Arial"/>
                <w:sz w:val="18"/>
                <w:szCs w:val="18"/>
                <w:b w:val="1"/>
                <w:bCs w:val="1"/>
                <w:color w:val="auto"/>
              </w:rPr>
              <w:t>(508) 893-8999</w:t>
            </w:r>
          </w:p>
        </w:tc>
        <w:tc>
          <w:tcPr>
            <w:tcW w:w="1480" w:type="dxa"/>
            <w:vAlign w:val="bottom"/>
          </w:tcPr>
          <w:p>
            <w:pPr>
              <w:spacing w:after="0"/>
              <w:rPr>
                <w:sz w:val="24"/>
                <w:szCs w:val="24"/>
                <w:color w:val="auto"/>
              </w:rPr>
            </w:pPr>
          </w:p>
        </w:tc>
      </w:tr>
      <w:tr>
        <w:trPr>
          <w:trHeight w:val="234"/>
        </w:trPr>
        <w:tc>
          <w:tcPr>
            <w:tcW w:w="64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146050</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4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7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2" w:lineRule="exact"/>
        <w:rPr>
          <w:sz w:val="24"/>
          <w:szCs w:val="24"/>
          <w:color w:val="auto"/>
        </w:rPr>
      </w:pPr>
    </w:p>
    <w:p>
      <w:pPr>
        <w:ind w:right="22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July 28, 2017, there were 34,835,049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2960" w:type="dxa"/>
            <w:vAlign w:val="bottom"/>
            <w:gridSpan w:val="10"/>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980" w:type="dxa"/>
            <w:vAlign w:val="bottom"/>
            <w:gridSpan w:val="7"/>
          </w:tcPr>
          <w:p>
            <w:pPr>
              <w:spacing w:after="0"/>
              <w:rPr>
                <w:sz w:val="24"/>
                <w:szCs w:val="24"/>
                <w:color w:val="auto"/>
              </w:rPr>
            </w:pPr>
          </w:p>
        </w:tc>
        <w:tc>
          <w:tcPr>
            <w:tcW w:w="340" w:type="dxa"/>
            <w:vAlign w:val="bottom"/>
            <w:gridSpan w:val="4"/>
          </w:tcPr>
          <w:p>
            <w:pPr>
              <w:jc w:val="center"/>
              <w:ind w:left="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20" w:type="dxa"/>
            <w:vAlign w:val="bottom"/>
            <w:gridSpan w:val="2"/>
          </w:tcPr>
          <w:p>
            <w:pPr>
              <w:spacing w:after="0"/>
              <w:rPr>
                <w:sz w:val="24"/>
                <w:szCs w:val="24"/>
                <w:color w:val="auto"/>
              </w:rPr>
            </w:pPr>
          </w:p>
        </w:tc>
        <w:tc>
          <w:tcPr>
            <w:tcW w:w="20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980" w:type="dxa"/>
            <w:vAlign w:val="bottom"/>
            <w:gridSpan w:val="7"/>
          </w:tcPr>
          <w:p>
            <w:pPr>
              <w:spacing w:after="0"/>
              <w:rPr>
                <w:sz w:val="24"/>
                <w:szCs w:val="24"/>
                <w:color w:val="auto"/>
              </w:rPr>
            </w:pPr>
          </w:p>
        </w:tc>
        <w:tc>
          <w:tcPr>
            <w:tcW w:w="340" w:type="dxa"/>
            <w:vAlign w:val="bottom"/>
            <w:gridSpan w:val="4"/>
          </w:tcPr>
          <w:p>
            <w:pPr>
              <w:jc w:val="center"/>
              <w:ind w:left="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June 30, 2017 and December 31, 2016 (unaudited)</w:t>
              </w:r>
            </w:hyperlink>
          </w:p>
        </w:tc>
        <w:tc>
          <w:tcPr>
            <w:tcW w:w="3780" w:type="dxa"/>
            <w:vAlign w:val="bottom"/>
            <w:gridSpan w:val="4"/>
          </w:tcPr>
          <w:p>
            <w:pPr>
              <w:spacing w:after="0"/>
              <w:rPr>
                <w:sz w:val="24"/>
                <w:szCs w:val="24"/>
                <w:color w:val="auto"/>
              </w:rPr>
            </w:pPr>
          </w:p>
        </w:tc>
        <w:tc>
          <w:tcPr>
            <w:tcW w:w="340" w:type="dxa"/>
            <w:vAlign w:val="bottom"/>
            <w:gridSpan w:val="4"/>
          </w:tcPr>
          <w:p>
            <w:pPr>
              <w:jc w:val="center"/>
              <w:ind w:left="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Income (Loss) for the Six Months Ended June 30, 2017 and 2016 (unaudited)</w:t>
              </w:r>
            </w:hyperlink>
          </w:p>
        </w:tc>
        <w:tc>
          <w:tcPr>
            <w:tcW w:w="340" w:type="dxa"/>
            <w:vAlign w:val="bottom"/>
            <w:gridSpan w:val="4"/>
          </w:tcPr>
          <w:p>
            <w:pPr>
              <w:jc w:val="center"/>
              <w:ind w:left="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Six Months Ended June 30, 2017 and 2016 (unaudited)</w:t>
              </w:r>
            </w:hyperlink>
          </w:p>
        </w:tc>
        <w:tc>
          <w:tcPr>
            <w:tcW w:w="80" w:type="dxa"/>
            <w:vAlign w:val="bottom"/>
          </w:tcPr>
          <w:p>
            <w:pPr>
              <w:spacing w:after="0"/>
              <w:rPr>
                <w:sz w:val="24"/>
                <w:szCs w:val="24"/>
                <w:color w:val="auto"/>
              </w:rPr>
            </w:pPr>
          </w:p>
        </w:tc>
        <w:tc>
          <w:tcPr>
            <w:tcW w:w="340" w:type="dxa"/>
            <w:vAlign w:val="bottom"/>
            <w:gridSpan w:val="4"/>
          </w:tcPr>
          <w:p>
            <w:pPr>
              <w:jc w:val="center"/>
              <w:ind w:left="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2600" w:type="dxa"/>
            <w:vAlign w:val="bottom"/>
            <w:gridSpan w:val="2"/>
          </w:tcPr>
          <w:p>
            <w:pPr>
              <w:spacing w:after="0"/>
              <w:rPr>
                <w:sz w:val="24"/>
                <w:szCs w:val="24"/>
                <w:color w:val="auto"/>
              </w:rPr>
            </w:pPr>
          </w:p>
        </w:tc>
        <w:tc>
          <w:tcPr>
            <w:tcW w:w="340" w:type="dxa"/>
            <w:vAlign w:val="bottom"/>
            <w:gridSpan w:val="4"/>
          </w:tcPr>
          <w:p>
            <w:pPr>
              <w:jc w:val="center"/>
              <w:ind w:left="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420" w:type="dxa"/>
            <w:vAlign w:val="bottom"/>
            <w:gridSpan w:val="2"/>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1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420" w:type="dxa"/>
            <w:vAlign w:val="bottom"/>
            <w:gridSpan w:val="2"/>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40" w:type="dxa"/>
            <w:vAlign w:val="bottom"/>
            <w:gridSpan w:val="4"/>
          </w:tcPr>
          <w:p>
            <w:pPr>
              <w:jc w:val="center"/>
              <w:ind w:left="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420" w:type="dxa"/>
            <w:vAlign w:val="bottom"/>
            <w:gridSpan w:val="2"/>
          </w:tcPr>
          <w:p>
            <w:pPr>
              <w:spacing w:after="0"/>
              <w:rPr>
                <w:sz w:val="24"/>
                <w:szCs w:val="24"/>
                <w:color w:val="auto"/>
              </w:rPr>
            </w:pP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7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9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340" w:type="dxa"/>
            <w:vAlign w:val="bottom"/>
            <w:gridSpan w:val="4"/>
          </w:tcPr>
          <w:p>
            <w:pPr>
              <w:jc w:val="center"/>
              <w:ind w:left="7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42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420" w:type="dxa"/>
            <w:vAlign w:val="bottom"/>
            <w:tcBorders>
              <w:top w:val="single" w:sz="8" w:color="0000EE"/>
            </w:tcBorders>
            <w:gridSpan w:val="2"/>
          </w:tcPr>
          <w:p>
            <w:pPr>
              <w:spacing w:after="0"/>
              <w:rPr>
                <w:sz w:val="24"/>
                <w:szCs w:val="24"/>
                <w:color w:val="auto"/>
              </w:rPr>
            </w:pPr>
          </w:p>
        </w:tc>
        <w:tc>
          <w:tcPr>
            <w:tcW w:w="82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94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1000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4"/>
          </w:tcPr>
          <w:p>
            <w:pPr>
              <w:jc w:val="center"/>
              <w:ind w:left="7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910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109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340" w:type="dxa"/>
            <w:vAlign w:val="bottom"/>
            <w:gridSpan w:val="4"/>
          </w:tcPr>
          <w:p>
            <w:pPr>
              <w:jc w:val="center"/>
              <w:ind w:left="7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140" w:type="dxa"/>
            <w:vAlign w:val="bottom"/>
          </w:tcPr>
          <w:p>
            <w:pPr>
              <w:spacing w:after="0"/>
              <w:rPr>
                <w:sz w:val="24"/>
                <w:szCs w:val="24"/>
                <w:color w:val="auto"/>
              </w:rPr>
            </w:pPr>
          </w:p>
        </w:tc>
      </w:tr>
      <w:tr>
        <w:trPr>
          <w:trHeight w:val="166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68"/>
        </w:trPr>
        <w:tc>
          <w:tcPr>
            <w:tcW w:w="5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6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$602 and $611,</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4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15,981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receivables and other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39,259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indefinite lived intangible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108,859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long-term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33,647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Common stock, par value $0.01 per share, 80,000,000 shares authorized; 42,580,556 and</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42,186,827 shares issued and 34,835,049 and 34,441,320 shares outstanding, respectively</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216,728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75,212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25,213</w:t>
            </w: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26,136</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49,369</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13,926</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14,461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26,583</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11,287</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11,675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22,786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10,030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11,286</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12,515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23,424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Basic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Diluted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34,695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34,638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34,695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34,638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(1,447)</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Derivatives qualifying as hedges, net of tax:</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Loss on derivative instruments designated and qualifying as cash</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flow hedges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160"/>
              <w:spacing w:after="0" w:line="201" w:lineRule="exact"/>
              <w:rPr>
                <w:sz w:val="20"/>
                <w:szCs w:val="20"/>
                <w:color w:val="auto"/>
              </w:rPr>
            </w:pPr>
            <w:r>
              <w:rPr>
                <w:rFonts w:ascii="Arial" w:cs="Arial" w:eastAsia="Arial" w:hAnsi="Arial"/>
                <w:sz w:val="18"/>
                <w:szCs w:val="18"/>
                <w:color w:val="auto"/>
                <w:w w:val="96"/>
              </w:rPr>
              <w:t>Amounts reclassified from accumulated other comprehensive loss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 net loss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1,494</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rPr>
              <w:t>HARVARD BIOSCIENCE, INC.</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b w:val="1"/>
                <w:bCs w:val="1"/>
                <w:color w:val="auto"/>
                <w:w w:val="90"/>
              </w:rPr>
              <w:t>(Unaudited, in thousands)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Amortization of catalog costs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520"/>
              <w:spacing w:after="0"/>
              <w:rPr>
                <w:sz w:val="20"/>
                <w:szCs w:val="20"/>
                <w:color w:val="auto"/>
              </w:rPr>
            </w:pPr>
            <w:r>
              <w:rPr>
                <w:rFonts w:ascii="Arial" w:cs="Arial" w:eastAsia="Arial" w:hAnsi="Arial"/>
                <w:sz w:val="18"/>
                <w:szCs w:val="18"/>
                <w:color w:val="auto"/>
              </w:rPr>
              <w:t>Decrease in accounts receivable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(increase) in inventories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520"/>
              <w:spacing w:after="0"/>
              <w:rPr>
                <w:sz w:val="20"/>
                <w:szCs w:val="20"/>
                <w:color w:val="auto"/>
              </w:rPr>
            </w:pPr>
            <w:r>
              <w:rPr>
                <w:rFonts w:ascii="Arial" w:cs="Arial" w:eastAsia="Arial" w:hAnsi="Arial"/>
                <w:sz w:val="18"/>
                <w:szCs w:val="18"/>
                <w:color w:val="auto"/>
              </w:rPr>
              <w:t>Increase in other receivables and other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 trade accounts payable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520"/>
              <w:spacing w:after="0"/>
              <w:rPr>
                <w:sz w:val="20"/>
                <w:szCs w:val="20"/>
                <w:color w:val="auto"/>
              </w:rPr>
            </w:pPr>
            <w:r>
              <w:rPr>
                <w:rFonts w:ascii="Arial" w:cs="Arial" w:eastAsia="Arial" w:hAnsi="Arial"/>
                <w:sz w:val="18"/>
                <w:szCs w:val="18"/>
                <w:color w:val="auto"/>
              </w:rPr>
              <w:t>Decrease in accrued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increase in accrued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520"/>
              <w:spacing w:after="0"/>
              <w:rPr>
                <w:sz w:val="20"/>
                <w:szCs w:val="20"/>
                <w:color w:val="auto"/>
              </w:rPr>
            </w:pPr>
            <w:r>
              <w:rPr>
                <w:rFonts w:ascii="Arial" w:cs="Arial" w:eastAsia="Arial" w:hAnsi="Arial"/>
                <w:sz w:val="18"/>
                <w:szCs w:val="18"/>
                <w:color w:val="auto"/>
              </w:rPr>
              <w:t>Increase in deferred revenue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(decrease) in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Additions to catalog costs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taxes paid for issuance of common stock</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period</w:t>
      </w:r>
    </w:p>
    <w:p>
      <w:pPr>
        <w:spacing w:after="0" w:line="20" w:lineRule="exact"/>
        <w:rPr>
          <w:sz w:val="20"/>
          <w:szCs w:val="20"/>
          <w:color w:val="auto"/>
        </w:rPr>
      </w:pPr>
      <w:r>
        <w:rPr>
          <w:sz w:val="20"/>
          <w:szCs w:val="20"/>
          <w:color w:val="auto"/>
        </w:rPr>
        <w:br w:type="column"/>
      </w:r>
    </w:p>
    <w:p>
      <w:pPr>
        <w:jc w:val="both"/>
        <w:ind w:left="1000"/>
        <w:spacing w:after="0"/>
        <w:tabs>
          <w:tab w:leader="none" w:pos="250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8"/>
          <w:szCs w:val="18"/>
          <w:color w:val="auto"/>
        </w:rPr>
        <w:t>(283)</w:t>
      </w:r>
    </w:p>
    <w:p>
      <w:pPr>
        <w:spacing w:after="0" w:line="23" w:lineRule="exact"/>
        <w:rPr>
          <w:sz w:val="20"/>
          <w:szCs w:val="20"/>
          <w:color w:val="auto"/>
        </w:rPr>
      </w:pPr>
    </w:p>
    <w:p>
      <w:pPr>
        <w:ind w:left="2400" w:hanging="1458"/>
        <w:spacing w:after="0"/>
        <w:tabs>
          <w:tab w:leader="none" w:pos="2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(3,113)</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5,596</w:t>
      </w:r>
      <w:r>
        <w:rPr>
          <w:rFonts w:ascii="Arial" w:cs="Arial" w:eastAsia="Arial" w:hAnsi="Arial"/>
          <w:sz w:val="16"/>
          <w:szCs w:val="16"/>
          <w:color w:val="auto"/>
        </w:rPr>
        <w:t>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78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-276860</wp:posOffset>
            </wp:positionV>
            <wp:extent cx="1878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5"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3,631</w:t>
      </w:r>
    </w:p>
    <w:p>
      <w:pPr>
        <w:spacing w:after="0" w:line="23" w:lineRule="exact"/>
        <w:rPr>
          <w:sz w:val="20"/>
          <w:szCs w:val="20"/>
          <w:color w:val="auto"/>
        </w:rPr>
      </w:pPr>
    </w:p>
    <w:p>
      <w:pPr>
        <w:sectPr>
          <w:pgSz w:w="11900" w:h="16838" w:orient="portrait"/>
          <w:cols w:equalWidth="0" w:num="2">
            <w:col w:w="7740" w:space="720"/>
            <w:col w:w="296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4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Cash (refunded) paid for income taxes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452</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500" w:right="5580" w:hanging="492"/>
        <w:spacing w:after="0" w:line="503" w:lineRule="auto"/>
        <w:tabs>
          <w:tab w:leader="none" w:pos="4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June 30, 2017 and for the six months ended June 30, 2017 and 2016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2016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2016, which was filed with the SEC on March 17, 2017.</w:t>
      </w:r>
    </w:p>
    <w:p>
      <w:pPr>
        <w:spacing w:after="0" w:line="16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June 30, 2017, results of operations and comprehensive loss and cash flows for the six months ended June 30, 2017 and 2016, as applicable, have been made. The results of operations for the six months ended June 30, 2017 are not necessarily indicative of the operating results for the full fiscal year or any future periods.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2016, which was filed with the SEC on March 17, 2017.</w:t>
      </w:r>
    </w:p>
    <w:p>
      <w:pPr>
        <w:spacing w:after="0" w:line="39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 new accounting standard that provides for a comprehensive model to use in the accounting for revenue arising from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 The Company expects to adopt this standard as of January 1, 2018 using the modified retrospective approach. The Company is in the process of completing a comprehensive assessment of its contracts concerning any unique customer contract terms or transactions that could have implications to the timing of revenue recognition under the new guidance. The Company expects this undertaking will be complete in the second half of 2017.</w:t>
      </w:r>
    </w:p>
    <w:p>
      <w:pPr>
        <w:spacing w:after="0" w:line="192"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The Company is evaluating the requirements of this guidance and has not yet determined the impact of the adoption on its consolidated financial position, results of operations and cash flows, however, assets and liabilities will increase upon adoption for right-of-use assets and lease liabilities. The Company’s future commitments under lease obligations are summarized in Note 10.</w:t>
      </w:r>
    </w:p>
    <w:p>
      <w:pPr>
        <w:spacing w:after="0" w:line="158"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Stock compensation (Topic 718): Scope of modification accounting</w:t>
      </w:r>
      <w:r>
        <w:rPr>
          <w:rFonts w:ascii="Arial" w:cs="Arial" w:eastAsia="Arial" w:hAnsi="Arial"/>
          <w:sz w:val="17"/>
          <w:szCs w:val="17"/>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The Company is evaluating the requirements of this guidance and has not yet determined the impact of the adoption on its consolidated financial position, results of operations and cash flows.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18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16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Company adopted ASU 2016-09 as of January 1, 2017.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six months ended June 30, 2017 have been recognized in the current period’s income statement.</w:t>
      </w:r>
    </w:p>
    <w:p>
      <w:pPr>
        <w:spacing w:after="0" w:line="173"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The Company elected as an accounting policy to account for forfeitures for service based awards as they occur, and as a result, the Company recorded a cumulative effect adjustment of $0.1 million to reduce retained earnings with a corresponding increase in additional paid in capital related to the prior years’ stock-based compensation expense as required under the modified retrospective approach. The tax effect of this adjustment, which included the impact of a valuation allowance was immaterial.</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Foreign currency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4"/>
              </w:rPr>
              <w:t>Derivatives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1"/>
              </w:rPr>
              <w:t>translation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1"/>
              </w:rPr>
              <w:t>qualifying as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w w:val="92"/>
              </w:rPr>
              <w:t>Defined benefit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adjustments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4"/>
              </w:rPr>
              <w:t>hedges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pension plans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Balance at June 30, 2017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(11,192)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(2,458)</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- 7 -</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Other Intangible Assets</w:t>
      </w:r>
    </w:p>
    <w:p>
      <w:pPr>
        <w:spacing w:after="0" w:line="25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Intangible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Amortizable intangible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Existing technology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Distribution agreements/customer relationships Patents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amortizable intangible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indefinite-lived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840" w:type="dxa"/>
            <w:vAlign w:val="bottom"/>
            <w:vMerge w:val="restart"/>
          </w:tcPr>
          <w:p>
            <w:pPr>
              <w:jc w:val="center"/>
              <w:ind w:left="350"/>
              <w:spacing w:after="0"/>
              <w:rPr>
                <w:sz w:val="20"/>
                <w:szCs w:val="20"/>
                <w:color w:val="auto"/>
              </w:rPr>
            </w:pPr>
            <w:r>
              <w:rPr>
                <w:rFonts w:ascii="Arial" w:cs="Arial" w:eastAsia="Arial" w:hAnsi="Arial"/>
                <w:sz w:val="18"/>
                <w:szCs w:val="18"/>
                <w:b w:val="1"/>
                <w:bCs w:val="1"/>
                <w:color w:val="auto"/>
                <w:w w:val="90"/>
              </w:rPr>
              <w:t>(a)</w:t>
            </w: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700"/>
              <w:spacing w:after="0" w:line="195" w:lineRule="exact"/>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0"/>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7"/>
              </w:rPr>
              <w:t>Amortization</w:t>
            </w:r>
          </w:p>
        </w:tc>
        <w:tc>
          <w:tcPr>
            <w:tcW w:w="11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6.7</w:t>
            </w:r>
          </w:p>
        </w:tc>
        <w:tc>
          <w:tcPr>
            <w:tcW w:w="840" w:type="dxa"/>
            <w:vAlign w:val="bottom"/>
            <w:vMerge w:val="restart"/>
          </w:tcPr>
          <w:p>
            <w:pPr>
              <w:jc w:val="center"/>
              <w:ind w:left="35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195"/>
        </w:trPr>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15,771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(12,536)</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15,082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(11,710)</w:t>
            </w:r>
          </w:p>
        </w:tc>
        <w:tc>
          <w:tcPr>
            <w:tcW w:w="11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(3,479)</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(12,862)</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45,641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38,032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-1303020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-1019810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-736600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-419735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-145415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60" w:space="720"/>
            <w:col w:w="7040"/>
          </w:cols>
          <w:pgMar w:left="240" w:top="233"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w w:val="96"/>
              </w:rPr>
              <w:t>Total goodwill and other indefinite-lived intangible assets</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40,490</w:t>
            </w:r>
          </w:p>
        </w:tc>
        <w:tc>
          <w:tcPr>
            <w:tcW w:w="1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39,241</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intangible assets, gross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87,503</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84,882</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(a) Weighted average life as of June 30, 2017.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six months ended June 30, 2017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(in thousands)</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38,032</w:t>
            </w:r>
          </w:p>
        </w:tc>
      </w:tr>
      <w:tr>
        <w:trPr>
          <w:trHeight w:val="23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23"/>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39,259</w:t>
            </w: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Intangible asset amortization expense was $0.6 million and $0.7 million for the three months ended June 30, 2017 and 2016, respectively. Intangible asset amortization expense was $1.2 million and $1.4 million for the six months ended June 30, 2017 and 2016, respectively. Amortization expense of existing amortizable intangible assets is currently estimated to be $2.5 million for the year ending December 31, 2017, $2.3 million for the year ending December 31, 2018, $2.2 million for the year ending December 31, 2019, $2.1 million for the year ending December 31, 2020 and $2.1 million for the year ending December 31, 2021.</w:t>
      </w:r>
    </w:p>
    <w:p>
      <w:pPr>
        <w:sectPr>
          <w:pgSz w:w="11900" w:h="16838" w:orient="portrait"/>
          <w:cols w:equalWidth="0" w:num="1">
            <w:col w:w="11420"/>
          </w:cols>
          <w:pgMar w:left="240" w:top="233" w:right="239" w:bottom="1440" w:gutter="0" w:footer="0" w:header="0"/>
          <w:type w:val="continuous"/>
        </w:sectPr>
      </w:pPr>
    </w:p>
    <w:p>
      <w:pPr>
        <w:spacing w:after="0" w:line="18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89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9,340</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20,371</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-599440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-325120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80"/>
          </w:cols>
          <w:pgMar w:left="240" w:top="233"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2017 and December 31, 2016, 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1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18,904</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43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Related Party Transactions</w:t>
            </w: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vMerge w:val="continue"/>
          </w:tcPr>
          <w:p>
            <w:pPr>
              <w:spacing w:after="0"/>
              <w:rPr>
                <w:sz w:val="24"/>
                <w:szCs w:val="24"/>
                <w:color w:val="auto"/>
              </w:rPr>
            </w:pPr>
          </w:p>
        </w:tc>
        <w:tc>
          <w:tcPr>
            <w:tcW w:w="4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June 30, 2017 and 2016. Pursuant to a lease agreement, the Company incurred rent expense of approximately $61 thousand and $58 thousand to the former owners of MCS for the three months ended June 30, 2017 and 2016, respectively. The Company incurred rent expense of approximately $10 thousand to the former owner of TBSI for both the three months ended June 30, 2017 and 2016. The Company incurred rent expense of approximately $116 thousand and $113 thousand to the former owners of MCS for the six months ended June 30, 2017 and 2016, respectively. The Company incurred rent expense of approximately $21 thousand to the former owner of TBSI for both the six months ended June 30, 2017 and 2016.</w:t>
      </w:r>
    </w:p>
    <w:p>
      <w:pPr>
        <w:spacing w:after="0" w:line="16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w w:val="97"/>
              </w:rPr>
              <w:t>Beginning</w:t>
            </w:r>
          </w:p>
        </w:tc>
        <w:tc>
          <w:tcPr>
            <w:tcW w:w="1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Balance</w:t>
            </w: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Payments</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Additions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40" w:type="dxa"/>
            <w:vAlign w:val="bottom"/>
            <w:gridSpan w:val="2"/>
          </w:tcPr>
          <w:p>
            <w:pPr>
              <w:jc w:val="right"/>
              <w:ind w:right="95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147</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4940" w:type="dxa"/>
            <w:vAlign w:val="bottom"/>
          </w:tcPr>
          <w:p>
            <w:pPr>
              <w:ind w:left="180"/>
              <w:spacing w:after="0"/>
              <w:rPr>
                <w:sz w:val="20"/>
                <w:szCs w:val="20"/>
                <w:color w:val="auto"/>
              </w:rPr>
            </w:pPr>
            <w:r>
              <w:rPr>
                <w:rFonts w:ascii="Arial" w:cs="Arial" w:eastAsia="Arial" w:hAnsi="Arial"/>
                <w:sz w:val="18"/>
                <w:szCs w:val="18"/>
                <w:b w:val="1"/>
                <w:bCs w:val="1"/>
                <w:color w:val="auto"/>
              </w:rPr>
              <w:t>Employee Benefit Plans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One of the Company’s subsidiaries in the United Kingdom, or UK, Biochrom Limited, maintains contributory, defined benefit pension plans for substantially all of its employees. As of June 30, 2014, these defined benefit pension plans were closed to new employees, as well as closed to the future accrual of benefits for existing employees. The components of the Company’s defined benefit pension expense were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cost: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amortization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24"/>
        </w:trPr>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(in thousands)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04"/>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30"/>
        </w:trPr>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(181)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-736600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-462280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233" w:right="239" w:bottom="1440" w:gutter="0" w:footer="0" w:header="0"/>
        </w:sectPr>
      </w:pPr>
    </w:p>
    <w:p>
      <w:pPr>
        <w:spacing w:after="0" w:line="2"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For the three months ended June 30, 2017 and 2016, the Company contributed $0.2 million, for both periods, to its defined benefit pension plans. For the six months ended June 30, 2017 and 2016, the Company contributed $0.3 million and $0.4 million, respectively, to its defined benefit pension plans. The Company expects to contribute approximately $0.4 million to its defined benefit pension plans during the remainder of 2017.</w:t>
      </w:r>
    </w:p>
    <w:p>
      <w:pPr>
        <w:spacing w:after="0" w:line="166"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$3.3 million and $3.0 million, as of June 30, 2017 and December 31, 2016, respectively, included in the other long term liabilities line item in the consolidated balance sheets.</w:t>
      </w:r>
    </w:p>
    <w:p>
      <w:pPr>
        <w:spacing w:after="0" w:line="16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Company has noncancelable operating leases for office and warehouse space expiring at various dates through 2022 and thereafter. Rent expense, which is recorded on a straight-line basis, is estimated to be $1.8 million for the year ended December 31, 2017. Rent expense was approximately $0.5 million for both the three months ended June 30, 2017 and 2016. Rent expense was approximately $0.9 million and $1.0 million for the six months ended June 30, 2017 and 2016,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June 30, 2017,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2019</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2021</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6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Capital Stock</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Initially, these rights will not be exercisable and will trade with the shares of the Company’s common stock. Under the Shareholder Rights Plan, the rights generally will become exercisable if a person becomes an “acquiring person” by acquiring 20% or more of the common stock of the Company or if a person commences a tender offer that could result in that person owning 20% or more of the common stock of the Company. If a person becomes an acquiring person, each holder of a right (other than the acquiring person) would be entitled to purchase, at the then-current exercise price, such number of shares of preferred stock which are equivalent to shares of the Company’s common stock having a value of twice the exercise price of the right. Unless the Board of Directors elects to extend such plan, the Shareholder Rights Plan will expire in February 2018.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June 30, 2017,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18, 2017, the stockholders of the Company approved an increase of 300,000 shares of common stock in the number of shares available for issuance under the ESPP. Following such amendment, 1,050,000 shares of common stock are authorized for issuance, of which 762,141 shares were issued, as of June 30, 2017. There were 36,902 and 39,353 shares issued under the ESPP during the six months ended June 30, 2017 and 2016,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The Second Amendment to the Third A&amp;R Plan (the Amendment) was adopted by the Board of Directors on April 3, 2015. Such Amendment was approved by the stockholders at the Company’s 2015 Annual Meeting of Stockholders. Pursuant to the Amendment, the aggregate number of shares authorized for issuance under the Third A&amp;R Plan was increased by 2,500,000 shares to 17,508,929.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On August 3, 2015, the Compensation Committee of the Board of Directors of the Company approved and granted deferred stock awards of Market Condition RSU’s to certain members of the Company’s management team under the Third A&amp;R Plan. The vesting of these Market Condition RSU’s is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June 30, 2017, the target number of these restricted stock units that may be earned is 170,903 shares; the maximum amount is 150% of the target number.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81"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 Company adopted ASU 2016-09 as of January 1, 2017. As disclosed in footnote 2,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Stock option and restricted stock unit activity under the Company’s Third A&amp;R Plan for the six months ended June 30, 2017 was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460" w:type="dxa"/>
            <w:vAlign w:val="bottom"/>
            <w:gridSpan w:val="5"/>
          </w:tcPr>
          <w:p>
            <w:pPr>
              <w:ind w:left="640"/>
              <w:spacing w:after="0"/>
              <w:rPr>
                <w:sz w:val="20"/>
                <w:szCs w:val="20"/>
                <w:color w:val="auto"/>
              </w:rPr>
            </w:pPr>
            <w:r>
              <w:rPr>
                <w:rFonts w:ascii="Arial" w:cs="Arial" w:eastAsia="Arial" w:hAnsi="Arial"/>
                <w:sz w:val="18"/>
                <w:szCs w:val="18"/>
                <w:b w:val="1"/>
                <w:bCs w:val="1"/>
                <w:color w:val="auto"/>
              </w:rPr>
              <w:t>Stock Options</w:t>
            </w:r>
          </w:p>
        </w:tc>
        <w:tc>
          <w:tcPr>
            <w:tcW w:w="23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4"/>
                <w:szCs w:val="24"/>
                <w:color w:val="auto"/>
              </w:rPr>
            </w:pPr>
          </w:p>
        </w:tc>
        <w:tc>
          <w:tcPr>
            <w:tcW w:w="25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Outstanding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4,096,818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1,072,653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182,150</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1,286,321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Vested (RSUs)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Cancelled / 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Balance at June 30, 2017</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3,850,809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1,867,789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170,903</w:t>
            </w:r>
          </w:p>
        </w:tc>
        <w:tc>
          <w:tcPr>
            <w:tcW w:w="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441"/>
        <w:spacing w:after="0" w:line="259" w:lineRule="auto"/>
        <w:rPr>
          <w:sz w:val="20"/>
          <w:szCs w:val="20"/>
          <w:color w:val="auto"/>
        </w:rPr>
      </w:pPr>
      <w:r>
        <w:rPr>
          <w:rFonts w:ascii="Arial" w:cs="Arial" w:eastAsia="Arial" w:hAnsi="Arial"/>
          <w:sz w:val="18"/>
          <w:szCs w:val="18"/>
          <w:color w:val="auto"/>
        </w:rPr>
        <w:t>The weighted average fair value of the options granted under the Third A&amp;R Plan during the three months ended June 30, 2017 and 2016 was $1.01 and $1.48, respectively. The weighted average fair value of the options granted under the Third A&amp;R Plan during the six months ended June 30, 2017 and 2016 was $1.21 and $1.26, respectively. The following assumptions were used to estimate the fair value, using the Black-Scholes option pricing model, of stock options granted during the three and six months ended June 30, 2017 and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35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38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9"/>
                <w:szCs w:val="19"/>
                <w:color w:val="auto"/>
              </w:rPr>
            </w:pPr>
          </w:p>
        </w:tc>
      </w:tr>
      <w:tr>
        <w:trPr>
          <w:trHeight w:val="234"/>
        </w:trPr>
        <w:tc>
          <w:tcPr>
            <w:tcW w:w="452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42.91%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41.39%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1.45%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2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5.14 years</w:t>
            </w:r>
          </w:p>
        </w:tc>
        <w:tc>
          <w:tcPr>
            <w:tcW w:w="1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5.16 years</w:t>
            </w:r>
          </w:p>
        </w:tc>
        <w:tc>
          <w:tcPr>
            <w:tcW w:w="23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5.42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years</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Russell 3000 index as a whole.</w:t>
      </w:r>
    </w:p>
    <w:p>
      <w:pPr>
        <w:spacing w:after="0" w:line="193"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ESPP for the three and six months ended June 30, 2017 and 2016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5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(in thousands)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1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1,671</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Effect of assumed conversion of employee and director stock options, restricted stock units and Market Condition RSU's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9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26"/>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34,695,176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34,127,131</w:t>
            </w:r>
          </w:p>
        </w:tc>
        <w:tc>
          <w:tcPr>
            <w:tcW w:w="22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34,637,644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34,070,241</w:t>
            </w:r>
          </w:p>
        </w:tc>
      </w:tr>
      <w:tr>
        <w:trPr>
          <w:trHeight w:val="446"/>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34,695,176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34,127,131</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34,637,644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34,070,241</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-599440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233" w:right="239" w:bottom="1440" w:gutter="0" w:footer="0" w:header="0"/>
        </w:sectPr>
      </w:pPr>
    </w:p>
    <w:p>
      <w:pPr>
        <w:spacing w:after="0" w:line="21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5,889,501 and 5,502,327 shares of common stock for both the three and six months ended June 30, 2017 and 2016, respectively, as the impact of these shares would be anti-dilutive.</w:t>
      </w:r>
    </w:p>
    <w:p>
      <w:pPr>
        <w:spacing w:after="0" w:line="177"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On August 7, 2009, the Company entered into an Amended and Restated Revolving Credit Loan Agreement related to a $20.0 million revolving credit facility with Bank of America, as agent, and Bank of America and Brown Brothers Harriman &amp; Co as lenders (as amended, the 2009 Credit Agreement). On March 29, 2013, the Company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the Company entered into a series of amendments that among other things did the following:</w:t>
      </w:r>
    </w:p>
    <w:p>
      <w:pPr>
        <w:spacing w:after="0" w:line="158" w:lineRule="exact"/>
        <w:rPr>
          <w:sz w:val="20"/>
          <w:szCs w:val="20"/>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080" w:right="2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080" w:right="60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30, 2015, amended its quarterly minimum fixed charge coverage financial covenant;</w:t>
      </w:r>
    </w:p>
    <w:p>
      <w:pPr>
        <w:spacing w:after="0" w:line="9" w:lineRule="exact"/>
        <w:rPr>
          <w:rFonts w:ascii="Arial" w:cs="Arial" w:eastAsia="Arial" w:hAnsi="Arial"/>
          <w:sz w:val="18"/>
          <w:szCs w:val="18"/>
          <w:color w:val="auto"/>
        </w:rPr>
      </w:pPr>
    </w:p>
    <w:p>
      <w:pPr>
        <w:ind w:left="1080" w:right="18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its quarterly minimum fixed charge coverage financial covenant; and</w:t>
      </w:r>
    </w:p>
    <w:p>
      <w:pPr>
        <w:ind w:left="1080" w:right="180" w:hanging="316"/>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19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the Company,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the Company, or a daily floating rate based on the BBA LIBOR, plus in either case, a margin of 2.25%.</w:t>
      </w:r>
    </w:p>
    <w:p>
      <w:pPr>
        <w:spacing w:after="0" w:line="18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Term Loan and loans under the Revolving Line evidenced by the Credit Agreement, or the Loans, are guaranteed by all of the Company’s direct and indirect domestic subsidiaries, and secured by substantially all of the assets of the Company and the guarantors. The Loans are subject to restrictive covenants under the Credit Agreement, and financial covenants that require the Company and its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89"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As of June 30, 2017 and December 31, 2016, the Company had borrowings net of debt issuance costs of $13.2 million and $13.7 million respectively, outstanding under its Credit Agreement. The carrying value of the debt approximates fair value because the interest rate under the obligation approximates market rates of interest available to the Company for similar instruments. As of June 30, 2017, the Company was in compliance with all financial covenants contained in the Credit Agreement, was subject to covenant and working capital borrowing restrictions and had available borrowing capacity under its Credit Agreement of $5.3 million.</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2017, the weighted effective interest rate, net of the impact of the Company’s interest rate swap, on its Term Loan was 4.61%.</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and December 31, 2016,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Term loan</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DDTL</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Revolving line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1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installments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1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43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Derivatives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Company uses variable-rate London Interbank Offered 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78"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As disclosed in Note 12, on May 2, 2017, the Company entered into the Credit Agreement to amend its credit facility with Bank of America, as agent, and Bank of America and Brown Brothers Harriman &amp; Co. as lenders. Immediately after entering into this Credit Agreement, the Company entered into an interest rate swap contract with Bank of America with a notional amount of $14.0 million and a termination date of March 30, 2022 in order to hedge the risk of changes in the effective benchmark interest rate (LIBOR) associated with the Company’s Term Loan. The swap contract converted specific variable-rate debt into fixed-rate debt and fixed the LIBOR rate associated with the Term Loan at 1.86% plus a bank margin of 2.75%. The interest rate swap was designated as a cash flow hedge instrument in accordance with ASC 815 “Derivatives and Hedging”.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amount of the Company’s derivative instruments as of June 30, 2017 was $13.3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June 30, 2017 and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6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June 30, 2017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920" w:type="dxa"/>
            <w:vAlign w:val="bottom"/>
          </w:tcPr>
          <w:p>
            <w:pPr>
              <w:spacing w:after="0"/>
              <w:rPr>
                <w:sz w:val="20"/>
                <w:szCs w:val="20"/>
                <w:color w:val="auto"/>
              </w:rPr>
            </w:pPr>
          </w:p>
        </w:tc>
        <w:tc>
          <w:tcPr>
            <w:tcW w:w="22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2"/>
              </w:rPr>
              <w:t>Notional Amount</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Balance sheet classification</w:t>
            </w:r>
          </w:p>
        </w:tc>
        <w:tc>
          <w:tcPr>
            <w:tcW w:w="2260" w:type="dxa"/>
            <w:vAlign w:val="bottom"/>
          </w:tcPr>
          <w:p>
            <w:pPr>
              <w:spacing w:after="0"/>
              <w:rPr>
                <w:sz w:val="20"/>
                <w:szCs w:val="20"/>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(in thousands)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liabilities-non current</w:t>
            </w:r>
          </w:p>
        </w:tc>
        <w:tc>
          <w:tcPr>
            <w:tcW w:w="226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6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December 31, 2016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920" w:type="dxa"/>
            <w:vAlign w:val="bottom"/>
          </w:tcPr>
          <w:p>
            <w:pPr>
              <w:spacing w:after="0"/>
              <w:rPr>
                <w:sz w:val="20"/>
                <w:szCs w:val="20"/>
                <w:color w:val="auto"/>
              </w:rPr>
            </w:pPr>
          </w:p>
        </w:tc>
        <w:tc>
          <w:tcPr>
            <w:tcW w:w="22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2"/>
              </w:rPr>
              <w:t>Notional Amount</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Balance sheet classification</w:t>
            </w:r>
          </w:p>
        </w:tc>
        <w:tc>
          <w:tcPr>
            <w:tcW w:w="2260" w:type="dxa"/>
            <w:vAlign w:val="bottom"/>
          </w:tcPr>
          <w:p>
            <w:pPr>
              <w:spacing w:after="0"/>
              <w:rPr>
                <w:sz w:val="20"/>
                <w:szCs w:val="20"/>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(in thousands)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liabilities-non current</w:t>
            </w:r>
          </w:p>
        </w:tc>
        <w:tc>
          <w:tcPr>
            <w:tcW w:w="226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4780" w:firstLine="9"/>
        <w:spacing w:after="0" w:line="563"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Note 14 for the fair value measurements related to these financial instruments. All of the Company’s derivative instruments are designated as hedging instruments.</w:t>
      </w:r>
    </w:p>
    <w:p>
      <w:pPr>
        <w:spacing w:after="0" w:line="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six months ended June 30,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180" w:type="dxa"/>
            <w:vAlign w:val="bottom"/>
          </w:tcPr>
          <w:p>
            <w:pPr>
              <w:spacing w:after="0"/>
              <w:rPr>
                <w:sz w:val="18"/>
                <w:szCs w:val="18"/>
                <w:color w:val="auto"/>
              </w:rPr>
            </w:pPr>
          </w:p>
        </w:tc>
        <w:tc>
          <w:tcPr>
            <w:tcW w:w="504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0"/>
              </w:rPr>
              <w:t>Amount of gain (loss) recognized in OCI on derivative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89"/>
              </w:rPr>
              <w:t>(effective portion)</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3"/>
          </w:tcPr>
          <w:p>
            <w:pPr>
              <w:jc w:val="center"/>
              <w:ind w:right="15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gridSpan w:val="3"/>
          </w:tcPr>
          <w:p>
            <w:pPr>
              <w:jc w:val="center"/>
              <w:ind w:right="390"/>
              <w:spacing w:after="0" w:line="191"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(in thousands)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864"/>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- 15 -</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 summarizes the reclassifications out of accumulated other comprehensive loss for the three and six months ended June 30,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Details about AOCI Components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1"/>
              </w:rPr>
              <w:t>Amount reclassified from AOCI into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amount</w:t>
            </w:r>
          </w:p>
        </w:tc>
        <w:tc>
          <w:tcPr>
            <w:tcW w:w="0" w:type="dxa"/>
            <w:vAlign w:val="bottom"/>
          </w:tcPr>
          <w:p>
            <w:pPr>
              <w:spacing w:after="0"/>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89"/>
              </w:rPr>
              <w:t>(effective portion)</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center"/>
              <w:ind w:right="48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6"/>
                <w:szCs w:val="16"/>
                <w:color w:val="auto"/>
              </w:rPr>
            </w:pPr>
          </w:p>
        </w:tc>
        <w:tc>
          <w:tcPr>
            <w:tcW w:w="2380" w:type="dxa"/>
            <w:vAlign w:val="bottom"/>
            <w:gridSpan w:val="3"/>
          </w:tcPr>
          <w:p>
            <w:pPr>
              <w:jc w:val="center"/>
              <w:ind w:right="190"/>
              <w:spacing w:after="0" w:line="191" w:lineRule="exact"/>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6"/>
                <w:szCs w:val="16"/>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reclassified from AOCI</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color w:val="auto"/>
                <w:w w:val="91"/>
              </w:rPr>
              <w:t>(in thousands)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441"/>
        <w:spacing w:after="0" w:line="302" w:lineRule="auto"/>
        <w:rPr>
          <w:sz w:val="20"/>
          <w:szCs w:val="20"/>
          <w:color w:val="auto"/>
        </w:rPr>
      </w:pPr>
      <w:r>
        <w:rPr>
          <w:rFonts w:ascii="Arial" w:cs="Arial" w:eastAsia="Arial" w:hAnsi="Arial"/>
          <w:sz w:val="16"/>
          <w:szCs w:val="16"/>
          <w:color w:val="auto"/>
        </w:rPr>
        <w:t>As of June 30, 2017, $62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 As a result of entering into the May 2017 interest rate swap contract, the Company unwound its previous interest rate swap contracts, and received an immaterial amount in proceeds. There were no cash flow hedges discontinued during 2016.</w:t>
      </w:r>
    </w:p>
    <w:p>
      <w:pPr>
        <w:spacing w:after="0" w:line="150"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7"/>
              </w:rPr>
              <w:t>Fair Value as of June 30, 2017</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486"/>
        </w:trPr>
        <w:tc>
          <w:tcPr>
            <w:tcW w:w="5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89"/>
              </w:rPr>
              <w:t>Fair Value as of December 31, 2016</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liabilities carried at fair value include derivative instruments used to hedge the Company’s interest rate risks. The fair value of the Company’s interest rate swap agreements was based on LIBOR yield curves at the reporting date.</w:t>
      </w:r>
    </w:p>
    <w:p>
      <w:pPr>
        <w:spacing w:after="0" w:line="177"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Income tax was an approximately $81 thousand and $54 thousand benefit for the three months ended June 30, 2017 and 2016, respectively. The tax benefit for the three months ended June 30, 2017 reflects the incremental benefit recorded for the six months ended June 30, 2017 associated with the actual results for the six-month period, as described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Discrete items included in the tax benefit for the three months ended June 30, 2017 included the reversal of an uncertain tax position upon the settlement of a German audit, net of additional income tax liability per the settlement. Tax benefit for the three months ended June 30, 2016 included foreign currency gains and losses and a return to provision adjustment.</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Income tax was an approximately $58 thousand benefit and a $139 thousand expense for the six months ended June 30, 2017 and 2016, respectively. The effective income tax rate was 3.9% for the six months ended June 30, 2017, compared with (11.5%) for the same period in 2016. The tax rates for the six months ended June 30, 2017 and 2016 were based on actual results for the six-month period rather than an effective tax rate estimated for the entire year. In 2017 and 2016 the Company determined that using a year-to-date approach resulted in a better estimate of income tax expense/benefit based on its forecast of pre-tax income/loss, the mix of taxable income/loss across several jurisdictions with different statutory tax rates, and the impact of the full valuation allowance against U.S. deferred tax assets.</w:t>
      </w:r>
    </w:p>
    <w:p>
      <w:pPr>
        <w:spacing w:after="0" w:line="193"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The difference between the Company’s effective tax rate period over period was primarily attributable to higher pre-tax income at certain individual subsidiaries in 2017 versus 2016, despite an overall pre-tax loss in both periods, as well as the settlement of an uncertain tax position. In addition, both periods included the tax impact of amortization of certain indefinite-lived intangibles which are amortized for tax purposes only, against which a valuation allowance is not established.</w:t>
      </w:r>
    </w:p>
    <w:p>
      <w:pPr>
        <w:spacing w:after="0" w:line="187"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As disclosed in footnote 2, the Company adopted ASU 2016-09 as of January 1, 2017. As a result,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a net impact of $0. In addition, tax deficiencies related to vested restricted stock units and canceled stock options during the six months ended June 30, 2017 have been recognized in the current period’s income statement.</w:t>
      </w:r>
    </w:p>
    <w:p>
      <w:pPr>
        <w:spacing w:after="0" w:line="3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66" w:lineRule="auto"/>
        <w:rPr>
          <w:sz w:val="20"/>
          <w:szCs w:val="20"/>
          <w:color w:val="auto"/>
        </w:rPr>
      </w:pPr>
      <w:r>
        <w:rPr>
          <w:rFonts w:ascii="Arial" w:cs="Arial" w:eastAsia="Arial" w:hAnsi="Arial"/>
          <w:sz w:val="17"/>
          <w:szCs w:val="17"/>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currency exchange rate fluctuations; economic and political conditions generally and those affecting pharmaceutical and biotechnology industries; the seasonal nature of purchasing in Europe; our failure to expand into foreign countries and international markets; our failure to realize the expected benefits of facility consolidations; our inability to manage our growth; competition from our competitors; material weakness in our internal control over financial reporting; ineffective disclosure controls and procedures; failure or inadequacy of the our information technology structure; impact of difficulties implementing our enterprise resource planning systems;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our inability to effectively sell spectrophotometer products following the retirement of the GE Healthcare brand; failure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our spin-off of Biostage, Inc., f/k/a Harvard Apparatus Regenerative Technology, Inc., to qualify as a transaction that is generally tax-free for U.S. federal income tax purposes;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2016,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Harvard Bioscience, Inc., a Delaware corporation, is a global developer, manufacturer and marketer of a broad range of scientific instruments, systems and lab consumables used to advance life science for basic research, drug discovery, clinical and environmental testing. Our products are sold to thousands of researchers around the world through our global sales organization, websites, catalogs, and through distributors including Thermo Fisher Scientific Inc., VWR, and other specialized distributors. We have sales and manufacturing operations in the United States, the United Kingdom, Germany, Sweden, Spain, France, Canada, and China.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acquisitions;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We generate revenues by selling apparatus, instruments, devices and consumables through our distributors, direct sales force, websites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catalogs. Our websites and catalogs serve as the primary sales tools for our Cell and Animal Physiology product line. This product line includes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represented approximately 64% and 65% of our revenues for the three months ended June 30, 2017 and 2016, respectively. For the six months ended June 30, 2017 and 2016, revenues from direct sales to end users represented approximately 65% and 63% of our revenues, respectively.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Products in our Molecular Separation and Analysis product line are generally sold by distributors, and are typically priced in the range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$5,000-$15,000. They are mainly scientific instruments like spectrophotometers and plate readers that analyze light to detect and quantify a wide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molecular and cellular processes, or apparatus like gel electrophoresis units. We also use distributors for both our catalog products and our higher 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as well as for sales in locations where we do not have subsidiaries or where we have existing distributors in place from acquired businesses.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June 30, 2017 and 2016, approximately 36% and 35% of our total revenues, respectively, were derived from sales to distributors.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six months ended June 30, 2017 and 2016, approximately 35% and 37% of our total revenues, respectively, were derived from sales to distributors.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 the three and six months ended June 30, 2017, approximately 62% and 61% of our revenues, respectively, were derived from products we manufacture, approximately 14%, for both periods, were derived from complementary products we distribute in order to provide the researcher with a single source for all equipment needed to conduct a particular experiment, and approximately 24% and 25%, respectively, were derived from distributed products sold under our brand names. For the three and six months ended June 30, 2016, approximately 63% and 62% of our revenues, respectively, were derived from products we manufacture, approximately 12% and 14%, respectively, were derived from complementary products we distribute in order to provide the researcher with a single source for all equipment needed to conduct a particular experiment, and approximately 25% and 24%, respectively, were derived from distributed products sold under our brand names.</w:t>
      </w:r>
    </w:p>
    <w:p>
      <w:pPr>
        <w:spacing w:after="0" w:line="178" w:lineRule="exact"/>
        <w:rPr>
          <w:sz w:val="20"/>
          <w:szCs w:val="20"/>
          <w:color w:val="auto"/>
        </w:rPr>
      </w:pPr>
    </w:p>
    <w:p>
      <w:pPr>
        <w:ind w:firstLine="492"/>
        <w:spacing w:after="0" w:line="302" w:lineRule="auto"/>
        <w:rPr>
          <w:sz w:val="20"/>
          <w:szCs w:val="20"/>
          <w:color w:val="auto"/>
        </w:rPr>
      </w:pPr>
      <w:r>
        <w:rPr>
          <w:rFonts w:ascii="Arial" w:cs="Arial" w:eastAsia="Arial" w:hAnsi="Arial"/>
          <w:sz w:val="16"/>
          <w:szCs w:val="16"/>
          <w:color w:val="auto"/>
        </w:rPr>
        <w:t>For the three months ended June 30, 2017 and 2016, approximately 32% and 38% of our revenues, respectively, were derived from sales made by our non-United States operations. For the six months ended June 30, 2017 and 2016, approximately 33% and 38% of our revenues, respectively, were derived from sales made by our non-United States operations. As discussed later under “Selected Results of Operations”, the decrease in revenues derived by our non-United States operations is primarily attributable to currency translation and the sale of our AHN Biotechnologie GmbH subsidiary (AHN).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relative proportion of our revenue sources between direct sales and distribution sales are primarily the result of changes in geographic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mix.</w:t>
      </w:r>
    </w:p>
    <w:p>
      <w:pPr>
        <w:spacing w:after="0" w:line="211"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left="500"/>
        <w:spacing w:after="0"/>
        <w:tabs>
          <w:tab w:leader="none" w:pos="3340" w:val="left"/>
        </w:tabs>
        <w:rPr>
          <w:sz w:val="20"/>
          <w:szCs w:val="20"/>
          <w:color w:val="auto"/>
        </w:rPr>
      </w:pPr>
      <w:r>
        <w:rPr>
          <w:rFonts w:ascii="Arial" w:cs="Arial" w:eastAsia="Arial" w:hAnsi="Arial"/>
          <w:sz w:val="18"/>
          <w:szCs w:val="18"/>
          <w:i w:val="1"/>
          <w:iCs w:val="1"/>
          <w:color w:val="auto"/>
        </w:rPr>
        <w:t>Stock-based compensation expenses.</w:t>
      </w:r>
      <w:r>
        <w:rPr>
          <w:sz w:val="20"/>
          <w:szCs w:val="20"/>
          <w:color w:val="auto"/>
        </w:rPr>
        <w:tab/>
      </w:r>
      <w:r>
        <w:rPr>
          <w:rFonts w:ascii="Arial" w:cs="Arial" w:eastAsia="Arial" w:hAnsi="Arial"/>
          <w:sz w:val="16"/>
          <w:szCs w:val="16"/>
          <w:color w:val="auto"/>
        </w:rPr>
        <w:t>Stock-based compensation expense for the three months ended June 30, 2017 and 2016 was $0.8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$0.9 million, respectively. Stock-based compensation expense for the six months ended June 30, 2017 and 2016 was $1.7 million, for both periods. The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related to stock options, restricted stock units, restricted stock units with a market condition and the employee stock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and was recorded as a component of cost of revenues, sales and marketing expenses, general and administrative expenses and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14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Dollar</w:t>
            </w:r>
          </w:p>
        </w:tc>
        <w:tc>
          <w:tcPr>
            <w:tcW w:w="13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gridSpan w:val="3"/>
          </w:tcPr>
          <w:p>
            <w:pPr>
              <w:jc w:val="right"/>
              <w:ind w:right="890"/>
              <w:spacing w:after="0"/>
              <w:rPr>
                <w:sz w:val="20"/>
                <w:szCs w:val="20"/>
                <w:color w:val="auto"/>
              </w:rPr>
            </w:pPr>
            <w:r>
              <w:rPr>
                <w:rFonts w:ascii="Arial" w:cs="Arial" w:eastAsia="Arial" w:hAnsi="Arial"/>
                <w:sz w:val="18"/>
                <w:szCs w:val="18"/>
                <w:color w:val="auto"/>
              </w:rPr>
              <w:t>(dollars 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25,213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26,136</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13,926</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14,461</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(535)</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4,982</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5,086</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4,404</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5,236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(832)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1,296</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1,502</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(206)</w:t>
            </w:r>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604</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Revenues for the three months ended June 30, 2017 were $25.2 million, a decrease of approximately 3.5%, or $0.9 million, compared to revenues of $26.1 million for the three months ended June 30, 2016.</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Excluding the effects of currency translation, primarily from the weakening of the British Pound against the U.S. dollar, our revenues decreased 1.4% or $0.4 million, from the previous year. The remainder of the decline in revenues was due to the loss of approximately $0.6 million in revenues from our AHN subsidiary, following its sale in October 2016. AHN, located in Nordhausen, Germany, was a manufacturer of liquid handling products. Excluding the unfavorable currency translation and the revenue impact of the AHN disposition, revenues grew approximately 1%. This increase was primarily due to solid revenue growth in the U.S. and China, partially offset by continued softness in Europe.</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58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w w:val="91"/>
              </w:rPr>
              <w:t>Reconciliation of Changes In Revenues Compared to the</w:t>
            </w:r>
          </w:p>
        </w:tc>
      </w:tr>
      <w:tr>
        <w:trPr>
          <w:trHeight w:val="234"/>
        </w:trPr>
        <w:tc>
          <w:tcPr>
            <w:tcW w:w="1980" w:type="dxa"/>
            <w:vAlign w:val="bottom"/>
          </w:tcPr>
          <w:p>
            <w:pPr>
              <w:spacing w:after="0"/>
              <w:rPr>
                <w:sz w:val="20"/>
                <w:szCs w:val="20"/>
                <w:color w:val="auto"/>
              </w:rPr>
            </w:pPr>
          </w:p>
        </w:tc>
        <w:tc>
          <w:tcPr>
            <w:tcW w:w="6580" w:type="dxa"/>
            <w:vAlign w:val="bottom"/>
            <w:gridSpan w:val="2"/>
          </w:tcPr>
          <w:p>
            <w:pPr>
              <w:jc w:val="right"/>
              <w:ind w:right="3030"/>
              <w:spacing w:after="0"/>
              <w:rPr>
                <w:sz w:val="20"/>
                <w:szCs w:val="20"/>
                <w:color w:val="auto"/>
              </w:rPr>
            </w:pPr>
            <w:r>
              <w:rPr>
                <w:rFonts w:ascii="Arial" w:cs="Arial" w:eastAsia="Arial" w:hAnsi="Arial"/>
                <w:sz w:val="18"/>
                <w:szCs w:val="18"/>
                <w:b w:val="1"/>
                <w:bCs w:val="1"/>
                <w:color w:val="auto"/>
              </w:rPr>
              <w:t>Same Period of the Prior Year</w:t>
            </w:r>
          </w:p>
        </w:tc>
      </w:tr>
      <w:tr>
        <w:trPr>
          <w:trHeight w:val="427"/>
        </w:trPr>
        <w:tc>
          <w:tcPr>
            <w:tcW w:w="1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19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1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5"/>
              </w:rPr>
              <w:t>Organic and AHN change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98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r>
      <w:tr>
        <w:trPr>
          <w:trHeight w:val="22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42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9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Cost of revenues were $13.9 million for the three months ended June 30, 2017, a decrease of $0.6 million, or 3.7%, compared with $14.5 million for the three months ended June 30, 2016. The decrease in cost of revenues was primarily due to the effect on cost of revenues of the sale of AHN which was approximately $0.4 million and to a lesser extent, the decrease in revenues. Gross profit margin as a percentage of revenues increased slightly to 44.8% for the three months ended June 30, 2017 compared with 44.7% for 2016. The increase in gross profit margin was a result of a change in the mix of distributed or manufactured products sold as well as a lower proportion of fixed charges to sales in comparison to the prior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Sales and marketing expenses were relatively flat, decreasing $0.1 million or 2.0% to $5.0 million for the three months ended June 30, 2017 compared to $5.1 million during the same period in 2016. The decrease was primarily due to currency fluctuation.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General and administrative expenses were $4.4 million for the three months ended June 30, 2017, a decrease of $0.8 million, or 15.9%, compared with $5.2 million for the three months ended June 30, 2016. The decrease was primarily due to forensic investigation costs incurred during the three months ended June 30, 2016, a decrease in consulting fees, and lower stock based compensation expense compared to the same period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Research and development expenses were $1.3 million for the three months ended June 30, 2017, a decrease of $0.2 million, or 13.7%, compared with $1.5 million for the three months ended June 30, 2016. The decrease in expense was primarily due to an increase in the amount of research grants earned. Research grants are accounted for as a reduction in research and development expense over the period of research performed.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Amortization of intangible asset expenses was $0.6 million and $0.7 million for the three months ended June 30, 2017 and 2016, respectively. The decrease in amortization expense was primarily due to the effect of certain long-lived intangible assets becoming fully amortized towards the end of fiscal year 2016, as well as the sale of AHN during October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Other (expense) income, net, was expense of $0.5 million and income of $0.1 million for the three months ended June 30, 2017 and 2016, respectively. Included in other (expense) income, net for three months ended June 30, 2017 and 2016 was interest expense of $0.2 million, for both periods. The increase in other expense, net was primarily due to an increase in foreign exchange losses. Currency exchange rate fluctuations included as a component of net loss resulted in approximately $0.3 million in currency losses and $0.3 million in currency gains for the three months ended June 30, 2017 and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Income tax was an approximately $81 thousand and $54 thousand benefit for the three months ended June 30, 2017 and 2016, respectively. The tax benefit for the three months ended June 30, 2017 reflects the incremental benefit recorded for the six months ended June 30, 2017 associated with the actual results for the six-month period. Discrete items included in the tax benefit for the three months ended June 30, 2017 included the reversal of an uncertain tax position upon the settlement of a German audit, net of additional income tax liability per the settlement. Tax benefit for the three months ended June 30, 2016 included foreign currency gains and losses and a return to provision adjustment.</w:t>
      </w:r>
    </w:p>
    <w:p>
      <w:pPr>
        <w:spacing w:after="0" w:line="173"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Consequently, we plan to adjust our current and deferred taxes when tax law changes related to UK’s withdrawal from the EU are actually enacted and/or when EU law ceases to apply in the UK.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3"/>
        </w:trPr>
        <w:tc>
          <w:tcPr>
            <w:tcW w:w="67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9"/>
              </w:rPr>
              <w:t>Six Months Ended June 30, 2017 compared to Six Months Ended June 30, 2016</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2"/>
              </w:rPr>
              <w:t>Six Months Ended</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Dollar Change</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40" w:type="dxa"/>
            <w:vAlign w:val="bottom"/>
            <w:gridSpan w:val="3"/>
          </w:tcPr>
          <w:p>
            <w:pPr>
              <w:jc w:val="right"/>
              <w:ind w:right="850"/>
              <w:spacing w:after="0"/>
              <w:rPr>
                <w:sz w:val="20"/>
                <w:szCs w:val="20"/>
                <w:color w:val="auto"/>
              </w:rPr>
            </w:pPr>
            <w:r>
              <w:rPr>
                <w:rFonts w:ascii="Arial" w:cs="Arial" w:eastAsia="Arial" w:hAnsi="Arial"/>
                <w:sz w:val="18"/>
                <w:szCs w:val="18"/>
                <w:color w:val="auto"/>
              </w:rPr>
              <w:t>(dollars in thousands)</w:t>
            </w:r>
          </w:p>
        </w:tc>
        <w:tc>
          <w:tcPr>
            <w:tcW w:w="13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49,369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53,099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26,583</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28,479</w:t>
            </w:r>
          </w:p>
        </w:tc>
        <w:tc>
          <w:tcPr>
            <w:tcW w:w="32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(1,896)</w:t>
            </w: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10,030</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10,188</w:t>
            </w:r>
          </w:p>
        </w:tc>
        <w:tc>
          <w:tcPr>
            <w:tcW w:w="32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(158)</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9,610</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11,184</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(1,574)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2,581</w:t>
            </w: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2,927</w:t>
            </w:r>
          </w:p>
        </w:tc>
        <w:tc>
          <w:tcPr>
            <w:tcW w:w="32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(346)</w:t>
            </w:r>
          </w:p>
        </w:tc>
        <w:tc>
          <w:tcPr>
            <w:tcW w:w="13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1,203</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1,370</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Revenues for the six months ended June 30, 2017 were $49.4 million, a decrease of 7.0%, or $3.7 million, compared to revenues of $53.1 million for the same period in 2016.</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Excluding the effects of currency translation, primarily from the weakening of the British Pound against the U.S. dollar, our revenues decreased 4.7%, or $2.5 million from the same period in 2016. Also included in the revenue decline for the quarter is a decrease of $1.3 million, due to the AHN disposition in October 2016. Excluding the unfavorable currency translation and the revenue impact of the AHN disposition, revenues declined by approximately 2%. The decrease was primarily due to continued softness in Europe, partially offset with revenue growth in the U.S. and China for the six months ended June 30, 2017.</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58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w w:val="91"/>
              </w:rPr>
              <w:t>Reconciliation of Changes In Revenues Compared to the</w:t>
            </w:r>
          </w:p>
        </w:tc>
      </w:tr>
      <w:tr>
        <w:trPr>
          <w:trHeight w:val="234"/>
        </w:trPr>
        <w:tc>
          <w:tcPr>
            <w:tcW w:w="1980" w:type="dxa"/>
            <w:vAlign w:val="bottom"/>
          </w:tcPr>
          <w:p>
            <w:pPr>
              <w:spacing w:after="0"/>
              <w:rPr>
                <w:sz w:val="20"/>
                <w:szCs w:val="20"/>
                <w:color w:val="auto"/>
              </w:rPr>
            </w:pPr>
          </w:p>
        </w:tc>
        <w:tc>
          <w:tcPr>
            <w:tcW w:w="6580" w:type="dxa"/>
            <w:vAlign w:val="bottom"/>
            <w:gridSpan w:val="2"/>
          </w:tcPr>
          <w:p>
            <w:pPr>
              <w:jc w:val="right"/>
              <w:ind w:right="3030"/>
              <w:spacing w:after="0"/>
              <w:rPr>
                <w:sz w:val="20"/>
                <w:szCs w:val="20"/>
                <w:color w:val="auto"/>
              </w:rPr>
            </w:pPr>
            <w:r>
              <w:rPr>
                <w:rFonts w:ascii="Arial" w:cs="Arial" w:eastAsia="Arial" w:hAnsi="Arial"/>
                <w:sz w:val="18"/>
                <w:szCs w:val="18"/>
                <w:b w:val="1"/>
                <w:bCs w:val="1"/>
                <w:color w:val="auto"/>
              </w:rPr>
              <w:t>Same Period of the Prior Year</w:t>
            </w:r>
          </w:p>
        </w:tc>
      </w:tr>
      <w:tr>
        <w:trPr>
          <w:trHeight w:val="427"/>
        </w:trPr>
        <w:tc>
          <w:tcPr>
            <w:tcW w:w="19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2017</w:t>
            </w:r>
          </w:p>
        </w:tc>
      </w:tr>
      <w:tr>
        <w:trPr>
          <w:trHeight w:val="210"/>
        </w:trPr>
        <w:tc>
          <w:tcPr>
            <w:tcW w:w="1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5"/>
              </w:rPr>
              <w:t>Organic and AHN change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98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r>
      <w:tr>
        <w:trPr>
          <w:trHeight w:val="22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44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approximates information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Cost of revenues decreased $1.9 million, or 6.7%, to $26.6 million for the six months ended June 30, 2017 compared with $28.5 million for the six months ended June 30, 2016. The decrease in cost of revenues was primarily due to the decrease in revenues, including the effect on cost of revenues of the sale of AHN which was approximately $0.9 million. Gross profit margin as a percentage of revenues was relatively flat at 46.2% for the six months ended June 30, 2017 compared with 46.4% for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Sales and marketing expenses decreased $0.2 million, or 1.6%, to $10.0 million for the six months ended June 30, 2017 compared with $10.2 million for the six months ended June 30, 2016. The decrease was primarily due to currency fluctuation and also included the effect of a decrease in sales commissions. Sales commissions decreased due to lower revenues during the six months ended June 30, 2017 in comparison to the same period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General and administrative expenses decreased $1.6 million, or 14.1%, to $9.6 million for the six months ended June 30, 2017 compared with $11.2 million for the six months ended June 30, 2016. The decrease was primarily due to forensic investigation costs incurred during the six months ended June 30, 2016, a decrease in consulting fees, and lower travel costs compared to the same period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Research and development expenses were $2.6 million for the six months ended June 30, 2017, a decrease of $0.3 million, or 11.8%, compared with $2.9 million for the six months ended June 30, 2016. The decrease was primarily due to a reduction in payroll related costs and an increase in the amount of research grants earned. Research grants are accounted for as a reduction in research and development expense over the period of research performed.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Amortization of intangible asset expenses was $1.2 million and $1.4 million for the six months ended June 30, 2017 and 2016, respectively. The decrease in amortization expense was primarily due to the effect of certain long-lived intangible assets becoming fully amortized towards the end of fiscal year 2016, as well as the sale of AHN during October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Other expense, net, was $0.9 million and $0.1 million for the six months ended June 30, 2017 and 2016, respectively. The increase in other expense, net was primarily due to an increase in foreign currency losses as compared to foreign currency gains in the prior period. Currency exchange rate fluctuations included as a component of net loss resulted in approximately $0.4 million in currency losses and $0.3 million in currency gains during the six months ended June 30, 2017 and 2016, respectively. Interest expense was $0.3 million for both the six months ended June 30,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Income tax was an approximately a $58 thousand benefit and a $139 thousand expense for the six months ended June 30, 2017 and 2016, respectively. The effective income tax rate was 3.9% for the six months ended June 30, 2017, compared with (11.5%) for the same period in 2016. The tax rates for the six months ended June 30, 2017 and 2016, respectively, were based on actual results for the six-month period rather than an effective tax rate estimated for the entire year. We determined that using a year-to-date approach resulted in a better estimate of income tax expense based on our updated forecasts of pre-tax income, mix of income across several jurisdictions with different statutory tax rates as well as the impact of the full valuation allowance against U.S. deferred tax assets.</w:t>
      </w:r>
    </w:p>
    <w:p>
      <w:pPr>
        <w:spacing w:after="0" w:line="19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difference between our effective tax rate period over period was primarily attributable to higher pre-tax income at certain individual subsidiaries in 2017 versus 2016 despite an overall pre-tax loss in both periods, as well as the settlement of an uncertain tax position. In addition, both periods included the tax impact of amortization of certain indefinite-lived intangibles which are amortized for tax purposes only, against which a valuation allowance is not established.</w:t>
      </w:r>
    </w:p>
    <w:p>
      <w:pPr>
        <w:spacing w:after="0" w:line="187"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Consequently, we plan to adjust our current and deferred taxes when tax law changes related to UK’s withdrawal from the EU are actually enacted and/or when EU law ceases to apply in the UK.</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the issuance of common stock, and bank borrowings. Our liquidity requirements arise primarily from investing activities, including funding of acquisitions, and other capital expenditures.</w:t>
      </w:r>
    </w:p>
    <w:p>
      <w:pPr>
        <w:spacing w:after="0" w:line="147"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As of June 30, 2017, we held cash and cash equivalents of $4.7 million, compared with $5.6 million at December 31, 2016. As of June 30, 2017 and December 31, 2016, we had $13.2 million and $13.7 million of borrowings outstanding under our credit facility, net of deferred financing costs. Total debt, net of cash and cash equivalents was $8.5 million at June 30, 2017, compared to $8.1 million at December 31, 2016. In addition, we had an underfunded United Kingdom pension liability of approximately $3.3 million and $3.0 million at June 30, 2017 and December 31, 2016, respectively.</w:t>
      </w:r>
    </w:p>
    <w:p>
      <w:pPr>
        <w:spacing w:after="0" w:line="154"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As of June 30, 2017 and December 31, 2016, cash and cash equivalents held by our foreign subsidiaries was $3.3 million and $4.5 million, respectively. Funds held by our foreign subsidiaries are not available for domestic operations unless the funds are repatriated. If we planned to or did repatriate these funds, then United States federal and state income taxes would have to be recorded on such amounts. Our reinvestment determination is based on the future operational and capital requirements of our U.S. and non-U.S. operations. As of December 31, 2015, we determined that the assertion of permanent reinvestment at our foreign subsidiaries in Canada and France was no longer appropriate and we repatriated approximately $3.2 million during the six months ended June 30, 2016. We did not repatriate any funds during the six months ended June 30, 2017. Cash balances did not exceed the level required for normal business operations at our subsidiaries in Canada and France as of June 30, 2017. With no funds available to repatriate, no deferred tax liability was recorded as of that date. The total tax liability associated with the repatriation of undistributed earnings in Canada and France during the six months ended June 30, 2016 was approximately $1.7 million, however the liability was entirely offset by the foreign tax credits generated from the repatriation. We currently have no plans to repatriate any of our undistributed foreign earnings in any other countries outside of Canada and France. These balances are considered permanently reinvested and will be used for foreign items including foreign acquisitions, capital investments, pension obligations and operations. It is impracticable to estimate the total tax liability, if any, which would be created by the future distribution of these earnings.</w:t>
      </w:r>
    </w:p>
    <w:p>
      <w:pPr>
        <w:spacing w:after="0" w:line="16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We currently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right="780"/>
        <w:spacing w:after="0" w:line="258" w:lineRule="auto"/>
        <w:rPr>
          <w:sz w:val="20"/>
          <w:szCs w:val="20"/>
          <w:color w:val="auto"/>
        </w:rPr>
      </w:pPr>
      <w:r>
        <w:rPr>
          <w:rFonts w:ascii="Arial" w:cs="Arial" w:eastAsia="Arial" w:hAnsi="Arial"/>
          <w:sz w:val="18"/>
          <w:szCs w:val="18"/>
          <w:color w:val="auto"/>
        </w:rPr>
        <w:t>Other adjustments to operating cash flows Changes in assets and liabilities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provided by operating activities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right="720"/>
        <w:spacing w:after="0" w:line="258" w:lineRule="auto"/>
        <w:rPr>
          <w:sz w:val="20"/>
          <w:szCs w:val="20"/>
          <w:color w:val="auto"/>
        </w:rPr>
      </w:pPr>
      <w:r>
        <w:rPr>
          <w:rFonts w:ascii="Arial" w:cs="Arial" w:eastAsia="Arial" w:hAnsi="Arial"/>
          <w:sz w:val="18"/>
          <w:szCs w:val="18"/>
          <w:color w:val="auto"/>
        </w:rPr>
        <w:t>Additions to property, plant and equipment Other investing activities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repayments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financing activities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financing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4380"/>
        <w:spacing w:after="0"/>
        <w:rPr>
          <w:sz w:val="20"/>
          <w:szCs w:val="20"/>
          <w:color w:val="auto"/>
        </w:rPr>
      </w:pPr>
      <w:r>
        <w:rPr>
          <w:rFonts w:ascii="Arial" w:cs="Arial" w:eastAsia="Arial" w:hAnsi="Arial"/>
          <w:sz w:val="15"/>
          <w:szCs w:val="15"/>
          <w:b w:val="1"/>
          <w:bCs w:val="1"/>
          <w:color w:val="auto"/>
        </w:rPr>
        <w:t>Condensed Cash Flow Statements</w:t>
      </w:r>
    </w:p>
    <w:p>
      <w:pPr>
        <w:spacing w:after="0" w:line="62" w:lineRule="exact"/>
        <w:rPr>
          <w:sz w:val="20"/>
          <w:szCs w:val="20"/>
          <w:color w:val="auto"/>
        </w:rPr>
      </w:pPr>
    </w:p>
    <w:p>
      <w:pPr>
        <w:jc w:val="center"/>
        <w:ind w:right="438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r>
      <w:tr>
        <w:trPr>
          <w:trHeight w:val="224"/>
        </w:trPr>
        <w:tc>
          <w:tcPr>
            <w:tcW w:w="2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r>
      <w:tr>
        <w:trPr>
          <w:trHeight w:val="620"/>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Pr>
          <w:p>
            <w:pPr>
              <w:spacing w:after="0"/>
              <w:rPr>
                <w:sz w:val="24"/>
                <w:szCs w:val="24"/>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3,942</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849"/>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633"/>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431"/>
        </w:trPr>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453"/>
        </w:trPr>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24"/>
                <w:szCs w:val="24"/>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-2854960</wp:posOffset>
            </wp:positionV>
            <wp:extent cx="615759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-2580640</wp:posOffset>
            </wp:positionV>
            <wp:extent cx="615759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-2297430</wp:posOffset>
            </wp:positionV>
            <wp:extent cx="615759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-2014855</wp:posOffset>
            </wp:positionV>
            <wp:extent cx="615759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-1740535</wp:posOffset>
            </wp:positionV>
            <wp:extent cx="615759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-1457325</wp:posOffset>
            </wp:positionV>
            <wp:extent cx="615759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-1174115</wp:posOffset>
            </wp:positionV>
            <wp:extent cx="615759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-899795</wp:posOffset>
            </wp:positionV>
            <wp:extent cx="615759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-608330</wp:posOffset>
            </wp:positionV>
            <wp:extent cx="615759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-325120</wp:posOffset>
            </wp:positionV>
            <wp:extent cx="615759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420"/>
            <w:col w:w="6980"/>
          </w:cols>
          <w:pgMar w:left="240" w:top="233" w:right="25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Our operating activities used cash of $0.1 million and provided $0.2 million of cash for the six months ended June 30, 2017 and 2016, respectively. The decrease in net cash flow from operations was primarily due to the effect of a slightly higher net loss and changes in working capital quarter over quarter.</w:t>
      </w:r>
    </w:p>
    <w:p>
      <w:pPr>
        <w:spacing w:after="0" w:line="124"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Our investing activities used cash of $0.5 million and $0.4 million for the six months ended June 30, 2017 and 2016, respectively. Investing activities during the six months ended June 30, 2017 and 2016 primarily included cash used for purchases of property, plant and equipment. We spent $0.4 million on capital expenditures during both the six months ended June 30, 2017 and 2016.</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Our financing activities have historically consisted of borrowings and repayments under our revolving credit facility and term loans, payments of debt issuance costs and the issuance of common stock. During the six months ended June 30, 2017, financing activities used cash of $0.6 million, compared with $2.6 million of cash used by financing activities for the six months ended June 30, 2016. During the six months ended June 30, 2017, we borrowed $2.0 million under our credit facility, repaid $2.6 million of debt under our credit facility and term loans and ended the quarter with $13.2 million of borrowings, net of deferred financing costs of $0.1 million. Net cash paid for tax withholdings from the issuance of common stock for the six months ended June 30, 2017 was $0.1 million, which related to the vesting of restricted stock units. During the six months ended June 30, 2016, we borrowed $2.0 million under our credit facility, repaid $4.6 million of debt under our credit facility and term loans and ended with $16.2 million of borrowings at June 30, 2016, net of deferred financing costs of $0.1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On August 7, 2009, we entered into an Amended and Restated Revolving Credit Loan Agreement related to a $20.0 million revolving credit facility with Bank of America, as agent, and Bank of America and Brown Brothers Harriman &amp; Co as lenders (as amended, the 2009 Credit Agreement). On March 29, 2013, we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we entered into a series of amendments that among other things did the following:</w:t>
      </w:r>
    </w:p>
    <w:p>
      <w:pPr>
        <w:spacing w:after="0" w:line="173" w:lineRule="exact"/>
        <w:rPr>
          <w:sz w:val="20"/>
          <w:szCs w:val="20"/>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08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080" w:right="58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30, 2015, amended its quarterly minimum fixed charge coverage financial covenant;</w:t>
      </w:r>
    </w:p>
    <w:p>
      <w:pPr>
        <w:spacing w:after="0" w:line="9" w:lineRule="exact"/>
        <w:rPr>
          <w:rFonts w:ascii="Arial" w:cs="Arial" w:eastAsia="Arial" w:hAnsi="Arial"/>
          <w:sz w:val="18"/>
          <w:szCs w:val="18"/>
          <w:color w:val="auto"/>
        </w:rPr>
      </w:pPr>
    </w:p>
    <w:p>
      <w:pPr>
        <w:ind w:left="1080" w:right="16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its quarterly minimum fixed charge coverage financial covenant; and</w:t>
      </w:r>
    </w:p>
    <w:p>
      <w:pPr>
        <w:ind w:left="1080" w:right="160" w:hanging="316"/>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19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us,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us, or a daily floating rate based on the BBA LIBOR, plus in either case, a margin of 2.25%.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At June 30, 2017, the weighted effective interest rate, net of the impact of our interest rate swap, on the Term Loan was 4.61%. The Credit Agreement includes covenants relating to income, debt coverage and cash flow, as well as minimum working capital requirements. The Credit Agreement also contains limitations on our ability to incur additional indebtedness and requires lender approval for acquisitions funded with cash, promissory notes and/or other consideration in excess of $6.0 million and for acquisitions funded solely with equity in excess of $10.0 million. As of June 30, 2017, we were in compliance with all financial covenants contained in the Credit Agreement; we were subject to covenant and working capital borrowing restrictions, and had available borrowing capacity under the Credit Agreement of $5.3 million.</w:t>
      </w:r>
    </w:p>
    <w:p>
      <w:pPr>
        <w:spacing w:after="0" w:line="193"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Term Loan and loans under the Revolving Line as evidenced by the Credit Agreement, or the Loans, are guaranteed by all of our direct and indirect domestic subsidiaries, and secured by substantially all of our assets and the guarantors. The Loans are subject to restrictive covenants under the Credit Agreement, and financial covenants that require us and our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our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6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any potential future acquisitions and capital expenditures for the next 12 months and beyond. This may involve incurring additional debt or raising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2016, which was filed with the SEC on March 17,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sterling, the Euro, the Canadian dollar and the Swedish krona.</w:t>
      </w:r>
    </w:p>
    <w:p>
      <w:pPr>
        <w:spacing w:after="0" w:line="18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During the six months ended June 30, 2017, changes in foreign currency exchange rates resulted in an unfavorable translation effect on our consolidated revenues and a neutral effect on our consolidated net loss. Changes in foreign currency exchange rates resulted in an unfavorable effect on revenues of approximately $1.2 million and a favorable effect on expenses of approximately $1.2 million. During the six months ended June 30, 2016, changes in foreign currency exchange rates resulted in an unfavorable effect on revenues of $0.5 million and a favorable effect on expenses of $0.5 million.</w:t>
      </w:r>
    </w:p>
    <w:p>
      <w:pPr>
        <w:spacing w:after="0" w:line="15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gain associated with the translation of foreign equity into U.S. dollars included as a component of comprehensive loss during the three months ended June 30, 2017, was approximately $2.1 million, compared to a loss of $1.8 million for the three months ended June 30, 2016. The gain associated with the translation of foreign equity into U.S. dollars included as a component of comprehensive loss during the six months ended June 30, 2017, was approximately $3.0 million, compared to a loss of $1.2 million for the six months ended June 30, 2016.</w:t>
      </w:r>
    </w:p>
    <w:p>
      <w:pPr>
        <w:spacing w:after="0" w:line="18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In addition, currency exchange rate fluctuations included as a component of net loss resulted in approximately $0.3 million in currency losses and $0.3 million in currency gains during the three months ended June 30, 2017 and 2016, respectively. Currency exchange rate fluctuations included as a component of net loss resulted in approximately $0.4 million in currency losses and $0.3 million in currency gains during the six months ended June 30, 2017 and 2016,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 new accounting standard that provides for a comprehensive model to use in the accounting for revenue arising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 We expect to adopt this standard as of January 1, 2018 using the modified retrospective approach. We are in the process of completing a comprehensive assessment of our contracts concerning any unique customer contract terms or transactions that could have implications to the timing of revenue recognition under the new guidance. We expect this undertaking will be complete in the second half of 2017.</w:t>
      </w:r>
    </w:p>
    <w:p>
      <w:pPr>
        <w:spacing w:after="0" w:line="16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We are evaluating the requirements of this guidance and have not yet determined the impact of the adoption on its consolidated financial position, results of operations and cash flows, however, assets and liabilities will increase upon adoption for right-of-use assets and lease liabilities. Our future commitments under lease obligations are summarized in Note 10.</w:t>
      </w:r>
    </w:p>
    <w:p>
      <w:pPr>
        <w:spacing w:after="0" w:line="158"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Stock compensation (Topic 718): Scope of modification accounting</w:t>
      </w:r>
      <w:r>
        <w:rPr>
          <w:rFonts w:ascii="Arial" w:cs="Arial" w:eastAsia="Arial" w:hAnsi="Arial"/>
          <w:sz w:val="17"/>
          <w:szCs w:val="17"/>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We are evaluating the requirements of this guidance and have not yet determined the impact of the adoption on our consolidated financial position, results of operations and cash flows.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181"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16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adopted ASU 2016-09 as of January 1, 2017. We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first quarter of 2017 have been recognized in the current period’s income statement.</w:t>
      </w:r>
    </w:p>
    <w:p>
      <w:pPr>
        <w:spacing w:after="0" w:line="188"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We elected as an accounting policy to account for forfeitures for service based awards as they occur, and as a result, we recorded a cumulative effect adjustment of $0.1 million to reduce retained earnings with a corresponding increase in additional paid in capital related to the prior years as required under the modified retrospective approach. The tax effect of this adjustment, which included the impact of a valuation allowance was immaterial.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June 30, 2017, we had $13.2 million outstanding under our Credit Agreement, net of deferred financing costs.</w:t>
      </w:r>
    </w:p>
    <w:p>
      <w:pPr>
        <w:spacing w:after="0" w:line="170"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As noted above under the heading “Borrowing Arrangements”, on May 2, 2017, we entered into the Credit Agreement to amend our credit facility with Bank of America, as agent, and Bank of America and Brown Brothers Harriman &amp; Co. as lenders. Immediately after entering into this Credit Agreement, we entered into a new interest rate swap contract with Bank of America with a notional amount of $14.0 million and a termination date of March 30, 2022 in order to hedge the risk of changes in the effective benchmark interest rate (LIBOR) associated with our Term Loan. The swap contract converted specific variable-rate debt into fixed-rate debt and fixed the LIBOR rate associated with the Term Loan at 1.86%. The interest rate swap was designated as a cash flow hedge instrument in accordance with ASC 815 “Derivatives and Hedging”. As a result of entering into the new interest rate swap contract, we unwound the previous interest rate swap contracts, and received an immaterial amount in proceeds.</w:t>
      </w:r>
    </w:p>
    <w:p>
      <w:pPr>
        <w:spacing w:after="0" w:line="17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As of June 30, 2017, the weighted effective interest rates, net of the impact of our interest rate swaps, on our Term Loan was 4.61%. Assuming no other changes which would affect the margin of the interest rate under our Term Loan, due to interest rate on the Term Loan being fixed at a rate of 1.86% plus a bank margin of 2.75%, there would be no effect of interest rate fluctuations on outstanding borrowings under our Credit Agreement as of June 30, 2017, over the next twelve months.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to allow timely decisions regarding required disclosures.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required by Rules 13a-15(e) and 15d-15(e) under the Exchange Act, our management, under the supervision and with the participation of our Chief Executive Officer and Chief Financial Officer, conducted an evaluation of the effectiveness of the design and operation of our disclosure controls and procedures as of June 30, 2017.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not effective, as of June 30, 2017, because of the material weaknesses in internal control over financial reporting described in Part II, Item 9A of our Annual Report on Form 10-K for the year ended December 31, 2016, filed with the SEC on March 17, 2017 (the 2016 Form 10-K). Management has concluded that the material weaknesses that were present at December 31, 2016 were also present at June 30, 2017.</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Notwithstanding the assessment that our internal controls over financial reporting were not effective and that there were material weaknesses as identified in the 2016 Form 10-K, we believe that our financial statements contained in our Quarterly Report on Form 10-Q for the fiscal quarter ended June 30, 2017, fairly present our financial condition, results of operations and cash flows in all material respects.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previously disclosed in the 2016 Form 10-K, to remediate the material weaknesses described under the subheading “Management’s Report on Internal Control Over Financial Reporting” in Item 9A of the 2016 Form 10-K, we have continued to implement the remediation initiatives described under the subheading “Remediation Plan” in Item 9A of the 2016 Form 10-K. Specifically, we have implemented a new ERP system at MCS, continue to review authority and reporting lines at MCS, and continue to design and implement additional income tax related controls. We will continue to evaluate the remediation and may in the future implement additional measures. While improvements have been made, there were no changes in our internal control over financial reporting identified in connection with the evaluation required by Rules 13a-15 and 15d-15 under the Exchange Act that occurred during the quarter ended June 30, 2017 that have materially affected, or are reasonably likely to materially affect, our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On April 14, 2017, anticipated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we believe that such claim is without merit, we are unable to predict the ultimate outcome of such litigation.</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2016, which was filed with the SEC on March 17, 2017.</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(1)</w:t>
            </w:r>
          </w:p>
        </w:tc>
        <w:tc>
          <w:tcPr>
            <w:tcW w:w="10440" w:type="dxa"/>
            <w:vAlign w:val="bottom"/>
          </w:tcPr>
          <w:p>
            <w:pPr>
              <w:ind w:left="240"/>
              <w:spacing w:after="0"/>
              <w:rPr>
                <w:sz w:val="20"/>
                <w:szCs w:val="20"/>
                <w:color w:val="auto"/>
              </w:rPr>
            </w:pPr>
            <w:r>
              <w:rPr>
                <w:rFonts w:ascii="Arial" w:cs="Arial" w:eastAsia="Arial" w:hAnsi="Arial"/>
                <w:sz w:val="18"/>
                <w:szCs w:val="18"/>
                <w:color w:val="auto"/>
                <w:w w:val="90"/>
              </w:rPr>
              <w:t>Third Amended and Restated Credit Agreement dated as of May 1, 2017, by and among Harvard Bioscience, Inc. Bank of America, N.A. and</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Brown Brothers Harriman &amp; Co.</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Certification of Chief Financial Officer of Harvard Bioscience, Inc., pursuant to Rules 13a-14(a) and 15d-14(a), as adopted pursuant to</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Certification of Chief Executive Officer of Harvard Bioscience, Inc., pursuant to Rules 13a-14(a) and 15d-14(a), as adopted pursuant to</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Harvard Bioscience, Inc., pursuant to 18 U.S.C. Section 1350, as adopted pursuant to Section 906</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Harvard Bioscience, Inc., pursuant to 18 U.S.C. Section 1350, as adopted pursuant to Section 906</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right="6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8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May 9, 2017) and incorporated by reference thereto.</w:t>
      </w:r>
    </w:p>
    <w:p>
      <w:pPr>
        <w:sectPr>
          <w:pgSz w:w="11900" w:h="16838" w:orient="portrait"/>
          <w:cols w:equalWidth="0" w:num="1">
            <w:col w:w="11420"/>
          </w:cols>
          <w:pgMar w:left="240" w:top="233" w:right="239" w:bottom="1136"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136"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4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76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w:t>
            </w:r>
          </w:p>
        </w:tc>
        <w:tc>
          <w:tcPr>
            <w:tcW w:w="25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JEFFREY A. DUCHEMIN</w:t>
            </w:r>
          </w:p>
        </w:tc>
      </w:tr>
      <w:tr>
        <w:trPr>
          <w:trHeight w:val="191"/>
        </w:trPr>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jc w:val="center"/>
              <w:ind w:right="790"/>
              <w:spacing w:after="0" w:line="191" w:lineRule="exact"/>
              <w:rPr>
                <w:sz w:val="20"/>
                <w:szCs w:val="20"/>
                <w:color w:val="auto"/>
              </w:rPr>
            </w:pPr>
            <w:r>
              <w:rPr>
                <w:rFonts w:ascii="Arial" w:cs="Arial" w:eastAsia="Arial" w:hAnsi="Arial"/>
                <w:sz w:val="18"/>
                <w:szCs w:val="18"/>
                <w:b w:val="1"/>
                <w:bCs w:val="1"/>
                <w:color w:val="auto"/>
                <w:w w:val="90"/>
              </w:rPr>
              <w:t>Jeffrey A. Duchemin</w:t>
            </w:r>
          </w:p>
        </w:tc>
      </w:tr>
      <w:tr>
        <w:trPr>
          <w:trHeight w:val="234"/>
        </w:trPr>
        <w:tc>
          <w:tcPr>
            <w:tcW w:w="34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64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0"/>
              </w:rPr>
              <w:t>/S/</w:t>
            </w:r>
          </w:p>
        </w:tc>
        <w:tc>
          <w:tcPr>
            <w:tcW w:w="25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4"/>
              </w:rPr>
              <w:t>ROBERT E. GAGNON</w:t>
            </w:r>
          </w:p>
        </w:tc>
      </w:tr>
      <w:tr>
        <w:trPr>
          <w:trHeight w:val="191"/>
        </w:trPr>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jc w:val="center"/>
              <w:ind w:right="790"/>
              <w:spacing w:after="0" w:line="191" w:lineRule="exact"/>
              <w:rPr>
                <w:sz w:val="20"/>
                <w:szCs w:val="20"/>
                <w:color w:val="auto"/>
              </w:rPr>
            </w:pPr>
            <w:r>
              <w:rPr>
                <w:rFonts w:ascii="Arial" w:cs="Arial" w:eastAsia="Arial" w:hAnsi="Arial"/>
                <w:sz w:val="18"/>
                <w:szCs w:val="18"/>
                <w:b w:val="1"/>
                <w:bCs w:val="1"/>
                <w:color w:val="auto"/>
                <w:w w:val="92"/>
              </w:rPr>
              <w:t>Robert E. Gagnon</w:t>
            </w:r>
          </w:p>
        </w:tc>
      </w:tr>
      <w:tr>
        <w:trPr>
          <w:trHeight w:val="234"/>
        </w:trPr>
        <w:tc>
          <w:tcPr>
            <w:tcW w:w="34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740" w:type="dxa"/>
            <w:vAlign w:val="bottom"/>
            <w:gridSpan w:val="5"/>
          </w:tcPr>
          <w:p>
            <w:pPr>
              <w:spacing w:after="0"/>
              <w:rPr>
                <w:sz w:val="17"/>
                <w:szCs w:val="17"/>
                <w:color w:val="auto"/>
              </w:rPr>
            </w:pP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(1)</w:t>
            </w:r>
          </w:p>
        </w:tc>
        <w:tc>
          <w:tcPr>
            <w:tcW w:w="10200" w:type="dxa"/>
            <w:vAlign w:val="bottom"/>
            <w:gridSpan w:val="9"/>
          </w:tcPr>
          <w:p>
            <w:pPr>
              <w:spacing w:after="0"/>
              <w:rPr>
                <w:sz w:val="20"/>
                <w:szCs w:val="20"/>
                <w:color w:val="auto"/>
              </w:rPr>
            </w:pPr>
            <w:r>
              <w:rPr>
                <w:rFonts w:ascii="Arial" w:cs="Arial" w:eastAsia="Arial" w:hAnsi="Arial"/>
                <w:sz w:val="18"/>
                <w:szCs w:val="18"/>
                <w:color w:val="auto"/>
                <w:w w:val="90"/>
              </w:rPr>
              <w:t>Third Amended and Restated Credit Agreement dated as of May 1, 2017, by and among Harvard Bioscience, Inc. Bank of America, N.A. and</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Brown Brothers Harriman &amp; Co.</w:t>
            </w:r>
          </w:p>
        </w:tc>
      </w:tr>
      <w:tr>
        <w:trPr>
          <w:trHeight w:val="391"/>
        </w:trPr>
        <w:tc>
          <w:tcPr>
            <w:tcW w:w="42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Certification of Chief Financial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gridSpan w:val="3"/>
          </w:tcPr>
          <w:p>
            <w:pPr>
              <w:spacing w:after="0"/>
              <w:rPr>
                <w:sz w:val="17"/>
                <w:szCs w:val="17"/>
                <w:color w:val="auto"/>
              </w:rPr>
            </w:pPr>
          </w:p>
        </w:tc>
        <w:tc>
          <w:tcPr>
            <w:tcW w:w="500" w:type="dxa"/>
            <w:vAlign w:val="bottom"/>
            <w:gridSpan w:val="4"/>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4"/>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c>
          <w:tcPr>
            <w:tcW w:w="10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of the Sarbanes-Oxley Act of 2002.</w:t>
              </w:r>
            </w:hyperlink>
          </w:p>
        </w:tc>
        <w:tc>
          <w:tcPr>
            <w:tcW w:w="7640" w:type="dxa"/>
            <w:vAlign w:val="bottom"/>
            <w:gridSpan w:val="8"/>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7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8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May 8, 2017) and incorporated by reference thereto.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E. Gagnon,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6"/>
          <w:szCs w:val="16"/>
          <w:color w:val="auto"/>
        </w:rPr>
        <w:t>/s/ ROBERT E.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E. Gagnon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June 30,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6"/>
          <w:szCs w:val="16"/>
          <w:color w:val="auto"/>
        </w:rPr>
        <w:t>/s/ ROBERT E.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E. Gagnon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June 30,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87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4"/>
    </w:lvl>
  </w:abstractNum>
  <w:abstractNum w:abstractNumId="15">
    <w:nsid w:val="62BBD95A"/>
    <w:multiLevelType w:val="hybridMultilevel"/>
    <w:lvl w:ilvl="0">
      <w:lvlJc w:val="left"/>
      <w:lvlText w:val="%1."/>
      <w:numFmt w:val="decimal"/>
      <w:start w:val="15"/>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2019-12-29T05:15:54Z</dcterms:created>
  <dcterms:modified xsi:type="dcterms:W3CDTF">2019-12-29T05:15:54Z</dcterms:modified>
</cp:coreProperties>
</file>