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 WASHINGTON, DC 20549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-7620</wp:posOffset>
            </wp:positionV>
            <wp:extent cx="63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001-33957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15" w:right="339" w:bottom="1440" w:gutter="0" w:footer="0" w:header="0"/>
        </w:sectPr>
      </w:pPr>
    </w:p>
    <w:p>
      <w:pPr>
        <w:spacing w:after="0" w:line="20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04-3306140</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71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Securities registered pursuant to Section 12(b) of the Act</w:t>
            </w:r>
            <w:r>
              <w:rPr>
                <w:rFonts w:ascii="Arial" w:cs="Arial" w:eastAsia="Arial" w:hAnsi="Arial"/>
                <w:sz w:val="18"/>
                <w:szCs w:val="18"/>
                <w:color w:val="auto"/>
                <w:w w:val="89"/>
              </w:rPr>
              <w:t>:</w:t>
            </w:r>
          </w:p>
        </w:tc>
        <w:tc>
          <w:tcPr>
            <w:tcW w:w="22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33"/>
        </w:trPr>
        <w:tc>
          <w:tcPr>
            <w:tcW w:w="4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r>
      <w:tr>
        <w:trPr>
          <w:trHeight w:val="210"/>
        </w:trPr>
        <w:tc>
          <w:tcPr>
            <w:tcW w:w="44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Title of each class</w:t>
            </w:r>
          </w:p>
        </w:tc>
        <w:tc>
          <w:tcPr>
            <w:tcW w:w="280" w:type="dxa"/>
            <w:vAlign w:val="bottom"/>
            <w:tcBorders>
              <w:bottom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jc w:val="center"/>
              <w:ind w:right="210"/>
              <w:spacing w:after="0" w:line="189" w:lineRule="exact"/>
              <w:rPr>
                <w:sz w:val="20"/>
                <w:szCs w:val="20"/>
                <w:color w:val="auto"/>
              </w:rPr>
            </w:pPr>
            <w:r>
              <w:rPr>
                <w:rFonts w:ascii="Arial" w:cs="Arial" w:eastAsia="Arial" w:hAnsi="Arial"/>
                <w:sz w:val="18"/>
                <w:szCs w:val="18"/>
                <w:color w:val="auto"/>
                <w:w w:val="91"/>
              </w:rPr>
              <w:t>Trading Symbol(s)</w:t>
            </w:r>
          </w:p>
        </w:tc>
        <w:tc>
          <w:tcPr>
            <w:tcW w:w="43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44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$0.01 par value</w:t>
            </w: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ind w:right="190"/>
              <w:spacing w:after="0" w:line="193" w:lineRule="exact"/>
              <w:rPr>
                <w:sz w:val="20"/>
                <w:szCs w:val="20"/>
                <w:color w:val="auto"/>
              </w:rPr>
            </w:pPr>
            <w:r>
              <w:rPr>
                <w:rFonts w:ascii="Arial" w:cs="Arial" w:eastAsia="Arial" w:hAnsi="Arial"/>
                <w:sz w:val="18"/>
                <w:szCs w:val="18"/>
                <w:color w:val="auto"/>
                <w:w w:val="99"/>
              </w:rPr>
              <w:t>HBIO</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15"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160" w:space="720"/>
            <w:col w:w="7360"/>
          </w:cols>
          <w:pgMar w:left="320" w:top="715"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20, 2023, there were 42,190,043 shares of the registrant’s common stock issued and outstanding.</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8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696"/>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7"/>
          </w:tcPr>
          <w:p>
            <w:pPr>
              <w:jc w:val="center"/>
              <w:ind w:right="1980"/>
              <w:spacing w:after="0"/>
              <w:rPr>
                <w:sz w:val="20"/>
                <w:szCs w:val="20"/>
                <w:color w:val="auto"/>
              </w:rPr>
            </w:pPr>
            <w:r>
              <w:rPr>
                <w:rFonts w:ascii="Arial" w:cs="Arial" w:eastAsia="Arial" w:hAnsi="Arial"/>
                <w:sz w:val="18"/>
                <w:szCs w:val="18"/>
                <w:b w:val="1"/>
                <w:bCs w:val="1"/>
                <w:color w:val="auto"/>
                <w:w w:val="99"/>
              </w:rPr>
              <w:t>HARVARD BIOSCIENCE, INC.</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w w:val="99"/>
              </w:rPr>
              <w:t>FORM 10-Q</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gridSpan w:val="2"/>
          </w:tcPr>
          <w:p>
            <w:pPr>
              <w:jc w:val="center"/>
              <w:ind w:right="2760"/>
              <w:spacing w:after="0"/>
              <w:rPr>
                <w:sz w:val="20"/>
                <w:szCs w:val="20"/>
                <w:color w:val="auto"/>
              </w:rPr>
            </w:pPr>
            <w:r>
              <w:rPr>
                <w:rFonts w:ascii="Arial" w:cs="Arial" w:eastAsia="Arial" w:hAnsi="Arial"/>
                <w:sz w:val="18"/>
                <w:szCs w:val="18"/>
                <w:b w:val="1"/>
                <w:bCs w:val="1"/>
                <w:color w:val="auto"/>
              </w:rPr>
              <w:t>INDEX</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gridSpan w:val="5"/>
          </w:tcPr>
          <w:p>
            <w:pPr>
              <w:ind w:left="1680"/>
              <w:spacing w:after="0"/>
              <w:rPr>
                <w:sz w:val="20"/>
                <w:szCs w:val="20"/>
                <w:color w:val="auto"/>
              </w:rPr>
            </w:pPr>
            <w:r>
              <w:rPr>
                <w:rFonts w:ascii="Arial" w:cs="Arial" w:eastAsia="Arial" w:hAnsi="Arial"/>
                <w:sz w:val="18"/>
                <w:szCs w:val="18"/>
                <w:b w:val="1"/>
                <w:bCs w:val="1"/>
                <w:color w:val="auto"/>
              </w:rPr>
              <w:t>Page</w:t>
            </w:r>
          </w:p>
        </w:tc>
      </w:tr>
      <w:tr>
        <w:trPr>
          <w:trHeight w:val="391"/>
        </w:trPr>
        <w:tc>
          <w:tcPr>
            <w:tcW w:w="8880" w:type="dxa"/>
            <w:vAlign w:val="bottom"/>
            <w:gridSpan w:val="23"/>
          </w:tcPr>
          <w:p>
            <w:pPr>
              <w:spacing w:after="0"/>
              <w:rPr>
                <w:sz w:val="20"/>
                <w:szCs w:val="20"/>
                <w:color w:val="auto"/>
              </w:rPr>
            </w:pPr>
            <w:r>
              <w:rPr>
                <w:rFonts w:ascii="Arial" w:cs="Arial" w:eastAsia="Arial" w:hAnsi="Arial"/>
                <w:sz w:val="18"/>
                <w:szCs w:val="18"/>
                <w:color w:val="0000EE"/>
              </w:rPr>
              <w:t>PART I - FINANCIAL INFORMATION</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99"/>
              </w:rPr>
              <w:t>3</w:t>
            </w:r>
          </w:p>
        </w:tc>
        <w:tc>
          <w:tcPr>
            <w:tcW w:w="400" w:type="dxa"/>
            <w:vAlign w:val="bottom"/>
          </w:tcPr>
          <w:p>
            <w:pPr>
              <w:spacing w:after="0"/>
              <w:rPr>
                <w:sz w:val="24"/>
                <w:szCs w:val="24"/>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1"/>
              </w:rPr>
              <w:t>Item 1.  Condensed Consolidated Financial Statements (unaudited)</w:t>
            </w:r>
          </w:p>
        </w:tc>
        <w:tc>
          <w:tcPr>
            <w:tcW w:w="3960" w:type="dxa"/>
            <w:vAlign w:val="bottom"/>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9"/>
              </w:rPr>
              <w:t>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gridSpan w:val="21"/>
          </w:tcPr>
          <w:p>
            <w:pPr>
              <w:spacing w:after="0"/>
              <w:rPr>
                <w:sz w:val="20"/>
                <w:szCs w:val="20"/>
                <w:color w:val="auto"/>
              </w:rPr>
            </w:pPr>
            <w:r>
              <w:rPr>
                <w:rFonts w:ascii="Arial" w:cs="Arial" w:eastAsia="Arial" w:hAnsi="Arial"/>
                <w:sz w:val="18"/>
                <w:szCs w:val="18"/>
                <w:color w:val="0000EE"/>
              </w:rPr>
              <w:t>Consolidated Balance Sheets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99"/>
              </w:rPr>
              <w:t>3</w:t>
            </w:r>
          </w:p>
        </w:tc>
        <w:tc>
          <w:tcPr>
            <w:tcW w:w="4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Consolidated Statements of Operations</w:t>
            </w:r>
          </w:p>
        </w:tc>
        <w:tc>
          <w:tcPr>
            <w:tcW w:w="5240" w:type="dxa"/>
            <w:vAlign w:val="bottom"/>
            <w:gridSpan w:val="9"/>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Arial" w:cs="Arial" w:eastAsia="Arial" w:hAnsi="Arial"/>
                <w:sz w:val="18"/>
                <w:szCs w:val="18"/>
                <w:color w:val="0000EE"/>
                <w:w w:val="99"/>
              </w:rPr>
              <w:t>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gridSpan w:val="21"/>
          </w:tcPr>
          <w:p>
            <w:pPr>
              <w:spacing w:after="0"/>
              <w:rPr>
                <w:sz w:val="20"/>
                <w:szCs w:val="20"/>
                <w:color w:val="auto"/>
              </w:rPr>
            </w:pPr>
            <w:r>
              <w:rPr>
                <w:rFonts w:ascii="Arial" w:cs="Arial" w:eastAsia="Arial" w:hAnsi="Arial"/>
                <w:sz w:val="18"/>
                <w:szCs w:val="18"/>
                <w:color w:val="0000EE"/>
              </w:rPr>
              <w:t>Consolidated Statements of Comprehensive Income (Loss)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99"/>
              </w:rPr>
              <w:t>5</w:t>
            </w: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8"/>
                <w:szCs w:val="18"/>
                <w:color w:val="0000EE"/>
                <w:w w:val="90"/>
              </w:rPr>
              <w:t>Consolidated Statements of Stockholders' Equity</w:t>
            </w:r>
          </w:p>
        </w:tc>
        <w:tc>
          <w:tcPr>
            <w:tcW w:w="720" w:type="dxa"/>
            <w:vAlign w:val="bottom"/>
            <w:tcBorders>
              <w:top w:val="single" w:sz="8" w:color="0000EE"/>
            </w:tcBorders>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sz w:val="20"/>
                <w:szCs w:val="20"/>
                <w:color w:val="auto"/>
              </w:rPr>
            </w:pPr>
            <w:r>
              <w:rPr>
                <w:rFonts w:ascii="Arial" w:cs="Arial" w:eastAsia="Arial" w:hAnsi="Arial"/>
                <w:sz w:val="18"/>
                <w:szCs w:val="18"/>
                <w:color w:val="0000EE"/>
                <w:w w:val="99"/>
              </w:rPr>
              <w:t>6</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gridSpan w:val="21"/>
          </w:tcPr>
          <w:p>
            <w:pPr>
              <w:spacing w:after="0"/>
              <w:rPr>
                <w:sz w:val="20"/>
                <w:szCs w:val="20"/>
                <w:color w:val="auto"/>
              </w:rPr>
            </w:pPr>
            <w:r>
              <w:rPr>
                <w:rFonts w:ascii="Arial" w:cs="Arial" w:eastAsia="Arial" w:hAnsi="Arial"/>
                <w:sz w:val="18"/>
                <w:szCs w:val="18"/>
                <w:color w:val="0000EE"/>
              </w:rPr>
              <w:t>Consolidated Statements of Cash Flows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99"/>
              </w:rPr>
              <w:t>7</w:t>
            </w:r>
          </w:p>
        </w:tc>
        <w:tc>
          <w:tcPr>
            <w:tcW w:w="4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60" w:type="dxa"/>
            <w:vAlign w:val="bottom"/>
            <w:gridSpan w:val="21"/>
          </w:tcPr>
          <w:p>
            <w:pPr>
              <w:spacing w:after="0"/>
              <w:rPr>
                <w:sz w:val="20"/>
                <w:szCs w:val="20"/>
                <w:color w:val="auto"/>
              </w:rPr>
            </w:pPr>
            <w:r>
              <w:rPr>
                <w:rFonts w:ascii="Arial" w:cs="Arial" w:eastAsia="Arial" w:hAnsi="Arial"/>
                <w:sz w:val="18"/>
                <w:szCs w:val="18"/>
                <w:color w:val="0000EE"/>
              </w:rPr>
              <w:t>Notes to Unaudited Consolidated Financial Statements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99"/>
              </w:rPr>
              <w:t>8</w:t>
            </w:r>
          </w:p>
        </w:tc>
        <w:tc>
          <w:tcPr>
            <w:tcW w:w="40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72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2"/>
              </w:rPr>
              <w:t>Item 2.   Management’s Discussion and Analysis of Financial Condition and Results of Operations</w:t>
            </w: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18</w:t>
            </w:r>
          </w:p>
        </w:tc>
        <w:tc>
          <w:tcPr>
            <w:tcW w:w="400" w:type="dxa"/>
            <w:vAlign w:val="bottom"/>
          </w:tcPr>
          <w:p>
            <w:pPr>
              <w:spacing w:after="0"/>
              <w:rPr>
                <w:sz w:val="24"/>
                <w:szCs w:val="24"/>
                <w:color w:val="auto"/>
              </w:rPr>
            </w:pPr>
          </w:p>
        </w:tc>
      </w:tr>
      <w:tr>
        <w:trPr>
          <w:trHeight w:val="412"/>
        </w:trPr>
        <w:tc>
          <w:tcPr>
            <w:tcW w:w="8880" w:type="dxa"/>
            <w:vAlign w:val="bottom"/>
            <w:gridSpan w:val="23"/>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89"/>
              </w:rPr>
              <w:t>22</w:t>
            </w:r>
          </w:p>
        </w:tc>
        <w:tc>
          <w:tcPr>
            <w:tcW w:w="400" w:type="dxa"/>
            <w:vAlign w:val="bottom"/>
          </w:tcPr>
          <w:p>
            <w:pPr>
              <w:spacing w:after="0"/>
              <w:rPr>
                <w:sz w:val="24"/>
                <w:szCs w:val="24"/>
                <w:color w:val="auto"/>
              </w:rPr>
            </w:pPr>
          </w:p>
        </w:tc>
      </w:tr>
      <w:tr>
        <w:trPr>
          <w:trHeight w:val="412"/>
        </w:trPr>
        <w:tc>
          <w:tcPr>
            <w:tcW w:w="254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3"/>
              </w:rPr>
              <w:t>Item 4.   Controls and Procedures</w:t>
            </w:r>
          </w:p>
        </w:tc>
        <w:tc>
          <w:tcPr>
            <w:tcW w:w="2500" w:type="dxa"/>
            <w:vAlign w:val="bottom"/>
            <w:tcBorders>
              <w:top w:val="single" w:sz="8" w:color="0000EE"/>
            </w:tcBorders>
            <w:gridSpan w:val="9"/>
          </w:tcPr>
          <w:p>
            <w:pPr>
              <w:spacing w:after="0"/>
              <w:rPr>
                <w:sz w:val="24"/>
                <w:szCs w:val="24"/>
                <w:color w:val="auto"/>
              </w:rPr>
            </w:pPr>
          </w:p>
        </w:tc>
        <w:tc>
          <w:tcPr>
            <w:tcW w:w="3840" w:type="dxa"/>
            <w:vAlign w:val="bottom"/>
            <w:gridSpan w:val="4"/>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22</w:t>
            </w:r>
          </w:p>
        </w:tc>
        <w:tc>
          <w:tcPr>
            <w:tcW w:w="400" w:type="dxa"/>
            <w:vAlign w:val="bottom"/>
          </w:tcPr>
          <w:p>
            <w:pPr>
              <w:spacing w:after="0"/>
              <w:rPr>
                <w:sz w:val="24"/>
                <w:szCs w:val="24"/>
                <w:color w:val="auto"/>
              </w:rPr>
            </w:pPr>
          </w:p>
        </w:tc>
      </w:tr>
      <w:tr>
        <w:trPr>
          <w:trHeight w:val="412"/>
        </w:trPr>
        <w:tc>
          <w:tcPr>
            <w:tcW w:w="26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5"/>
              </w:rPr>
              <w:t>PART II - OTHER INFORMATION</w:t>
            </w:r>
          </w:p>
        </w:tc>
        <w:tc>
          <w:tcPr>
            <w:tcW w:w="6240" w:type="dxa"/>
            <w:vAlign w:val="bottom"/>
            <w:gridSpan w:val="12"/>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6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rPr>
              <w:t>Item 1.</w:t>
            </w:r>
          </w:p>
        </w:tc>
        <w:tc>
          <w:tcPr>
            <w:tcW w:w="1400" w:type="dxa"/>
            <w:vAlign w:val="bottom"/>
            <w:tcBorders>
              <w:bottom w:val="single" w:sz="8" w:color="0000EE"/>
            </w:tcBorders>
            <w:gridSpan w:val="7"/>
          </w:tcPr>
          <w:p>
            <w:pPr>
              <w:ind w:left="60"/>
              <w:spacing w:after="0"/>
              <w:rPr>
                <w:sz w:val="20"/>
                <w:szCs w:val="20"/>
                <w:color w:val="auto"/>
              </w:rPr>
            </w:pPr>
            <w:r>
              <w:rPr>
                <w:rFonts w:ascii="Arial" w:cs="Arial" w:eastAsia="Arial" w:hAnsi="Arial"/>
                <w:sz w:val="18"/>
                <w:szCs w:val="18"/>
                <w:color w:val="0000EE"/>
                <w:w w:val="88"/>
              </w:rPr>
              <w:t>Legal Proceedings</w:t>
            </w:r>
          </w:p>
        </w:tc>
        <w:tc>
          <w:tcPr>
            <w:tcW w:w="6800" w:type="dxa"/>
            <w:vAlign w:val="bottom"/>
            <w:gridSpan w:val="15"/>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Item1A.</w:t>
            </w:r>
          </w:p>
        </w:tc>
        <w:tc>
          <w:tcPr>
            <w:tcW w:w="8200" w:type="dxa"/>
            <w:vAlign w:val="bottom"/>
            <w:gridSpan w:val="22"/>
          </w:tcPr>
          <w:p>
            <w:pPr>
              <w:ind w:left="60"/>
              <w:spacing w:after="0"/>
              <w:rPr>
                <w:sz w:val="20"/>
                <w:szCs w:val="20"/>
                <w:color w:val="auto"/>
              </w:rPr>
            </w:pPr>
            <w:r>
              <w:rPr>
                <w:rFonts w:ascii="Arial" w:cs="Arial" w:eastAsia="Arial" w:hAnsi="Arial"/>
                <w:sz w:val="18"/>
                <w:szCs w:val="18"/>
                <w:color w:val="0000EE"/>
              </w:rPr>
              <w:t>Risk Factors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51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Item 2.   Unregistered Sales of Equity Securities and Use of Proceeds.</w:t>
            </w:r>
          </w:p>
        </w:tc>
        <w:tc>
          <w:tcPr>
            <w:tcW w:w="37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8880" w:type="dxa"/>
            <w:vAlign w:val="bottom"/>
            <w:gridSpan w:val="23"/>
          </w:tcPr>
          <w:p>
            <w:pPr>
              <w:spacing w:after="0"/>
              <w:rPr>
                <w:sz w:val="20"/>
                <w:szCs w:val="20"/>
                <w:color w:val="auto"/>
              </w:rPr>
            </w:pPr>
            <w:r>
              <w:rPr>
                <w:rFonts w:ascii="Arial" w:cs="Arial" w:eastAsia="Arial" w:hAnsi="Arial"/>
                <w:sz w:val="18"/>
                <w:szCs w:val="18"/>
                <w:color w:val="0000EE"/>
              </w:rPr>
              <w:t>Item 3.   Defaults Upon Senior Securities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25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5"/>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820" w:type="dxa"/>
            <w:vAlign w:val="bottom"/>
            <w:gridSpan w:val="10"/>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6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rPr>
              <w:t>Item 5.</w:t>
            </w:r>
          </w:p>
        </w:tc>
        <w:tc>
          <w:tcPr>
            <w:tcW w:w="1380" w:type="dxa"/>
            <w:vAlign w:val="bottom"/>
            <w:tcBorders>
              <w:bottom w:val="single" w:sz="8" w:color="0000EE"/>
            </w:tcBorders>
            <w:gridSpan w:val="6"/>
          </w:tcPr>
          <w:p>
            <w:pPr>
              <w:ind w:left="60"/>
              <w:spacing w:after="0"/>
              <w:rPr>
                <w:sz w:val="20"/>
                <w:szCs w:val="20"/>
                <w:color w:val="auto"/>
              </w:rPr>
            </w:pPr>
            <w:r>
              <w:rPr>
                <w:rFonts w:ascii="Arial" w:cs="Arial" w:eastAsia="Arial" w:hAnsi="Arial"/>
                <w:sz w:val="18"/>
                <w:szCs w:val="18"/>
                <w:color w:val="0000EE"/>
                <w:w w:val="92"/>
              </w:rPr>
              <w:t>Other Information</w:t>
            </w:r>
          </w:p>
        </w:tc>
        <w:tc>
          <w:tcPr>
            <w:tcW w:w="6820" w:type="dxa"/>
            <w:vAlign w:val="bottom"/>
            <w:gridSpan w:val="16"/>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0000EE"/>
              </w:rPr>
              <w:t>Item 6.</w:t>
            </w:r>
          </w:p>
        </w:tc>
        <w:tc>
          <w:tcPr>
            <w:tcW w:w="8200" w:type="dxa"/>
            <w:vAlign w:val="bottom"/>
            <w:gridSpan w:val="22"/>
          </w:tcPr>
          <w:p>
            <w:pPr>
              <w:ind w:left="60"/>
              <w:spacing w:after="0"/>
              <w:rPr>
                <w:sz w:val="20"/>
                <w:szCs w:val="20"/>
                <w:color w:val="auto"/>
              </w:rPr>
            </w:pPr>
            <w:r>
              <w:rPr>
                <w:rFonts w:ascii="Arial" w:cs="Arial" w:eastAsia="Arial" w:hAnsi="Arial"/>
                <w:sz w:val="18"/>
                <w:szCs w:val="18"/>
                <w:color w:val="0000EE"/>
              </w:rPr>
              <w:t>Exhibits</w:t>
            </w:r>
          </w:p>
        </w:tc>
        <w:tc>
          <w:tcPr>
            <w:tcW w:w="1960" w:type="dxa"/>
            <w:vAlign w:val="bottom"/>
            <w:gridSpan w:val="4"/>
          </w:tcPr>
          <w:p>
            <w:pPr>
              <w:jc w:val="center"/>
              <w:ind w:left="1690"/>
              <w:spacing w:after="0"/>
              <w:rPr>
                <w:sz w:val="20"/>
                <w:szCs w:val="20"/>
                <w:color w:val="auto"/>
              </w:rPr>
            </w:pPr>
            <w:r>
              <w:rPr>
                <w:rFonts w:ascii="Arial" w:cs="Arial" w:eastAsia="Arial" w:hAnsi="Arial"/>
                <w:sz w:val="18"/>
                <w:szCs w:val="18"/>
                <w:color w:val="0000EE"/>
                <w:w w:val="89"/>
              </w:rPr>
              <w:t>23</w:t>
            </w:r>
          </w:p>
        </w:tc>
        <w:tc>
          <w:tcPr>
            <w:tcW w:w="400" w:type="dxa"/>
            <w:vAlign w:val="bottom"/>
          </w:tcPr>
          <w:p>
            <w:pPr>
              <w:spacing w:after="0"/>
              <w:rPr>
                <w:sz w:val="24"/>
                <w:szCs w:val="24"/>
                <w:color w:val="auto"/>
              </w:rPr>
            </w:pPr>
          </w:p>
        </w:tc>
      </w:tr>
      <w:tr>
        <w:trPr>
          <w:trHeight w:val="412"/>
        </w:trPr>
        <w:tc>
          <w:tcPr>
            <w:tcW w:w="13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SIGNATURES</w:t>
            </w:r>
          </w:p>
        </w:tc>
        <w:tc>
          <w:tcPr>
            <w:tcW w:w="7540" w:type="dxa"/>
            <w:vAlign w:val="bottom"/>
            <w:gridSpan w:val="18"/>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0000EE"/>
            </w:tcBorders>
            <w:gridSpan w:val="3"/>
          </w:tcPr>
          <w:p>
            <w:pPr>
              <w:jc w:val="center"/>
              <w:spacing w:after="0"/>
              <w:rPr>
                <w:sz w:val="20"/>
                <w:szCs w:val="20"/>
                <w:color w:val="auto"/>
              </w:rPr>
            </w:pPr>
            <w:r>
              <w:rPr>
                <w:rFonts w:ascii="Arial" w:cs="Arial" w:eastAsia="Arial" w:hAnsi="Arial"/>
                <w:sz w:val="18"/>
                <w:szCs w:val="18"/>
                <w:color w:val="0000EE"/>
                <w:w w:val="89"/>
              </w:rPr>
              <w:t>24</w:t>
            </w:r>
          </w:p>
        </w:tc>
        <w:tc>
          <w:tcPr>
            <w:tcW w:w="400" w:type="dxa"/>
            <w:vAlign w:val="bottom"/>
          </w:tcPr>
          <w:p>
            <w:pPr>
              <w:spacing w:after="0"/>
              <w:rPr>
                <w:sz w:val="24"/>
                <w:szCs w:val="24"/>
                <w:color w:val="auto"/>
              </w:rPr>
            </w:pPr>
          </w:p>
        </w:tc>
      </w:tr>
      <w:tr>
        <w:trPr>
          <w:trHeight w:val="885"/>
        </w:trPr>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gridSpan w:val="2"/>
          </w:tcPr>
          <w:p>
            <w:pPr>
              <w:spacing w:after="0"/>
              <w:rPr>
                <w:sz w:val="24"/>
                <w:szCs w:val="24"/>
                <w:color w:val="auto"/>
              </w:rPr>
            </w:pPr>
          </w:p>
        </w:tc>
        <w:tc>
          <w:tcPr>
            <w:tcW w:w="6100" w:type="dxa"/>
            <w:vAlign w:val="bottom"/>
            <w:gridSpan w:val="19"/>
          </w:tcPr>
          <w:p>
            <w:pPr>
              <w:jc w:val="center"/>
              <w:ind w:left="2850"/>
              <w:spacing w:after="0"/>
              <w:rPr>
                <w:sz w:val="20"/>
                <w:szCs w:val="20"/>
                <w:color w:val="auto"/>
              </w:rPr>
            </w:pPr>
            <w:r>
              <w:rPr>
                <w:rFonts w:ascii="Arial" w:cs="Arial" w:eastAsia="Arial" w:hAnsi="Arial"/>
                <w:sz w:val="18"/>
                <w:szCs w:val="18"/>
                <w:color w:val="auto"/>
                <w:w w:val="79"/>
              </w:rPr>
              <w:t>2</w:t>
            </w: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190"/>
        </w:trPr>
        <w:tc>
          <w:tcPr>
            <w:tcW w:w="4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Assets</w:t>
            </w:r>
          </w:p>
        </w:tc>
        <w:tc>
          <w:tcPr>
            <w:tcW w:w="752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4,508</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16,705</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26,439</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3,472</w:t>
            </w:r>
          </w:p>
        </w:tc>
      </w:tr>
      <w:tr>
        <w:trPr>
          <w:trHeight w:val="21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51,124</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3,366</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5,816</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56,260</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21,014</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7,780</w:t>
            </w:r>
          </w:p>
        </w:tc>
      </w:tr>
      <w:tr>
        <w:trPr>
          <w:trHeight w:val="249"/>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145,360</w:t>
            </w:r>
          </w:p>
        </w:tc>
      </w:tr>
      <w:tr>
        <w:trPr>
          <w:trHeight w:val="156"/>
        </w:trPr>
        <w:tc>
          <w:tcPr>
            <w:tcW w:w="8000" w:type="dxa"/>
            <w:vAlign w:val="bottom"/>
            <w:tcBorders>
              <w:top w:val="single" w:sz="8" w:color="CCEEFF"/>
            </w:tcBorders>
            <w:gridSpan w:val="3"/>
          </w:tcPr>
          <w:p>
            <w:pPr>
              <w:spacing w:after="0" w:line="15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3,811</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2,135</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6,447</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3,370</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7,486</w:t>
            </w:r>
          </w:p>
        </w:tc>
      </w:tr>
      <w:tr>
        <w:trPr>
          <w:trHeight w:val="210"/>
        </w:trPr>
        <w:tc>
          <w:tcPr>
            <w:tcW w:w="8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23,249</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41,083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43,013</w:t>
            </w: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5,282</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r>
      <w:tr>
        <w:trPr>
          <w:trHeight w:val="210"/>
        </w:trPr>
        <w:tc>
          <w:tcPr>
            <w:tcW w:w="8000" w:type="dxa"/>
            <w:vAlign w:val="bottom"/>
            <w:gridSpan w:val="3"/>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71,238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73,140</w:t>
            </w:r>
          </w:p>
        </w:tc>
      </w:tr>
      <w:tr>
        <w:trPr>
          <w:trHeight w:val="21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3"/>
              </w:rPr>
              <w:t>Common stock, par value $0.01 per share, 80,000,000 shares authorized: 42,190,043 shares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8000" w:type="dxa"/>
            <w:vAlign w:val="bottom"/>
            <w:gridSpan w:val="3"/>
          </w:tcPr>
          <w:p>
            <w:pPr>
              <w:ind w:left="340"/>
              <w:spacing w:after="0"/>
              <w:rPr>
                <w:sz w:val="20"/>
                <w:szCs w:val="20"/>
                <w:color w:val="auto"/>
              </w:rPr>
            </w:pPr>
            <w:r>
              <w:rPr>
                <w:rFonts w:ascii="Arial" w:cs="Arial" w:eastAsia="Arial" w:hAnsi="Arial"/>
                <w:sz w:val="18"/>
                <w:szCs w:val="18"/>
                <w:color w:val="auto"/>
                <w:w w:val="98"/>
              </w:rPr>
              <w:t>outstanding at March 31, 2023; 42,081,707 shares issued and outstanding at December 31, 2022</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16"/>
        </w:trPr>
        <w:tc>
          <w:tcPr>
            <w:tcW w:w="8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229,008</w:t>
            </w:r>
          </w:p>
        </w:tc>
      </w:tr>
      <w:tr>
        <w:trPr>
          <w:trHeight w:val="216"/>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(142,190)</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(15,052)</w:t>
            </w:r>
          </w:p>
        </w:tc>
      </w:tr>
      <w:tr>
        <w:trPr>
          <w:trHeight w:val="210"/>
        </w:trPr>
        <w:tc>
          <w:tcPr>
            <w:tcW w:w="8000" w:type="dxa"/>
            <w:vAlign w:val="bottom"/>
            <w:gridSpan w:val="3"/>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72,220</w:t>
            </w:r>
          </w:p>
        </w:tc>
      </w:tr>
      <w:tr>
        <w:trPr>
          <w:trHeight w:val="250"/>
        </w:trPr>
        <w:tc>
          <w:tcPr>
            <w:tcW w:w="8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145,360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566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9"/>
              </w:rPr>
              <w:t>HARVARD BIOSCIENCE, INC.</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66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60" w:type="dxa"/>
            <w:vAlign w:val="bottom"/>
            <w:gridSpan w:val="2"/>
          </w:tcPr>
          <w:p>
            <w:pPr>
              <w:jc w:val="center"/>
              <w:ind w:right="77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6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29,975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28,778</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11,629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12,601</w:t>
            </w:r>
          </w:p>
        </w:tc>
      </w:tr>
      <w:tr>
        <w:trPr>
          <w:trHeight w:val="21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18,346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16,177</w:t>
            </w: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6,687</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6,325</w:t>
            </w: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Research and development expenses</w:t>
            </w: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3,220</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1,466</w:t>
            </w:r>
          </w:p>
        </w:tc>
      </w:tr>
      <w:tr>
        <w:trPr>
          <w:trHeight w:val="216"/>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of litigation, net - Note 14</w:t>
            </w:r>
          </w:p>
        </w:tc>
        <w:tc>
          <w:tcPr>
            <w:tcW w:w="4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5,191</w:t>
            </w:r>
          </w:p>
        </w:tc>
      </w:tr>
      <w:tr>
        <w:trPr>
          <w:trHeight w:val="209"/>
        </w:trPr>
        <w:tc>
          <w:tcPr>
            <w:tcW w:w="3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16,597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22,889</w:t>
            </w:r>
          </w:p>
        </w:tc>
      </w:tr>
      <w:tr>
        <w:trPr>
          <w:trHeight w:val="210"/>
        </w:trPr>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r>
      <w:tr>
        <w:trPr>
          <w:trHeight w:val="209"/>
        </w:trPr>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Other income, net</w:t>
            </w:r>
          </w:p>
        </w:tc>
        <w:tc>
          <w:tcPr>
            <w:tcW w:w="47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09"/>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4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(7,018)</w:t>
            </w:r>
          </w:p>
        </w:tc>
      </w:tr>
      <w:tr>
        <w:trPr>
          <w:trHeight w:val="230"/>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10"/>
        </w:trPr>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-445135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-162560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10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5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Basic income (loss) per share</w:t>
            </w:r>
          </w:p>
        </w:tc>
        <w:tc>
          <w:tcPr>
            <w:tcW w:w="5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0"/>
        </w:trPr>
        <w:tc>
          <w:tcPr>
            <w:tcW w:w="2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82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Diluted income (loss) per share</w:t>
            </w:r>
          </w:p>
        </w:tc>
        <w:tc>
          <w:tcPr>
            <w:tcW w:w="58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0"/>
        </w:trPr>
        <w:tc>
          <w:tcPr>
            <w:tcW w:w="2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820" w:type="dxa"/>
            <w:vAlign w:val="bottom"/>
            <w:shd w:val="clear" w:color="auto" w:fill="CCEEFF"/>
          </w:tcPr>
          <w:p>
            <w:pPr>
              <w:spacing w:after="0"/>
              <w:rPr>
                <w:sz w:val="17"/>
                <w:szCs w:val="17"/>
                <w:color w:val="auto"/>
              </w:rPr>
            </w:pPr>
          </w:p>
        </w:tc>
        <w:tc>
          <w:tcPr>
            <w:tcW w:w="50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8"/>
              </w:rPr>
              <w:t>Weighted-average common shares:</w:t>
            </w:r>
          </w:p>
        </w:tc>
        <w:tc>
          <w:tcPr>
            <w:tcW w:w="5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42,119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41,219</w:t>
            </w:r>
          </w:p>
        </w:tc>
      </w:tr>
      <w:tr>
        <w:trPr>
          <w:trHeight w:val="197"/>
        </w:trPr>
        <w:tc>
          <w:tcPr>
            <w:tcW w:w="28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42,783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41,219</w:t>
            </w:r>
          </w:p>
        </w:tc>
      </w:tr>
      <w:tr>
        <w:trPr>
          <w:trHeight w:val="413"/>
        </w:trPr>
        <w:tc>
          <w:tcPr>
            <w:tcW w:w="2820" w:type="dxa"/>
            <w:vAlign w:val="bottom"/>
          </w:tcPr>
          <w:p>
            <w:pPr>
              <w:spacing w:after="0"/>
              <w:rPr>
                <w:sz w:val="24"/>
                <w:szCs w:val="24"/>
                <w:color w:val="auto"/>
              </w:rPr>
            </w:pPr>
          </w:p>
        </w:tc>
        <w:tc>
          <w:tcPr>
            <w:tcW w:w="58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2820" w:type="dxa"/>
            <w:vAlign w:val="bottom"/>
          </w:tcPr>
          <w:p>
            <w:pPr>
              <w:spacing w:after="0"/>
              <w:rPr>
                <w:sz w:val="24"/>
                <w:szCs w:val="24"/>
                <w:color w:val="auto"/>
              </w:rPr>
            </w:pPr>
          </w:p>
        </w:tc>
        <w:tc>
          <w:tcPr>
            <w:tcW w:w="5080" w:type="dxa"/>
            <w:vAlign w:val="bottom"/>
          </w:tcPr>
          <w:p>
            <w:pPr>
              <w:jc w:val="right"/>
              <w:ind w:right="215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28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518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99"/>
              </w:rPr>
              <w:t>HARVARD BIOSCIENCE, INC.</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gridSpan w:val="2"/>
          </w:tcPr>
          <w:p>
            <w:pPr>
              <w:jc w:val="center"/>
              <w:ind w:right="1490"/>
              <w:spacing w:after="0"/>
              <w:rPr>
                <w:sz w:val="20"/>
                <w:szCs w:val="20"/>
                <w:color w:val="auto"/>
              </w:rPr>
            </w:pPr>
            <w:r>
              <w:rPr>
                <w:rFonts w:ascii="Arial" w:cs="Arial" w:eastAsia="Arial" w:hAnsi="Arial"/>
                <w:sz w:val="18"/>
                <w:szCs w:val="18"/>
                <w:b w:val="1"/>
                <w:bCs w:val="1"/>
                <w:color w:val="auto"/>
                <w:w w:val="90"/>
              </w:rPr>
              <w:t>(Unaudited, 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6"/>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41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4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09"/>
        </w:trPr>
        <w:tc>
          <w:tcPr>
            <w:tcW w:w="38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51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(7,579)</w:t>
            </w:r>
          </w:p>
        </w:tc>
      </w:tr>
      <w:tr>
        <w:trPr>
          <w:trHeight w:val="20"/>
        </w:trPr>
        <w:tc>
          <w:tcPr>
            <w:tcW w:w="1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0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w w:val="99"/>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80" w:type="dxa"/>
            <w:vAlign w:val="bottom"/>
            <w:gridSpan w:val="11"/>
          </w:tcPr>
          <w:p>
            <w:pPr>
              <w:jc w:val="center"/>
              <w:ind w:right="1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40" w:type="dxa"/>
            <w:vAlign w:val="bottom"/>
            <w:gridSpan w:val="6"/>
          </w:tcPr>
          <w:p>
            <w:pPr>
              <w:jc w:val="center"/>
              <w:ind w:right="390"/>
              <w:spacing w:after="0"/>
              <w:rPr>
                <w:sz w:val="20"/>
                <w:szCs w:val="20"/>
                <w:color w:val="auto"/>
              </w:rPr>
            </w:pPr>
            <w:r>
              <w:rPr>
                <w:rFonts w:ascii="Arial" w:cs="Arial" w:eastAsia="Arial" w:hAnsi="Arial"/>
                <w:sz w:val="18"/>
                <w:szCs w:val="18"/>
                <w:b w:val="1"/>
                <w:bCs w:val="1"/>
                <w:color w:val="auto"/>
                <w:w w:val="90"/>
              </w:rPr>
              <w:t>(Unaudited,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42,082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229,008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72,220</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2023</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42,190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230,108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(141,568)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(14,655)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74,340</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41,143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225,650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83,401</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Stock-based compensation expense</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(6,880)</w:t>
            </w:r>
          </w:p>
        </w:tc>
      </w:tr>
      <w:tr>
        <w:trPr>
          <w:trHeight w:val="216"/>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2022</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41,241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226,203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(139,554)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(10,726)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76,375</w:t>
            </w:r>
          </w:p>
        </w:tc>
      </w:tr>
      <w:tr>
        <w:trPr>
          <w:trHeight w:val="20"/>
        </w:trPr>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(6,880)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 and other</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product line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product line</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 on bank line of credit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Repayment on bank line of credit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term debt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96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(2,893)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7,821</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3,789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5,433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Cash paid for income taxes, net of refunds</w:t>
            </w:r>
          </w:p>
        </w:tc>
        <w:tc>
          <w:tcPr>
            <w:tcW w:w="960" w:type="dxa"/>
            <w:vAlign w:val="bottom"/>
            <w:tcBorders>
              <w:bottom w:val="single" w:sz="8" w:color="auto"/>
            </w:tcBorders>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and Risks and Uncertainties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Basis of Presentation and Summary of Significant Accounting Policies</w:t>
      </w:r>
    </w:p>
    <w:p>
      <w:pPr>
        <w:spacing w:after="0" w:line="225"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7"/>
          <w:szCs w:val="17"/>
          <w:color w:val="auto"/>
        </w:rPr>
        <w:t>The unaudited consolidated financial statements of Harvard Bioscience, Inc. and its wholly-owned subsidiaries (collectively, the “Company”) as of March 31, 2023 and for the three months ended March 31, 2023 and 2022,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2022,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2022.</w:t>
      </w:r>
    </w:p>
    <w:p>
      <w:pPr>
        <w:spacing w:after="0" w:line="178"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the opinion of management, all adjustments, which include normal recurring adjustments necessary to present a fair statement of financial position as of March 31, 2023, results of operations and comprehensive income (loss) and cash flows for the three months ended March 31, 2023 and 2022, as applicable, have been made. The results of operations for the three months ended March 31, 2023, are not necessarily indicative of the operating results for the full fiscal year or any future periods.</w:t>
      </w:r>
    </w:p>
    <w:p>
      <w:pPr>
        <w:spacing w:after="0" w:line="187"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2022. There have been no material changes in the Company’s significant accounting policies during the three months ended March 31, 2023.</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Additionally, the global economy has recently experienced increasing economic uncertainty, including inflationary pressure, rising interest rates, and significant fluctuations in exchange rates. The COVID-19 pandemic has also caused significant economic disruption, including shutdowns that affected various regions in China throughout 2022. These conditions have negatively impacted the Company’s past business, results of operations, and cash flow.</w:t>
      </w:r>
    </w:p>
    <w:p>
      <w:pPr>
        <w:spacing w:after="0" w:line="19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The Company believes that these global economic uncertainties and supply chain trends will continue through 2023. The COVID-19 pandemic continues to evolve, and the future impact of the pandemic is difficult to predict. If these factors are prolonged or are more severe than anticipated, the Company’s business, results of operations, and cash flow would likely be materially impacted.</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2017-04, Intangibles— Goodwill and Other (Topic 350): Simplifying the Test for Goodwill Impairment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will be effective for the Company for fiscal years beginning after December 15, 2022. The Company adopted ASU 2016-13 effective January 1, 2023 with no impact to the consolidated financial statements. The Company will perform future goodwill impairment test according to ASU 2017-04.</w:t>
      </w:r>
    </w:p>
    <w:p>
      <w:pPr>
        <w:spacing w:after="0" w:line="192" w:lineRule="exact"/>
        <w:rPr>
          <w:sz w:val="20"/>
          <w:szCs w:val="20"/>
          <w:color w:val="auto"/>
        </w:rPr>
      </w:pPr>
    </w:p>
    <w:p>
      <w:pPr>
        <w:jc w:val="both"/>
        <w:ind w:firstLine="396"/>
        <w:spacing w:after="0" w:line="293" w:lineRule="auto"/>
        <w:rPr>
          <w:sz w:val="20"/>
          <w:szCs w:val="20"/>
          <w:color w:val="auto"/>
        </w:rPr>
      </w:pPr>
      <w:r>
        <w:rPr>
          <w:rFonts w:ascii="Arial" w:cs="Arial" w:eastAsia="Arial" w:hAnsi="Arial"/>
          <w:sz w:val="16"/>
          <w:szCs w:val="16"/>
          <w:color w:val="auto"/>
        </w:rPr>
        <w:t>In September 2016, the FASB issued ASU No. 2016-13, Financial Instruments—Credit Losses (Topic 326): Measurement of Credit Losses on Financial Instruments (‘ASU 2016-13’),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will be effective for the Company for fiscal years beginning after December 15, 2022, with early adoption permitted. The Company adopted ASU 2016-13 effective January 1, 2023 which resulted in an immaterial impact to the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 in the carrying amount of goodwill for the three months ended March 31, 2023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December 31, 2022</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Effect of change in currency translation</w:t>
            </w:r>
          </w:p>
        </w:tc>
        <w:tc>
          <w:tcPr>
            <w:tcW w:w="1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at March 31, 2023</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56,618</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Identifiable intangible assets at March 31, 2023 and December 31, 2022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w w:val="98"/>
              </w:rPr>
              <w:t>March 31, 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w w:val="91"/>
              </w:rPr>
              <w:t>December 31, 2022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92"/>
        </w:trPr>
        <w:tc>
          <w:tcPr>
            <w:tcW w:w="2720" w:type="dxa"/>
            <w:vAlign w:val="bottom"/>
          </w:tcPr>
          <w:p>
            <w:pPr>
              <w:spacing w:after="0"/>
              <w:rPr>
                <w:sz w:val="20"/>
                <w:szCs w:val="20"/>
                <w:color w:val="auto"/>
              </w:rPr>
            </w:pPr>
            <w:r>
              <w:rPr>
                <w:rFonts w:ascii="Arial" w:cs="Arial" w:eastAsia="Arial" w:hAnsi="Arial"/>
                <w:sz w:val="16"/>
                <w:szCs w:val="16"/>
                <w:color w:val="auto"/>
              </w:rPr>
              <w:t>(in thousands)</w:t>
            </w:r>
          </w:p>
        </w:tc>
        <w:tc>
          <w:tcPr>
            <w:tcW w:w="1140" w:type="dxa"/>
            <w:vAlign w:val="bottom"/>
          </w:tcPr>
          <w:p>
            <w:pPr>
              <w:jc w:val="right"/>
              <w:ind w:right="279"/>
              <w:spacing w:after="0"/>
              <w:rPr>
                <w:sz w:val="20"/>
                <w:szCs w:val="20"/>
                <w:color w:val="auto"/>
              </w:rPr>
            </w:pPr>
            <w:r>
              <w:rPr>
                <w:rFonts w:ascii="Arial" w:cs="Arial" w:eastAsia="Arial" w:hAnsi="Arial"/>
                <w:sz w:val="16"/>
                <w:szCs w:val="16"/>
                <w:color w:val="auto"/>
              </w:rPr>
              <w:t>Average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w w:val="99"/>
              </w:rPr>
              <w:t>Accumulated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2720" w:type="dxa"/>
            <w:vAlign w:val="bottom"/>
          </w:tcPr>
          <w:p>
            <w:pPr>
              <w:spacing w:after="0"/>
              <w:rPr>
                <w:sz w:val="20"/>
                <w:szCs w:val="20"/>
                <w:color w:val="auto"/>
              </w:rPr>
            </w:pPr>
            <w:r>
              <w:rPr>
                <w:rFonts w:ascii="Arial" w:cs="Arial" w:eastAsia="Arial" w:hAnsi="Arial"/>
                <w:sz w:val="16"/>
                <w:szCs w:val="16"/>
                <w:color w:val="auto"/>
              </w:rPr>
              <w:t>Amortizable intangible assets:</w:t>
            </w: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Life*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Gross</w:t>
            </w:r>
          </w:p>
        </w:tc>
        <w:tc>
          <w:tcPr>
            <w:tcW w:w="120" w:type="dxa"/>
            <w:vAlign w:val="bottom"/>
          </w:tcPr>
          <w:p>
            <w:pPr>
              <w:spacing w:after="0"/>
              <w:rPr>
                <w:sz w:val="18"/>
                <w:szCs w:val="18"/>
                <w:color w:val="auto"/>
              </w:rPr>
            </w:pP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6"/>
                <w:szCs w:val="16"/>
                <w:color w:val="auto"/>
                <w:w w:val="96"/>
              </w:rPr>
              <w:t>Amortization</w:t>
            </w:r>
          </w:p>
        </w:tc>
        <w:tc>
          <w:tcPr>
            <w:tcW w:w="22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color w:val="auto"/>
              </w:rPr>
              <w:t>Net</w:t>
            </w:r>
          </w:p>
        </w:tc>
      </w:tr>
      <w:tr>
        <w:trPr>
          <w:trHeight w:val="186"/>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Distribution agreements/customer</w:t>
            </w: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2"/>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relationships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16,226</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w:t>
            </w:r>
          </w:p>
        </w:tc>
        <w:tc>
          <w:tcPr>
            <w:tcW w:w="46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7,397</w:t>
            </w: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Existing technology</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37,365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37,549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11,067</w:t>
            </w:r>
          </w:p>
        </w:tc>
      </w:tr>
      <w:tr>
        <w:trPr>
          <w:trHeight w:val="20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Trade names and patents</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7,523</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2,326</w:t>
            </w: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Total amortizable intangible assets</w:t>
            </w:r>
          </w:p>
        </w:tc>
        <w:tc>
          <w:tcPr>
            <w:tcW w:w="1140" w:type="dxa"/>
            <w:vAlign w:val="bottom"/>
          </w:tcPr>
          <w:p>
            <w:pPr>
              <w:spacing w:after="0"/>
              <w:rPr>
                <w:sz w:val="17"/>
                <w:szCs w:val="17"/>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61,149</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(41,710)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19,439</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61,196</w:t>
            </w: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(40,406)</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20,790</w:t>
            </w: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Indefinite-lived intangible assets:</w:t>
            </w:r>
          </w:p>
        </w:tc>
        <w:tc>
          <w:tcPr>
            <w:tcW w:w="1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r>
      <w:tr>
        <w:trPr>
          <w:trHeight w:val="196"/>
        </w:trPr>
        <w:tc>
          <w:tcPr>
            <w:tcW w:w="2720" w:type="dxa"/>
            <w:vAlign w:val="bottom"/>
          </w:tcPr>
          <w:p>
            <w:pPr>
              <w:spacing w:after="0"/>
              <w:rPr>
                <w:sz w:val="20"/>
                <w:szCs w:val="20"/>
                <w:color w:val="auto"/>
              </w:rPr>
            </w:pPr>
            <w:r>
              <w:rPr>
                <w:rFonts w:ascii="Arial" w:cs="Arial" w:eastAsia="Arial" w:hAnsi="Arial"/>
                <w:sz w:val="16"/>
                <w:szCs w:val="16"/>
                <w:color w:val="auto"/>
              </w:rPr>
              <w:t>Total intangible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19,641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21,014</w:t>
            </w:r>
          </w:p>
        </w:tc>
      </w:tr>
      <w:tr>
        <w:trPr>
          <w:trHeight w:val="20"/>
        </w:trPr>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life in years as of March 31, 2023</w:t>
      </w:r>
    </w:p>
    <w:p>
      <w:pPr>
        <w:spacing w:after="0" w:line="225" w:lineRule="exact"/>
        <w:rPr>
          <w:sz w:val="20"/>
          <w:szCs w:val="20"/>
          <w:color w:val="auto"/>
        </w:rPr>
      </w:pPr>
    </w:p>
    <w:p>
      <w:pPr>
        <w:jc w:val="both"/>
        <w:ind w:right="20" w:firstLine="396"/>
        <w:spacing w:after="0" w:line="342" w:lineRule="auto"/>
        <w:rPr>
          <w:sz w:val="20"/>
          <w:szCs w:val="20"/>
          <w:color w:val="auto"/>
        </w:rPr>
      </w:pPr>
      <w:r>
        <w:rPr>
          <w:rFonts w:ascii="Arial" w:cs="Arial" w:eastAsia="Arial" w:hAnsi="Arial"/>
          <w:sz w:val="16"/>
          <w:szCs w:val="16"/>
          <w:color w:val="auto"/>
        </w:rPr>
        <w:t>Intangible asset amortization expense was $1.4 million and $1.5 million for the three months ended March 31, 2023 and 2022, respectively. Estimated amortization expense of existing amortizable intangible assets for each of the five succeeding years and thereafter as of March 31, 2023,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 thousands)</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2023 (remainder of the year)</w:t>
            </w:r>
          </w:p>
        </w:tc>
        <w:tc>
          <w:tcPr>
            <w:tcW w:w="2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4,169</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2025</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2027</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16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details of selected balance sheet items as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Arial" w:cs="Arial" w:eastAsia="Arial" w:hAnsi="Arial"/>
                <w:sz w:val="18"/>
                <w:szCs w:val="18"/>
                <w:color w:val="auto"/>
              </w:rPr>
              <w:t>(in thousands)</w:t>
            </w: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Work in process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3,776</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26,861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26,439</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80" w:type="dxa"/>
            <w:vAlign w:val="bottom"/>
            <w:vMerge w:val="restart"/>
          </w:tcPr>
          <w:p>
            <w:pPr>
              <w:jc w:val="right"/>
              <w:ind w:right="11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line="20" w:lineRule="exact"/>
              <w:rPr>
                <w:sz w:val="1"/>
                <w:szCs w:val="1"/>
                <w:color w:val="auto"/>
              </w:rPr>
            </w:pPr>
          </w:p>
        </w:tc>
      </w:tr>
      <w:tr>
        <w:trPr>
          <w:trHeight w:val="461"/>
        </w:trPr>
        <w:tc>
          <w:tcPr>
            <w:tcW w:w="3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Customer credits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connection with the 2014 acquisitions of Multi Channel Systems MCS GmbH (“MCS”), the Company entered into a facility lease agreement with the former principal owner of MCS who became an employee of the Company at the time of the acquisition and subsequently retired in 2021. The MCS agreement expires on December 31, 2024. Pursuant to this lease agreement, the Company made rent payments of approximately $0.1 million for each of the three months ended March 31, 2023 and 2022.</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The Company has noncancelable operating leases for offices, manufacturing facilities, warehouse space, automobiles and equipment expiring at various dates through 2030.</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lease expense for the three months ended March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lease cost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balance sheet information related to the Company’s operating leases are as follows: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11" w:lineRule="exact"/>
        <w:rPr>
          <w:sz w:val="20"/>
          <w:szCs w:val="20"/>
          <w:color w:val="auto"/>
        </w:rPr>
      </w:pPr>
    </w:p>
    <w:p>
      <w:pPr>
        <w:ind w:right="1800"/>
        <w:spacing w:after="0" w:line="316" w:lineRule="auto"/>
        <w:rPr>
          <w:sz w:val="20"/>
          <w:szCs w:val="20"/>
          <w:color w:val="auto"/>
        </w:rPr>
      </w:pPr>
      <w:r>
        <w:rPr>
          <w:rFonts w:ascii="Arial" w:cs="Arial" w:eastAsia="Arial" w:hAnsi="Arial"/>
          <w:sz w:val="16"/>
          <w:szCs w:val="16"/>
          <w:color w:val="auto"/>
        </w:rPr>
        <w:t>Current portion, operating lease liabilities Operating lease liabilities, long-term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lease term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24"/>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5,505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5,816</w:t>
            </w:r>
          </w:p>
        </w:tc>
      </w:tr>
      <w:tr>
        <w:trPr>
          <w:trHeight w:val="403"/>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2,130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2,135</w:t>
            </w:r>
          </w:p>
        </w:tc>
      </w:tr>
      <w:tr>
        <w:trPr>
          <w:trHeight w:val="230"/>
        </w:trPr>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4,938</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5,282</w:t>
            </w:r>
          </w:p>
        </w:tc>
      </w:tr>
      <w:tr>
        <w:trPr>
          <w:trHeight w:val="210"/>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7,068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7,417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98"/>
        </w:trPr>
        <w:tc>
          <w:tcPr>
            <w:tcW w:w="20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30"/>
        </w:trPr>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-1130935</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-856615</wp:posOffset>
            </wp:positionV>
            <wp:extent cx="570039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-573405</wp:posOffset>
            </wp:positionV>
            <wp:extent cx="570039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-273685</wp:posOffset>
            </wp:positionV>
            <wp:extent cx="570039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10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Future minimum lease payments for operating leases, with initial terms in excess of one year at March 31, 2023,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thousands)</w:t>
            </w: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2023 (remainder of the year)</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r>
      <w:tr>
        <w:trPr>
          <w:trHeight w:val="249"/>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7,068</w:t>
            </w: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March 31, 2023 and December 31, 2022, the Company’s borrowings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4100"/>
        <w:spacing w:after="0"/>
        <w:rPr>
          <w:sz w:val="20"/>
          <w:szCs w:val="20"/>
          <w:color w:val="auto"/>
        </w:rPr>
      </w:pPr>
      <w:r>
        <w:rPr>
          <w:rFonts w:ascii="Arial" w:cs="Arial" w:eastAsia="Arial" w:hAnsi="Arial"/>
          <w:sz w:val="16"/>
          <w:szCs w:val="16"/>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6" w:lineRule="exact"/>
        <w:rPr>
          <w:sz w:val="20"/>
          <w:szCs w:val="20"/>
          <w:color w:val="auto"/>
        </w:rPr>
      </w:pPr>
    </w:p>
    <w:p>
      <w:pPr>
        <w:jc w:val="center"/>
        <w:ind w:right="3960"/>
        <w:spacing w:after="0"/>
        <w:rPr>
          <w:sz w:val="20"/>
          <w:szCs w:val="20"/>
          <w:color w:val="auto"/>
        </w:rPr>
      </w:pPr>
      <w:r>
        <w:rPr>
          <w:rFonts w:ascii="Arial" w:cs="Arial" w:eastAsia="Arial" w:hAnsi="Arial"/>
          <w:sz w:val="16"/>
          <w:szCs w:val="16"/>
          <w:color w:val="auto"/>
        </w:rPr>
        <w:t>Long-term debt:</w:t>
      </w:r>
    </w:p>
    <w:p>
      <w:pPr>
        <w:spacing w:after="0" w:line="32" w:lineRule="exact"/>
        <w:rPr>
          <w:sz w:val="20"/>
          <w:szCs w:val="20"/>
          <w:color w:val="auto"/>
        </w:rPr>
      </w:pPr>
    </w:p>
    <w:p>
      <w:pPr>
        <w:jc w:val="center"/>
        <w:ind w:right="408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Revolving line</w:t>
      </w:r>
    </w:p>
    <w:p>
      <w:pPr>
        <w:spacing w:after="0" w:line="9" w:lineRule="exact"/>
        <w:rPr>
          <w:sz w:val="20"/>
          <w:szCs w:val="20"/>
          <w:color w:val="auto"/>
        </w:rPr>
      </w:pPr>
    </w:p>
    <w:p>
      <w:pPr>
        <w:ind w:right="1880" w:firstLine="162"/>
        <w:spacing w:after="0" w:line="258" w:lineRule="auto"/>
        <w:rPr>
          <w:sz w:val="20"/>
          <w:szCs w:val="20"/>
          <w:color w:val="auto"/>
        </w:rPr>
      </w:pPr>
      <w:r>
        <w:rPr>
          <w:rFonts w:ascii="Arial" w:cs="Arial" w:eastAsia="Arial" w:hAnsi="Arial"/>
          <w:sz w:val="18"/>
          <w:szCs w:val="18"/>
          <w:color w:val="auto"/>
        </w:rPr>
        <w:t>Less: unamortized deferred financing costs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7003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80" w:right="1700"/>
        <w:spacing w:after="0" w:line="307" w:lineRule="auto"/>
        <w:rPr>
          <w:sz w:val="20"/>
          <w:szCs w:val="20"/>
          <w:color w:val="auto"/>
        </w:rPr>
      </w:pPr>
      <w:r>
        <w:rPr>
          <w:rFonts w:ascii="Arial" w:cs="Arial" w:eastAsia="Arial" w:hAnsi="Arial"/>
          <w:sz w:val="16"/>
          <w:szCs w:val="16"/>
          <w:color w:val="auto"/>
        </w:rPr>
        <w:t>Less: current portion of long-term debt Current unamortized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70039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411"/>
        </w:trPr>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34,814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12,850</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19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44,053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46,824</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(4,091)</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43,013</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40" w:space="720"/>
            <w:col w:w="5380"/>
          </w:cols>
          <w:pgMar w:left="320" w:top="125" w:right="339" w:bottom="1440" w:gutter="0" w:footer="0" w:header="0"/>
          <w:type w:val="continuous"/>
        </w:sectPr>
      </w:pPr>
    </w:p>
    <w:p>
      <w:pPr>
        <w:spacing w:after="0" w:line="2" w:lineRule="exact"/>
        <w:rPr>
          <w:sz w:val="20"/>
          <w:szCs w:val="20"/>
          <w:color w:val="auto"/>
        </w:rPr>
      </w:pPr>
    </w:p>
    <w:p>
      <w:pPr>
        <w:jc w:val="both"/>
        <w:ind w:firstLine="396"/>
        <w:spacing w:after="0" w:line="269" w:lineRule="auto"/>
        <w:rPr>
          <w:sz w:val="20"/>
          <w:szCs w:val="20"/>
          <w:color w:val="auto"/>
        </w:rPr>
      </w:pPr>
      <w:r>
        <w:rPr>
          <w:rFonts w:ascii="Arial" w:cs="Arial" w:eastAsia="Arial" w:hAnsi="Arial"/>
          <w:sz w:val="17"/>
          <w:szCs w:val="17"/>
          <w:color w:val="auto"/>
        </w:rPr>
        <w:t>On December 22, 2020, the Company entered into a Credit Agreement (the “Credit Agreement”) with Citizens Bank, N.A., Wells Fargo Bank, National Association, and Silicon Valley Bank (together, the “Lenders”). All commitments and obligations under the Credit Agreement previously held by Silicon Valley Bank have now been assumed by Silicon Valley Bridge Bank, N. A. The Credit Agreement provides for a term loan of $40.0 million and a $25.0 million senior revolving credit facility (including a $10.0 million sub-facility for the issuance of letters of credit and a $10.0 million swingline loan sub 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$1.4 million are amortized over the contractual term to maturity date on a straight-line basis, which approximates the effective interest method. Available and unused borrowing capacity under the revolving line of credit was $10.5 million as of March 31, 2023 based on the Credit Agreement, as amended, pursuant to the April 2022 Amendment and November 2022 Amendment (both described below). Total revolver borrowing capacity is limited by the consolidated net leverage ratio as defined under the amended Credit Agreement.</w:t>
      </w:r>
    </w:p>
    <w:p>
      <w:pPr>
        <w:spacing w:after="0" w:line="179"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Borrowings under the amended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as amended (a “SOFR Loan”), or (ii) an alternative base rate plus an applicable interest rate margin, each as determined as provided in the Credit Agreement (an “ABR Loan”). SOFR interest under the Credit Agreement is subject to applicable market rates and a floor of 0.50%. The alternative base rate is based on the Citizens Bank prime rate or the federal funds effective rate of the Federal Reserve Bank of New York and is subject to a floor of 1.0%. The applicable interest rate margin varies from 2.0% per annum to 3.25% per annum for SOFR Loans, and from 1.5% per annum to 3.0% per annum for ABR Loans, in each case depending on the Company’s consolidated leverage ratio and is determined in accordance with a pricing grid set forth in the Credit Agreement. Interest on SOFR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SOFR Loan breakage and redeployment costs in certain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effective interest rate on the Company borrowings for the three months ended March 31, 2023 and 2022, was 7.9 % and 3.1%, respectively, and the weighted average interest rate as of March 31, 2023, net of the effect of the Company’s interest rate swaps, was 8.0%. The carrying value of the debt approximates fair value because the interest rate under the obligation approximates market rates of interest available to the Company for similar instruments.</w:t>
      </w:r>
    </w:p>
    <w:p>
      <w:pPr>
        <w:spacing w:after="0" w:line="187"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7"/>
          <w:szCs w:val="17"/>
          <w:color w:val="auto"/>
        </w:rPr>
        <w:t>The term loans amortize in quarterly installments of $0.75 million per quarter for each of the next three quarters and $1.0 million per quarter during the next seven quarters thereafter, with a balloon payment at maturity. Furthermore, within ninety days after the end of the Company’s fiscal year,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As of December 31, 2022, the current portion of long-term debt included an excess cash flow sweep of $1.1 million which was paid on March 31, 2023. Amounts outstanding under the revolving credit facility can be repaid at any time but are due in full at maturity.</w:t>
      </w:r>
    </w:p>
    <w:p>
      <w:pPr>
        <w:spacing w:after="0" w:line="177"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Credit Agreement, as amended,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as amended, also includes customary events of default.</w:t>
      </w:r>
    </w:p>
    <w:p>
      <w:pPr>
        <w:spacing w:after="0" w:line="18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On April 28, 2022, the Company entered into an amendment to the Credit Agreement (the “April 2022 Amendment”) pursuant to which the Lenders and administrative agent, among other things, modified the financial covenant relating to the consolidated net leverage ratio, and consented to the Biostage Settlement (as defined below), including without limitation the receipt by the Company of convertible preferred stock in Biostage Inc. (“Biostage”) and the securities issuable upon conversion thereof, as partial payment for Biostage’s indemnification obligations in connection with the Biostage Settlement. See Note 14 for information regarding the Biostage Settlement. In consideration for the April 2022 Amendment, the Company paid fees of $0.2 million to the Lenders and administrative agent.</w:t>
      </w:r>
    </w:p>
    <w:p>
      <w:pPr>
        <w:spacing w:after="0" w:line="192"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On November 8, 2022, the Company entered into a subsequent amendment to the Credit Agreement (the “November 2022 Amendment”) pursuant to which, among other things the Lenders and administrative agent modified the financial covenant relating to the consolidated net leverage ratio, and the definition of Consolidated EBITDA used in the calculation of certain financial covenants, including to exclude non-cash inventory charges related to the Company’s decision to discontinue non-strategic products. In consideration for the November 2022 Amendment, the Company paid fees of $0.2 million to the Lenders and administrative agent.</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was in compliance with the covenants of the Credit Agreement, as amended, as of March 31, 2023.</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Company monitors interest rate risk attributable to both its outstanding and forecasted debt obligations by the use of cash flow sensitivity analysis which estimates the expected impact of changes in interest rates on the Company’s future cash. The Company uses interest-rate-related derivative instruments to manage its exposure related to changes in interest rates on its variable-rate debt instruments. The Company does not enter into derivative instruments for any purpose other than cash flow hedging.</w:t>
      </w:r>
    </w:p>
    <w:p>
      <w:pPr>
        <w:spacing w:after="0" w:line="187" w:lineRule="exact"/>
        <w:rPr>
          <w:sz w:val="20"/>
          <w:szCs w:val="20"/>
          <w:color w:val="auto"/>
        </w:rPr>
      </w:pPr>
    </w:p>
    <w:p>
      <w:pPr>
        <w:jc w:val="both"/>
        <w:ind w:firstLine="396"/>
        <w:spacing w:after="0" w:line="296" w:lineRule="auto"/>
        <w:rPr>
          <w:sz w:val="20"/>
          <w:szCs w:val="20"/>
          <w:color w:val="auto"/>
        </w:rPr>
      </w:pPr>
      <w:r>
        <w:rPr>
          <w:rFonts w:ascii="Arial" w:cs="Arial" w:eastAsia="Arial" w:hAnsi="Arial"/>
          <w:sz w:val="16"/>
          <w:szCs w:val="16"/>
          <w:color w:val="auto"/>
        </w:rPr>
        <w:t>By using derivative financial instruments to hedge exposure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161"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 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7"/>
          <w:szCs w:val="17"/>
          <w:color w:val="auto"/>
        </w:rPr>
        <w:t>On February 28, 2023, the Company entered into an interest rate swap contract to improve the predictability of cash flows from interest payments related to its variable, SOFR based debt. The swap contract has a notional amount of $31.8 million as of March 31, 2023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7 Long-Term Debt. The interest rate swap is considered an effective cash flow hedge, and as a result, the net gains or losses on such instrument are reported as a component of other comprehensive income (loss) in the consolidated financial statements and are reclassified as net income when the underlying hedged interest impacts earnings. A qualitative and quantitative assessment over the hedge effectiveness is performed on a quarterly basis unless facts and circumstances indicate that the hedge may no longer be highly effective.</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notional amount and fair value of the Company’s derivative instruments as of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5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March 31, 2023</w:t>
            </w:r>
          </w:p>
        </w:tc>
      </w:tr>
      <w:tr>
        <w:trPr>
          <w:trHeight w:val="210"/>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Derivatives instruments</w:t>
            </w:r>
          </w:p>
        </w:tc>
        <w:tc>
          <w:tcPr>
            <w:tcW w:w="52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Balance sheet classification</w:t>
            </w: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Notional Amount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Fair Value (a)</w:t>
            </w: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long term liabilities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31,841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See Note 9 for the fair value measurements related to these financial instruments.</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The portion of the interest rate swap that was reclassified to interest expense from accumulated other comprehensive loss for the three months ended March 31, 2023 was not significant.</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6"/>
              </w:rPr>
              <w:t>Fair Value as of March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Assets (Liabilities) </w:t>
            </w:r>
            <w:r>
              <w:rPr>
                <w:rFonts w:ascii="Arial" w:cs="Arial" w:eastAsia="Arial" w:hAnsi="Arial"/>
                <w:sz w:val="18"/>
                <w:szCs w:val="18"/>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 common stock</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206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r>
    </w:tbl>
    <w:p>
      <w:pPr>
        <w:spacing w:after="0" w:line="187"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when applicable, investments in common stock and derivative instruments used to hedge the Company’s interest rate risks. The fair value of the Company’s investment in common stock was based on the closing price per the OTCQB Marketplace at the reporting date. The fair value of the Company’s interest rate swap agreements was based on SOFR yield curves at the reporting date.</w:t>
      </w:r>
    </w:p>
    <w:p>
      <w:pPr>
        <w:spacing w:after="0" w:line="200" w:lineRule="exact"/>
        <w:rPr>
          <w:sz w:val="20"/>
          <w:szCs w:val="20"/>
          <w:color w:val="auto"/>
        </w:rPr>
      </w:pPr>
    </w:p>
    <w:p>
      <w:pPr>
        <w:spacing w:after="0" w:line="226" w:lineRule="exact"/>
        <w:rPr>
          <w:sz w:val="20"/>
          <w:szCs w:val="20"/>
          <w:color w:val="auto"/>
        </w:rPr>
      </w:pPr>
    </w:p>
    <w:p>
      <w:pPr>
        <w:ind w:left="400" w:right="7380" w:hanging="392"/>
        <w:spacing w:after="0" w:line="566" w:lineRule="auto"/>
        <w:tabs>
          <w:tab w:leader="none" w:pos="32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Stock and Stock-Based Compensation </w:t>
      </w:r>
      <w:r>
        <w:rPr>
          <w:rFonts w:ascii="Arial" w:cs="Arial" w:eastAsia="Arial" w:hAnsi="Arial"/>
          <w:sz w:val="16"/>
          <w:szCs w:val="16"/>
          <w:i w:val="1"/>
          <w:iCs w:val="1"/>
          <w:color w:val="auto"/>
        </w:rPr>
        <w:t>Stock-Based Payment Awards</w:t>
      </w:r>
    </w:p>
    <w:p>
      <w:pPr>
        <w:jc w:val="both"/>
        <w:ind w:firstLine="396"/>
        <w:spacing w:after="0" w:line="263" w:lineRule="auto"/>
        <w:rPr>
          <w:sz w:val="20"/>
          <w:szCs w:val="20"/>
          <w:color w:val="auto"/>
        </w:rPr>
      </w:pPr>
      <w:r>
        <w:rPr>
          <w:rFonts w:ascii="Arial" w:cs="Arial" w:eastAsia="Arial" w:hAnsi="Arial"/>
          <w:sz w:val="18"/>
          <w:szCs w:val="18"/>
          <w:color w:val="auto"/>
        </w:rPr>
        <w:t>Stock-based awards consist of stock options, time-based restricted stock units (“RSUs”), performance-based RSUs (“PRSUs”) and shares issued under the Company’s employee stock purchase plan (the “ESPP”). Activity under the Company’s equity incentive plans for the three months ended March 31, 2023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Grant Date</w:t>
            </w:r>
          </w:p>
        </w:tc>
        <w:tc>
          <w:tcPr>
            <w:tcW w:w="10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PRSUs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Outstanding</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1,238,776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1,093,801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646,235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1,177,391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558,958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Vested (RSUs)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(125,036)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Cancelled/Forfeited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1,169,957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2,143,034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1,205,193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Stock-based compensation expense related to stock options, RSUs, PRSUs, and the ESPP for the three months ended March 31, 2023 and 2022 was allocated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95"/>
        </w:trPr>
        <w:tc>
          <w:tcPr>
            <w:tcW w:w="20" w:type="dxa"/>
            <w:vAlign w:val="bottom"/>
          </w:tcPr>
          <w:p>
            <w:pPr>
              <w:spacing w:after="0"/>
              <w:rPr>
                <w:sz w:val="16"/>
                <w:szCs w:val="16"/>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95" w:lineRule="exact"/>
              <w:rPr>
                <w:sz w:val="20"/>
                <w:szCs w:val="20"/>
                <w:color w:val="auto"/>
              </w:rPr>
            </w:pPr>
            <w:r>
              <w:rPr>
                <w:rFonts w:ascii="Arial" w:cs="Arial" w:eastAsia="Arial" w:hAnsi="Arial"/>
                <w:sz w:val="18"/>
                <w:szCs w:val="18"/>
                <w:color w:val="auto"/>
              </w:rPr>
              <w:t>69</w:t>
            </w:r>
          </w:p>
        </w:tc>
        <w:tc>
          <w:tcPr>
            <w:tcW w:w="8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-719455</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-445135</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-162560</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125" w:right="339" w:bottom="1440" w:gutter="0" w:footer="0" w:header="0"/>
          <w:type w:val="continuous"/>
        </w:sectPr>
      </w:pPr>
    </w:p>
    <w:p>
      <w:pPr>
        <w:spacing w:after="0" w:line="2" w:lineRule="exact"/>
        <w:rPr>
          <w:sz w:val="20"/>
          <w:szCs w:val="20"/>
          <w:color w:val="auto"/>
        </w:rPr>
      </w:pPr>
    </w:p>
    <w:p>
      <w:pPr>
        <w:jc w:val="both"/>
        <w:ind w:right="20" w:firstLine="396"/>
        <w:spacing w:after="0" w:line="308" w:lineRule="auto"/>
        <w:rPr>
          <w:sz w:val="20"/>
          <w:szCs w:val="20"/>
          <w:color w:val="auto"/>
        </w:rPr>
      </w:pPr>
      <w:r>
        <w:rPr>
          <w:rFonts w:ascii="Arial" w:cs="Arial" w:eastAsia="Arial" w:hAnsi="Arial"/>
          <w:sz w:val="17"/>
          <w:szCs w:val="17"/>
          <w:color w:val="auto"/>
        </w:rPr>
        <w:t>As of March 31, 2023, the total compensation costs related to unvested awards not yet recognized is $8.4 million and the weighted average period over which it is expected to be recognized is approximately 2.1 years. The Company did not capitalize any stock-based compensation.</w:t>
      </w:r>
    </w:p>
    <w:p>
      <w:pPr>
        <w:spacing w:after="0" w:line="146"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The weighted average estimated fair value of PRSUs that were granted during the three months ended March 31, 2023 was $2.61 per unit. The following assumptions were used to estimate the fair value of PRSUs granted during the three months ended March 31, 2023 using a Monte-Carlo valuation simulation: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0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7"/>
          <w:szCs w:val="17"/>
          <w:color w:val="auto"/>
        </w:rPr>
        <w:t>Basic earnings (loss) per share (EPS) is calculated by dividing net income (loss) by the number of weighted average shares of common stock outstanding during the period. The calculation of diluted earnings per share assumes conversion of stock options, RSUs, and PRSUs into common stock using the treasury method. The weighted average number of shares used to compute basic and diluted EPS consists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31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(in thousands)</w:t>
            </w: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41,219</w:t>
            </w:r>
          </w:p>
        </w:tc>
      </w:tr>
      <w:tr>
        <w:trPr>
          <w:trHeight w:val="197"/>
        </w:trPr>
        <w:tc>
          <w:tcPr>
            <w:tcW w:w="5860" w:type="dxa"/>
            <w:vAlign w:val="bottom"/>
            <w:tcBorders>
              <w:top w:val="single" w:sz="8" w:color="CCEEFF"/>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Shares excluded from diluted loss per share due to their anti-dilutive effect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represent a disaggregation of revenue from contracts with customers for the three months ended March 31,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c>
          <w:tcPr>
            <w:tcW w:w="2260" w:type="dxa"/>
            <w:vAlign w:val="bottom"/>
          </w:tcPr>
          <w:p>
            <w:pPr>
              <w:spacing w:after="0"/>
              <w:rPr>
                <w:sz w:val="20"/>
                <w:szCs w:val="20"/>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(in thousands)</w:t>
            </w: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26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27,538</w:t>
            </w:r>
          </w:p>
        </w:tc>
        <w:tc>
          <w:tcPr>
            <w:tcW w:w="226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2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28,778</w:t>
            </w:r>
          </w:p>
        </w:tc>
        <w:tc>
          <w:tcPr>
            <w:tcW w:w="2260" w:type="dxa"/>
            <w:vAlign w:val="bottom"/>
          </w:tcPr>
          <w:p>
            <w:pPr>
              <w:spacing w:after="0"/>
              <w:rPr>
                <w:sz w:val="21"/>
                <w:szCs w:val="21"/>
                <w:color w:val="auto"/>
              </w:rPr>
            </w:pPr>
          </w:p>
        </w:tc>
      </w:tr>
      <w:tr>
        <w:trPr>
          <w:trHeight w:val="412"/>
        </w:trPr>
        <w:tc>
          <w:tcPr>
            <w:tcW w:w="45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represent a disaggregation of revenue by geographic destination for the three months ended March 31,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7,823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Rest of Asia</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5,027</w:t>
            </w: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29,975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28,778</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No customer accounted for more than 10% of revenues for the three months ended March 31, 2023 and 2022. At March 31, 2023 and December 21, 2022, no customer accounted for more than 10% of net accounts receivable.</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provide details of deferred revenue as of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740" w:type="dxa"/>
            <w:vAlign w:val="bottom"/>
          </w:tcPr>
          <w:p>
            <w:pPr>
              <w:spacing w:after="0"/>
              <w:rPr>
                <w:sz w:val="20"/>
                <w:szCs w:val="20"/>
                <w:color w:val="auto"/>
              </w:rPr>
            </w:pPr>
            <w:r>
              <w:rPr>
                <w:rFonts w:ascii="Arial" w:cs="Arial" w:eastAsia="Arial" w:hAnsi="Arial"/>
                <w:sz w:val="18"/>
                <w:szCs w:val="18"/>
                <w:color w:val="auto"/>
              </w:rPr>
              <w:t>(in thousands)</w:t>
            </w: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Customer advances</w:t>
            </w:r>
          </w:p>
        </w:tc>
        <w:tc>
          <w:tcPr>
            <w:tcW w:w="2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During the three months ended March 31, 2023 and 2022, the Company recognized revenue of $1.0 million and $0.7 million from deferred revenue existing at December 31, 2022 and 2021, respectively.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Allowance for Expected Credit Losses on Receivables</w:t>
      </w:r>
    </w:p>
    <w:p>
      <w:pPr>
        <w:spacing w:after="0" w:line="225" w:lineRule="exact"/>
        <w:rPr>
          <w:sz w:val="20"/>
          <w:szCs w:val="20"/>
          <w:color w:val="auto"/>
        </w:rPr>
      </w:pPr>
    </w:p>
    <w:p>
      <w:pPr>
        <w:jc w:val="both"/>
        <w:ind w:firstLine="396"/>
        <w:spacing w:after="0" w:line="254" w:lineRule="auto"/>
        <w:rPr>
          <w:sz w:val="20"/>
          <w:szCs w:val="20"/>
          <w:color w:val="auto"/>
        </w:rPr>
      </w:pPr>
      <w:r>
        <w:rPr>
          <w:rFonts w:ascii="Arial" w:cs="Arial" w:eastAsia="Arial" w:hAnsi="Arial"/>
          <w:sz w:val="18"/>
          <w:szCs w:val="18"/>
          <w:color w:val="auto"/>
        </w:rPr>
        <w:t>The allowance for expected credit losses on receivables is used to present accounts receivable, net at an amount that represents the Company’s estimate of the related transaction price recognized as revenue. The allowance represents an estimate of expected credit losses over the lifetime of the receivables, even if the loss is considered remote, and reflects expected recoveries of amounts previously written-off. The Company estimates the allowance on the basis of specifically identified receivables that are evaluated individually for impairment and an analysis of the remaining receivables determined by reference to past default experience. The Company considers the need to adjust historical information to reflect the extent to which current conditions and reasonable forecasts are expected to differ from the conditions that existed for the historical period considered. Losses on receivables have not historically been significant.</w:t>
      </w:r>
    </w:p>
    <w:p>
      <w:pPr>
        <w:spacing w:after="0" w:line="19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Management judgments are used to determine when to charge off uncollectible trade accounts receivable. The Company bases these judgments on the age of the receivable, credit quality of the customer, current economic conditions, and other factors that may affect a customer’s ability and intent to pay. Customers are generally not required to provide collateral for purchases.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in the allowance for expected losses on receivables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3"/>
              </w:rPr>
              <w:t>Three Months Ended March</w:t>
            </w:r>
          </w:p>
        </w:tc>
        <w:tc>
          <w:tcPr>
            <w:tcW w:w="450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4500" w:type="dxa"/>
            <w:vAlign w:val="bottom"/>
          </w:tcPr>
          <w:p>
            <w:pPr>
              <w:spacing w:after="0"/>
              <w:rPr>
                <w:sz w:val="20"/>
                <w:szCs w:val="20"/>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500" w:type="dxa"/>
            <w:vAlign w:val="bottom"/>
          </w:tcPr>
          <w:p>
            <w:pPr>
              <w:spacing w:after="0"/>
              <w:rPr>
                <w:sz w:val="18"/>
                <w:szCs w:val="18"/>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50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Bad debt (credit)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500" w:type="dxa"/>
            <w:vAlign w:val="bottom"/>
          </w:tcPr>
          <w:p>
            <w:pPr>
              <w:spacing w:after="0"/>
              <w:rPr>
                <w:sz w:val="18"/>
                <w:szCs w:val="18"/>
                <w:color w:val="auto"/>
              </w:rPr>
            </w:pPr>
          </w:p>
        </w:tc>
      </w:tr>
      <w:tr>
        <w:trPr>
          <w:trHeight w:val="216"/>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Charge-offs and other</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500" w:type="dxa"/>
            <w:vAlign w:val="bottom"/>
          </w:tcPr>
          <w:p>
            <w:pPr>
              <w:spacing w:after="0"/>
              <w:rPr>
                <w:sz w:val="18"/>
                <w:szCs w:val="18"/>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Balance, end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45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12"/>
        </w:trPr>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w:t>
      </w:r>
    </w:p>
    <w:p>
      <w:pPr>
        <w:spacing w:after="0" w:line="229"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71" w:lineRule="exact"/>
        <w:rPr>
          <w:sz w:val="20"/>
          <w:szCs w:val="20"/>
          <w:color w:val="auto"/>
        </w:rPr>
      </w:pPr>
    </w:p>
    <w:p>
      <w:pPr>
        <w:jc w:val="both"/>
        <w:ind w:firstLine="396"/>
        <w:spacing w:after="0" w:line="296" w:lineRule="auto"/>
        <w:rPr>
          <w:sz w:val="20"/>
          <w:szCs w:val="20"/>
          <w:color w:val="auto"/>
        </w:rPr>
      </w:pPr>
      <w:r>
        <w:rPr>
          <w:rFonts w:ascii="Arial" w:cs="Arial" w:eastAsia="Arial" w:hAnsi="Arial"/>
          <w:sz w:val="16"/>
          <w:szCs w:val="16"/>
          <w:color w:val="auto"/>
        </w:rPr>
        <w:t>Income tax expense (benefit) was $0.6 million and $(0.1) million for the three months ended March 31, 2023 and 2022, respectively. The effective tax rates for the three months ended March 31, 2023 and 2022 were 48.5% and 2.0%, respectively. The difference between the Company’s effective tax rates in 2023 and 2022 compared to the U.S. statutory tax rate of 21% is primarily due to a Global Intangible Low-Taxed Income (“GILTI”) inclusion to taxable income and changes in valuation allowances associated with the Company’s assessment of the likelihood of the recoverability of deferred tax assets. The Company has valuation allowances against substantially all of its net operating loss carryforwards and tax credit carryforwards.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Contingent Liabilities</w:t>
      </w:r>
    </w:p>
    <w:p>
      <w:pPr>
        <w:spacing w:after="0" w:line="229"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On April 27, 2022, the Company and Biostage executed a settlement with the plaintiffs in the Biostage Litigation (as defined below) which resolved all claims relating to the litigation as described in Note 14 – Litigation Settlement.</w:t>
      </w:r>
    </w:p>
    <w:p>
      <w:pPr>
        <w:spacing w:after="0" w:line="170" w:lineRule="exact"/>
        <w:rPr>
          <w:sz w:val="20"/>
          <w:szCs w:val="20"/>
          <w:color w:val="auto"/>
        </w:rPr>
      </w:pPr>
    </w:p>
    <w:p>
      <w:pPr>
        <w:jc w:val="both"/>
        <w:ind w:firstLine="396"/>
        <w:spacing w:after="0" w:line="296" w:lineRule="auto"/>
        <w:rPr>
          <w:sz w:val="20"/>
          <w:szCs w:val="20"/>
          <w:color w:val="auto"/>
        </w:rPr>
      </w:pPr>
      <w:r>
        <w:rPr>
          <w:rFonts w:ascii="Arial" w:cs="Arial" w:eastAsia="Arial" w:hAnsi="Arial"/>
          <w:sz w:val="16"/>
          <w:szCs w:val="16"/>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61"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addition, the Company has entered into indemnification agreements with its directors.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March 31, 2023.</w:t>
      </w:r>
    </w:p>
    <w:p>
      <w:pPr>
        <w:spacing w:after="0" w:line="187"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The Company is also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is currently undergoing unclaimed property audits conducted by three states. Based on the current stage of the audits, the Company has not accrued any loss contingencies related to these audits as of March 31, 2023.</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 Settlement</w:t>
      </w:r>
    </w:p>
    <w:p>
      <w:pPr>
        <w:spacing w:after="0" w:line="229"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On April 14, 2017, representatives for the estate of an individual plaintiff filed a wrongful death complaint with the Suffolk Superior Court, in the County of Suffolk, Massachusetts, against the Company and other defendants, including Biostage, a former subsidiary of the Company that was spun off in 2013, as well as another third party (the “Biostage Litigation”). The complaint sought payment for an unspecified amount of damages and alleged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76"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On April 27, 2022, the Company and Biostage executed a settlement with the plaintiffs of the Biostage Litigation and Biostage’s products liability insurance carriers (the “Biostage Settlement”), which resolved all claims by and between the parties and Biostage’s product liability insurance carriers and resulted in the dismissal with prejudice of the wrongful death claim and all claims between the Company, Biostage and the insurance carriers. The Biostage Settlement was entered into solely by way of compromise and settlement and is not in any way an admission of liability or fault by the Company or Biostage. Biostage has indemnified the Company for all losses and expenses, including legal expenses that the Company incurred in connection with the Biostage Litigation and the Biostage Settlement.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During the three months ended March 31, 2022, the Company accrued $5.2 million of costs related to legal fees and the Biostage Settlement. Due to the financial condition of Biostage, the Company determined that it was uncertain as to whether Biostage would be able to meet its indemnification obligation and had fully reserved any receivable from Biostage.</w:t>
      </w:r>
    </w:p>
    <w:p>
      <w:pPr>
        <w:spacing w:after="0" w:line="184"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During the three months ended June 30, 2022 and September 30, 2022, the Company recorded credits of $4.9 million and $0.5 million, respectively, to the reserve against the indemnification receivable from Biostage. These adjustments reflected: i) the issuance by Biostage of 4,000 shares of its Series E Convertible Preferred Stock (the “Series E Preferred Stock”) to the Company on June 10, 2022, in satisfaction of $4.0 million of Biostage’s total indemnification obligation, ii) the payment by Biostage of the legal fees associated with the Biostage Settlement, and iii) other accrual adjustments. The Series E Preferred Stock was initially recorded at an estimated fair value of $3.9 million using a Monte Carlo valuation simulation incorporating information from selected guideline companies.</w:t>
      </w:r>
    </w:p>
    <w:p>
      <w:pPr>
        <w:spacing w:after="0" w:line="192"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The Series E Preferred Stock ranks senior to all classes of common stock of Biostage and all classes of preferred stock of Biostage (unless the Company consents to Biostage’s issuance of other preferred stock that is senior to or pari passu with the Series E Preferred Stock) and accrues dividends at a rate of 8% per annum that are payable in additional shares of Series E Preferred Stock. Each share of Series E Preferred Stock is convertible at any time at the option of the Company into such number of shares of Biostage common stock determined by dividing (a) the $1,000 face value of the Series E Preferred Stock plus all accrued and unpaid dividends thereon by (b) the average of the volume weighted average trading prices of Biostage’s common stock, which is currently quoted on the OTCQB Marketplace, for the 60 consecutive trading days prior to the conversion. In the event Biostage has a subsequent qualified offering of its common stock, (which is defined as an offering of Biostage common stock that coincides with its uplisting onto Nasdaq, the first subsequent public offering by Biostage, or the first subsequent private placement by Biostage resulting in gross proceeds to Biostage of at least $4,000,000), the Series E Preferred Stock is mandatorily converted into Biostage common stock at the applicable qualified offering price.</w:t>
      </w:r>
    </w:p>
    <w:p>
      <w:pPr>
        <w:spacing w:after="0" w:line="166"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During the three months ended March 31, 2023, the Company converted 200 shares of its Series E Preferred Stock into 31,933 shares of Biostage common stock. The market value of this Biostage common stock was $0.2 million at March 31, 2023.</w:t>
      </w:r>
    </w:p>
    <w:p>
      <w:pPr>
        <w:spacing w:after="0" w:line="170" w:lineRule="exact"/>
        <w:rPr>
          <w:sz w:val="20"/>
          <w:szCs w:val="20"/>
          <w:color w:val="auto"/>
        </w:rPr>
      </w:pPr>
    </w:p>
    <w:p>
      <w:pPr>
        <w:jc w:val="both"/>
        <w:ind w:firstLine="396"/>
        <w:spacing w:after="0" w:line="296" w:lineRule="auto"/>
        <w:rPr>
          <w:sz w:val="20"/>
          <w:szCs w:val="20"/>
          <w:color w:val="auto"/>
        </w:rPr>
      </w:pPr>
      <w:r>
        <w:rPr>
          <w:rFonts w:ascii="Arial" w:cs="Arial" w:eastAsia="Arial" w:hAnsi="Arial"/>
          <w:sz w:val="16"/>
          <w:szCs w:val="16"/>
          <w:color w:val="auto"/>
        </w:rPr>
        <w:t>The book value of the shares of Series E Preferred Stock, inclusive of accrued dividends, as of March 31, 2023 is $4.0 million and is included in the consolidated balance sheet as a component of Other long-term assets. The Company has elected the provisions within ASC 321 Investment Securities to subsequently measure the Series E Preferred Stock at its original cost minus impairment, if any, plus or minus changes resulting from observable price changes in orderly transactions for the identical or a similar investment of Biostage. As of March 31, 2023, there have been no observable price changes or indicators of impairment and therefore, there have been no measurement adjustments to the carrying value of the Series E Preferred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Product Line Disposition</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On February 17, 2023, the Company completed the disposition of its Hoefer product line for cash consideration of $0.5 million. The carrying value of assets sold was $0.1 million resulting in a gain on disposition of $0.4 million which is recorded in Other income, net in the consolidated statement of operations for the three months ended March 31, 2023. Revenue and gross profit of this disposed product line included in the condensed consolidated statement of operations for the three months ended March 31, 2023 and 2022 are not significant.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 - Conversion of Biostage Series E Preferred Stock to Common Stock</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On April 6, 2023, Biostage disclosed that it had completed a private placement with certain investors to purchase shares of Biostage common stock for the aggregate purchase price of approximately $6.0 million at a purchase price of $6.00 per share. As the proceeds of the private placement are in excess of $4.0 million, the transaction triggered a mandatory conversion of the Series E Preferred Stock, plus all accrued dividends, into Biostage common stock as discussed in Note 14 above.</w:t>
      </w:r>
    </w:p>
    <w:p>
      <w:pPr>
        <w:spacing w:after="0" w:line="187"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On April 6, 2023, all of the Company’s remaining Series E Preferred Stock, plus all accrued dividends, were converted into approximately 675,000 shares of Biostage common stock at the applicable qualified offering price of $6.00 per share. Immediately after the conversion, the Company owned approximately 5% of Biostage’s total common shares outstanding. Due to Biostage’s limited operating history, their overall financial condition and the limited trading volumes and liquidity of their common stock, the value of the Company’s investment in Biostage’s common stock could fluctuate considerably or become worthless.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 of Financial Condition and Results of Operations.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xml:space="preserve">). The forward-looking statements are principally, but not exclusively, contained in </w:t>
      </w:r>
      <w:r>
        <w:rPr>
          <w:rFonts w:ascii="Arial" w:cs="Arial" w:eastAsia="Arial" w:hAnsi="Arial"/>
          <w:sz w:val="16"/>
          <w:szCs w:val="16"/>
          <w:color w:val="auto"/>
        </w:rPr>
        <w:t>“</w:t>
      </w:r>
      <w:r>
        <w:rPr>
          <w:rFonts w:ascii="Arial" w:cs="Arial" w:eastAsia="Arial" w:hAnsi="Arial"/>
          <w:sz w:val="16"/>
          <w:szCs w:val="16"/>
          <w:i w:val="1"/>
          <w:iCs w:val="1"/>
          <w:color w:val="auto"/>
        </w:rPr>
        <w:t>Item 2: 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6"/>
          <w:szCs w:val="16"/>
          <w:color w:val="auto"/>
        </w:rPr>
        <w:t>’</w:t>
      </w:r>
      <w:r>
        <w:rPr>
          <w:rFonts w:ascii="Arial" w:cs="Arial" w:eastAsia="Arial" w:hAnsi="Arial"/>
          <w:sz w:val="16"/>
          <w:szCs w:val="16"/>
          <w:i w:val="1"/>
          <w:iCs w:val="1"/>
          <w:color w:val="auto"/>
        </w:rPr>
        <w:t xml:space="preserve">s confidence or expectations, and our plans, objectives, expectations, and intentions that are not historical facts. In some cases, you can identify forward-looking statements by terms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aim,</w:t>
      </w:r>
      <w:r>
        <w:rPr>
          <w:rFonts w:ascii="Arial" w:cs="Arial" w:eastAsia="Arial" w:hAnsi="Arial"/>
          <w:sz w:val="16"/>
          <w:szCs w:val="16"/>
          <w:color w:val="auto"/>
        </w:rPr>
        <w:t>”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predicts,</w:t>
      </w:r>
      <w:r>
        <w:rPr>
          <w:rFonts w:ascii="Arial" w:cs="Arial" w:eastAsia="Arial" w:hAnsi="Arial"/>
          <w:sz w:val="16"/>
          <w:szCs w:val="16"/>
          <w:color w:val="auto"/>
        </w:rPr>
        <w:t>” “</w:t>
      </w:r>
      <w:r>
        <w:rPr>
          <w:rFonts w:ascii="Arial" w:cs="Arial" w:eastAsia="Arial" w:hAnsi="Arial"/>
          <w:sz w:val="16"/>
          <w:szCs w:val="16"/>
          <w:i w:val="1"/>
          <w:iCs w:val="1"/>
          <w:color w:val="auto"/>
        </w:rPr>
        <w:t>intends,</w:t>
      </w:r>
      <w:r>
        <w:rPr>
          <w:rFonts w:ascii="Arial" w:cs="Arial" w:eastAsia="Arial" w:hAnsi="Arial"/>
          <w:sz w:val="16"/>
          <w:szCs w:val="16"/>
          <w:color w:val="auto"/>
        </w:rPr>
        <w:t>” “</w:t>
      </w:r>
      <w:r>
        <w:rPr>
          <w:rFonts w:ascii="Arial" w:cs="Arial" w:eastAsia="Arial" w:hAnsi="Arial"/>
          <w:sz w:val="16"/>
          <w:szCs w:val="16"/>
          <w:i w:val="1"/>
          <w:iCs w:val="1"/>
          <w:color w:val="auto"/>
        </w:rPr>
        <w:t>think,</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objectives,</w:t>
      </w:r>
      <w:r>
        <w:rPr>
          <w:rFonts w:ascii="Arial" w:cs="Arial" w:eastAsia="Arial" w:hAnsi="Arial"/>
          <w:sz w:val="16"/>
          <w:szCs w:val="16"/>
          <w:color w:val="auto"/>
        </w:rPr>
        <w:t>” “</w:t>
      </w:r>
      <w:r>
        <w:rPr>
          <w:rFonts w:ascii="Arial" w:cs="Arial" w:eastAsia="Arial" w:hAnsi="Arial"/>
          <w:sz w:val="16"/>
          <w:szCs w:val="16"/>
          <w:i w:val="1"/>
          <w:iCs w:val="1"/>
          <w:color w:val="auto"/>
        </w:rPr>
        <w:t>optimistic,</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goals,</w:t>
      </w:r>
      <w:r>
        <w:rPr>
          <w:rFonts w:ascii="Arial" w:cs="Arial" w:eastAsia="Arial" w:hAnsi="Arial"/>
          <w:sz w:val="16"/>
          <w:szCs w:val="16"/>
          <w:color w:val="auto"/>
        </w:rPr>
        <w:t>” “</w:t>
      </w:r>
      <w:r>
        <w:rPr>
          <w:rFonts w:ascii="Arial" w:cs="Arial" w:eastAsia="Arial" w:hAnsi="Arial"/>
          <w:sz w:val="16"/>
          <w:szCs w:val="16"/>
          <w:i w:val="1"/>
          <w:iCs w:val="1"/>
          <w:color w:val="auto"/>
        </w:rPr>
        <w:t>sees,</w:t>
      </w:r>
      <w:r>
        <w:rPr>
          <w:rFonts w:ascii="Arial" w:cs="Arial" w:eastAsia="Arial" w:hAnsi="Arial"/>
          <w:sz w:val="16"/>
          <w:szCs w:val="16"/>
          <w:color w:val="auto"/>
        </w:rPr>
        <w:t>” “</w:t>
      </w:r>
      <w:r>
        <w:rPr>
          <w:rFonts w:ascii="Arial" w:cs="Arial" w:eastAsia="Arial" w:hAnsi="Arial"/>
          <w:sz w:val="16"/>
          <w:szCs w:val="16"/>
          <w:i w:val="1"/>
          <w:iCs w:val="1"/>
          <w:color w:val="auto"/>
        </w:rPr>
        <w:t>new,</w:t>
      </w:r>
      <w:r>
        <w:rPr>
          <w:rFonts w:ascii="Arial" w:cs="Arial" w:eastAsia="Arial" w:hAnsi="Arial"/>
          <w:sz w:val="16"/>
          <w:szCs w:val="16"/>
          <w:color w:val="auto"/>
        </w:rPr>
        <w:t>” “</w:t>
      </w:r>
      <w:r>
        <w:rPr>
          <w:rFonts w:ascii="Arial" w:cs="Arial" w:eastAsia="Arial" w:hAnsi="Arial"/>
          <w:sz w:val="16"/>
          <w:szCs w:val="16"/>
          <w:i w:val="1"/>
          <w:iCs w:val="1"/>
          <w:color w:val="auto"/>
        </w:rPr>
        <w:t>guidance,</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drive,</w:t>
      </w:r>
      <w:r>
        <w:rPr>
          <w:rFonts w:ascii="Arial" w:cs="Arial" w:eastAsia="Arial" w:hAnsi="Arial"/>
          <w:sz w:val="16"/>
          <w:szCs w:val="16"/>
          <w:color w:val="auto"/>
        </w:rPr>
        <w:t>” “</w:t>
      </w:r>
      <w:r>
        <w:rPr>
          <w:rFonts w:ascii="Arial" w:cs="Arial" w:eastAsia="Arial" w:hAnsi="Arial"/>
          <w:sz w:val="16"/>
          <w:szCs w:val="16"/>
          <w:i w:val="1"/>
          <w:iCs w:val="1"/>
          <w:color w:val="auto"/>
        </w:rPr>
        <w:t>growth,</w:t>
      </w:r>
      <w:r>
        <w:rPr>
          <w:rFonts w:ascii="Arial" w:cs="Arial" w:eastAsia="Arial" w:hAnsi="Arial"/>
          <w:sz w:val="16"/>
          <w:szCs w:val="16"/>
          <w:color w:val="auto"/>
        </w:rPr>
        <w:t>” “</w:t>
      </w:r>
      <w:r>
        <w:rPr>
          <w:rFonts w:ascii="Arial" w:cs="Arial" w:eastAsia="Arial" w:hAnsi="Arial"/>
          <w:sz w:val="16"/>
          <w:szCs w:val="16"/>
          <w:i w:val="1"/>
          <w:iCs w:val="1"/>
          <w:color w:val="auto"/>
        </w:rPr>
        <w:t>long-term,</w:t>
      </w:r>
      <w:r>
        <w:rPr>
          <w:rFonts w:ascii="Arial" w:cs="Arial" w:eastAsia="Arial" w:hAnsi="Arial"/>
          <w:sz w:val="16"/>
          <w:szCs w:val="16"/>
          <w:color w:val="auto"/>
        </w:rPr>
        <w:t>” “</w:t>
      </w:r>
      <w:r>
        <w:rPr>
          <w:rFonts w:ascii="Arial" w:cs="Arial" w:eastAsia="Arial" w:hAnsi="Arial"/>
          <w:sz w:val="16"/>
          <w:szCs w:val="16"/>
          <w:i w:val="1"/>
          <w:iCs w:val="1"/>
          <w:color w:val="auto"/>
        </w:rPr>
        <w:t>projects,</w:t>
      </w:r>
      <w:r>
        <w:rPr>
          <w:rFonts w:ascii="Arial" w:cs="Arial" w:eastAsia="Arial" w:hAnsi="Arial"/>
          <w:sz w:val="16"/>
          <w:szCs w:val="16"/>
          <w:color w:val="auto"/>
        </w:rPr>
        <w:t>” “</w:t>
      </w:r>
      <w:r>
        <w:rPr>
          <w:rFonts w:ascii="Arial" w:cs="Arial" w:eastAsia="Arial" w:hAnsi="Arial"/>
          <w:sz w:val="16"/>
          <w:szCs w:val="16"/>
          <w:i w:val="1"/>
          <w:iCs w:val="1"/>
          <w:color w:val="auto"/>
        </w:rPr>
        <w:t>develop,</w:t>
      </w:r>
      <w:r>
        <w:rPr>
          <w:rFonts w:ascii="Arial" w:cs="Arial" w:eastAsia="Arial" w:hAnsi="Arial"/>
          <w:sz w:val="16"/>
          <w:szCs w:val="16"/>
          <w:color w:val="auto"/>
        </w:rPr>
        <w:t>” “</w:t>
      </w:r>
      <w:r>
        <w:rPr>
          <w:rFonts w:ascii="Arial" w:cs="Arial" w:eastAsia="Arial" w:hAnsi="Arial"/>
          <w:sz w:val="16"/>
          <w:szCs w:val="16"/>
          <w:i w:val="1"/>
          <w:iCs w:val="1"/>
          <w:color w:val="auto"/>
        </w:rPr>
        <w:t>possible,</w:t>
      </w:r>
      <w:r>
        <w:rPr>
          <w:rFonts w:ascii="Arial" w:cs="Arial" w:eastAsia="Arial" w:hAnsi="Arial"/>
          <w:sz w:val="16"/>
          <w:szCs w:val="16"/>
          <w:color w:val="auto"/>
        </w:rPr>
        <w:t>” “</w:t>
      </w:r>
      <w:r>
        <w:rPr>
          <w:rFonts w:ascii="Arial" w:cs="Arial" w:eastAsia="Arial" w:hAnsi="Arial"/>
          <w:sz w:val="16"/>
          <w:szCs w:val="16"/>
          <w:i w:val="1"/>
          <w:iCs w:val="1"/>
          <w:color w:val="auto"/>
        </w:rPr>
        <w:t>emerging,</w:t>
      </w:r>
      <w:r>
        <w:rPr>
          <w:rFonts w:ascii="Arial" w:cs="Arial" w:eastAsia="Arial" w:hAnsi="Arial"/>
          <w:sz w:val="16"/>
          <w:szCs w:val="16"/>
          <w:color w:val="auto"/>
        </w:rPr>
        <w:t>” “</w:t>
      </w:r>
      <w:r>
        <w:rPr>
          <w:rFonts w:ascii="Arial" w:cs="Arial" w:eastAsia="Arial" w:hAnsi="Arial"/>
          <w:sz w:val="16"/>
          <w:szCs w:val="16"/>
          <w:i w:val="1"/>
          <w:iCs w:val="1"/>
          <w:color w:val="auto"/>
        </w:rPr>
        <w:t>opportunity,</w:t>
      </w:r>
      <w:r>
        <w:rPr>
          <w:rFonts w:ascii="Arial" w:cs="Arial" w:eastAsia="Arial" w:hAnsi="Arial"/>
          <w:sz w:val="16"/>
          <w:szCs w:val="16"/>
          <w:color w:val="auto"/>
        </w:rPr>
        <w:t>” “</w:t>
      </w:r>
      <w:r>
        <w:rPr>
          <w:rFonts w:ascii="Arial" w:cs="Arial" w:eastAsia="Arial" w:hAnsi="Arial"/>
          <w:sz w:val="16"/>
          <w:szCs w:val="16"/>
          <w:i w:val="1"/>
          <w:iCs w:val="1"/>
          <w:color w:val="auto"/>
        </w:rPr>
        <w:t>pursue</w:t>
      </w:r>
      <w:r>
        <w:rPr>
          <w:rFonts w:ascii="Arial" w:cs="Arial" w:eastAsia="Arial" w:hAnsi="Arial"/>
          <w:sz w:val="16"/>
          <w:szCs w:val="16"/>
          <w:color w:val="auto"/>
        </w:rPr>
        <w:t xml:space="preserve">” </w:t>
      </w:r>
      <w:r>
        <w:rPr>
          <w:rFonts w:ascii="Arial" w:cs="Arial" w:eastAsia="Arial" w:hAnsi="Arial"/>
          <w:sz w:val="16"/>
          <w:szCs w:val="16"/>
          <w:i w:val="1"/>
          <w:iCs w:val="1"/>
          <w:color w:val="auto"/>
        </w:rPr>
        <w:t>and similar expressions intended to identify forward-looking statements. These statements reflect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2022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6"/>
          <w:szCs w:val="16"/>
          <w:color w:val="auto"/>
        </w:rPr>
        <w:t>“</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w:t>
      </w:r>
      <w:r>
        <w:rPr>
          <w:rFonts w:ascii="Arial" w:cs="Arial" w:eastAsia="Arial" w:hAnsi="Arial"/>
          <w:sz w:val="16"/>
          <w:szCs w:val="16"/>
          <w:i w:val="1"/>
          <w:iCs w:val="1"/>
          <w:color w:val="auto"/>
        </w:rPr>
        <w:t xml:space="preserve"> and </w:t>
      </w:r>
      <w:r>
        <w:rPr>
          <w:rFonts w:ascii="Arial" w:cs="Arial" w:eastAsia="Arial" w:hAnsi="Arial"/>
          <w:sz w:val="16"/>
          <w:szCs w:val="16"/>
          <w:color w:val="auto"/>
        </w:rPr>
        <w:t>“</w:t>
      </w:r>
      <w:r>
        <w:rPr>
          <w:rFonts w:ascii="Arial" w:cs="Arial" w:eastAsia="Arial" w:hAnsi="Arial"/>
          <w:sz w:val="16"/>
          <w:szCs w:val="16"/>
          <w:i w:val="1"/>
          <w:iCs w:val="1"/>
          <w:color w:val="auto"/>
        </w:rPr>
        <w:t>the Company.</w:t>
      </w:r>
      <w:r>
        <w:rPr>
          <w:rFonts w:ascii="Arial" w:cs="Arial" w:eastAsia="Arial" w:hAnsi="Arial"/>
          <w:sz w:val="16"/>
          <w:szCs w:val="16"/>
          <w:color w:val="auto"/>
        </w:rPr>
        <w: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Global Supply Chain and Economic Environment</w:t>
      </w:r>
    </w:p>
    <w:p>
      <w:pPr>
        <w:spacing w:after="0" w:line="229"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The global supply chain has experienced significant disruptions due to electronic component and labor shortages and other macroeconomic factors which have emerged since the onset of COVID-19, leading to increased cost of freight, purchased materials, and manufacturing labor costs, while also delaying customer shipments. Additionally, the global economy has recently experienced increasing economic uncertainty, including inflationary pressure, rising interest rates, and significant fluctuations in exchange rates. The COVID-19 pandemic has also caused significant economic disruption, including shutdowns that affected various regions in China throughout 2022. These conditions have negatively impacted our past business, results of operations, and cash flow.</w:t>
      </w:r>
    </w:p>
    <w:p>
      <w:pPr>
        <w:spacing w:after="0" w:line="19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We believe that these global economic uncertainties and supply chain trends will continue through 2023. The COVID-19 pandemic continues to evolve, and the future impact of the pandemic is difficult to predict. If these factors are prolonged or are more severe than anticipated, our business, results of operations, and cash flow may be materially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Three months ended March 31, 2023 compared to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1"/>
              </w:rPr>
              <w:t>Three Months Ended March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 of revenue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29,975</w:t>
            </w:r>
          </w:p>
        </w:tc>
        <w:tc>
          <w:tcPr>
            <w:tcW w:w="17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28,778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18,346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Settlement of litigation, net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396"/>
        <w:spacing w:after="0" w:line="263" w:lineRule="auto"/>
        <w:rPr>
          <w:sz w:val="20"/>
          <w:szCs w:val="20"/>
          <w:color w:val="auto"/>
        </w:rPr>
      </w:pPr>
      <w:r>
        <w:rPr>
          <w:rFonts w:ascii="Arial" w:cs="Arial" w:eastAsia="Arial" w:hAnsi="Arial"/>
          <w:sz w:val="18"/>
          <w:szCs w:val="18"/>
          <w:color w:val="auto"/>
        </w:rPr>
        <w:t>Revenues increased $1.2 million, or 4.2%, to $30.0 million for the three months ended March 31, 2023, compared to $28.8 million for the three months ended March 31, 2022. The increase in revenue was primarily due to growth in preclinical products, which was partially offset by reduced revenue from the discontinuation of non-strategic cellular and molecular products and unfavorable currency impacts.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Gross profit increased $2.2 million, or 13.4%, to $18.3 million for the three months ended March 31, 2023 compared with $16.2 million for the three months ended March 31, 2022. Gross margin increased to 61.2% for the three months ended March 31, 2023, compared with 56.2% for the three months ended March 31, 2022. The increase in gross margin was due primarily to the increase in revenue, a higher mix of preclinical products which carries a higher gross margin than our other product lines, and the discontinuation in the second half of 2022 of lower margin non-strategic products.</w:t>
      </w:r>
    </w:p>
    <w:p>
      <w:pPr>
        <w:spacing w:after="0" w:line="157"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global supply chain has experienced significant disruptions due to electronic components and labor shortages and other macroeconomic factors, leading to increased costs. We expect that these supply chain trends will continue through the rest of 2023.</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Sales and marketing expenses decreased $0.7 million, or 10.6%, to $6.0 million for the three months ended March 31, 2023, compared to $6.7 million during the same period in 2022. The decrease was primarily due to reduced salaries and travel expenses partially offset by increases in variable compensation.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0" w:firstLine="396"/>
        <w:spacing w:after="0" w:line="308" w:lineRule="auto"/>
        <w:rPr>
          <w:sz w:val="20"/>
          <w:szCs w:val="20"/>
          <w:color w:val="auto"/>
        </w:rPr>
      </w:pPr>
      <w:r>
        <w:rPr>
          <w:rFonts w:ascii="Arial" w:cs="Arial" w:eastAsia="Arial" w:hAnsi="Arial"/>
          <w:sz w:val="17"/>
          <w:szCs w:val="17"/>
          <w:color w:val="auto"/>
        </w:rPr>
        <w:t>General and administrative expenses were $6.3 million for each of the three months ended March 31, 2023 and 2022. This includes decreases in consulting costs associated with enterprise-level operational improvement initiatives offset by increases in variable compensation.</w:t>
      </w:r>
    </w:p>
    <w:p>
      <w:pPr>
        <w:spacing w:after="0" w:line="14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Research and development expenses decreased $0.3 million, or 10.0%, to $2.9 million for the three months ended March 31, 2023, compared with $3.2 million for the three months ended March 31, 2022. The decrease was primarily due to reduced salaries and consulting costs partially offset by increases in variable compensation.</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jc w:val="both"/>
        <w:ind w:firstLine="396"/>
        <w:spacing w:after="0" w:line="342" w:lineRule="auto"/>
        <w:rPr>
          <w:sz w:val="20"/>
          <w:szCs w:val="20"/>
          <w:color w:val="auto"/>
        </w:rPr>
      </w:pPr>
      <w:r>
        <w:rPr>
          <w:rFonts w:ascii="Arial" w:cs="Arial" w:eastAsia="Arial" w:hAnsi="Arial"/>
          <w:sz w:val="16"/>
          <w:szCs w:val="16"/>
          <w:color w:val="auto"/>
        </w:rPr>
        <w:t>Amortization of intangible asset expenses were $1.4 million for the three months ended March 31, 2023, compared with $1.5 million for the three months ended March 31, 2022. Amortization expense decreased as we completed the amortization of certain intangible assets discontinued during 2022.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Settlement of litigation</w:t>
      </w:r>
    </w:p>
    <w:p>
      <w:pPr>
        <w:spacing w:after="0" w:line="225"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During the three months ended March 31, 2022, we accrued $5.2 million of costs related to legal fees in connection with the Biostage Litigation and the Biostage Settlement. Due to the financial condition of Biostage, we determined that it was uncertain as to whether Biostage would be able to meet its indemnification obligation and had fully reserved any receivable from Biostage.</w:t>
      </w:r>
    </w:p>
    <w:p>
      <w:pPr>
        <w:spacing w:after="0" w:line="184"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During the three months ended June 30, 2022 and September 30, 2022, we recorded credits of $4.9 million and $0.5 million, respectively consisting of adjustments to the reserve against an indemnification receivable from Biostage to reflect: i) the issuance by Biostage of Series E Preferred Stock to us on June 10, 2022, in satisfaction of $4.0 million of Biostage’s total indemnification obligations, ii) the payment by Biostage of legal fees associated with the Biostage Settlement, and iii) other accrual adjustments. The Series E Preferred Stock was initially recorded at an estimated fair value of $3.9 million using a Monte Carlo valuation simulation incorporating information from selected guideline companies.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Interest expense increased $0.6 million, or 153.6%, to $1.0 million for the three months ended March 31, 2023, compared with $0.4 million for the three months ended March 31, 2022. The increase was the result of higher interest costs in a rising rate environment.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96"/>
        <w:spacing w:after="0" w:line="296" w:lineRule="auto"/>
        <w:rPr>
          <w:sz w:val="20"/>
          <w:szCs w:val="20"/>
          <w:color w:val="auto"/>
        </w:rPr>
      </w:pPr>
      <w:r>
        <w:rPr>
          <w:rFonts w:ascii="Arial" w:cs="Arial" w:eastAsia="Arial" w:hAnsi="Arial"/>
          <w:sz w:val="16"/>
          <w:szCs w:val="16"/>
          <w:color w:val="auto"/>
        </w:rPr>
        <w:t>Income tax expense (benefit) for the three months ended March 31, 2023 was $0.6 million and was $(0.1) million for the three months ended March 31, 2022. The effective tax rates for the three months ended March 31, 2023 and 2022 were 48.5% and 2.0%, respectively. The difference between our effective tax rates in 2023 and 2022 compared to the U.S. statutory tax rate of 21% is primarily due to a Global Intangible Low-Taxed Income (“GILTI”) inclusion to taxable income and changes in valuation allowances associated with our assessment of the likelihood of the recoverability of our deferred tax assets. We have valuation allowances against substantially all of our net operating loss carryforwards and tax credit carryforwards.</w:t>
      </w:r>
    </w:p>
    <w:p>
      <w:pPr>
        <w:spacing w:after="0" w:line="15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and payments associated with business improvement initiatives.</w:t>
      </w:r>
    </w:p>
    <w:p>
      <w:pPr>
        <w:spacing w:after="0" w:line="184"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As of March 31, 2023, we held cash and cash equivalents of $3.8 million, compared with $4.5 million at December 31, 2022. Borrowings outstanding were $44.8 million and $47.7 million as of March 31, 2023 and December 31, 2022, respectively.</w:t>
      </w:r>
    </w:p>
    <w:p>
      <w:pPr>
        <w:spacing w:after="0" w:line="170"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On December 22, 2020, we entered into a Credit Agreement which provides for a term loan of $40.0 million and a $25.0 million senior revolving credit facility both maturing on December 22, 2025. As of March 31, 2023, the weighted average interest rate on our borrowings, net of the effect of the interest rate swaps, was 8.0%, and the available and unused borrowing capacity was $10.5 million. Total revolver borrowing capacity is limited by our consolidated net leverage ratio as defined under the Credit Agreement, as amended. As of March 31, 2023, we are in compliance with the covenants of the Credit Agreement, as amended.</w:t>
      </w:r>
    </w:p>
    <w:p>
      <w:pPr>
        <w:spacing w:after="0" w:line="188"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Based on our current operating plans, we expect that our available cash, cash generated from current operations and debt capacity will be sufficient to finance current operations, any costs associated with business improvement initiatives and capital expenditures for at least the next 12 months. This assessment includes consideration of our best estimates of the impact of macroeconomic conditions and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CASH FLOW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(used in)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Cash (used in) provided by financing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195"/>
        </w:trPr>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1,812</w:t>
            </w:r>
          </w:p>
        </w:tc>
        <w:tc>
          <w:tcPr>
            <w:tcW w:w="10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(1,986)</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30"/>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8"/>
          <w:szCs w:val="18"/>
          <w:color w:val="auto"/>
        </w:rPr>
        <w:t>Cash provided by (used in) operating activities was $1.8 million and $(2.0) million for the three months ended March 31, 2023 and 2022, respectively. Cash flow from operations for the three months ended March 31, 2023 was greater than the comparable period in the prior year primarily as a result of improved operating profits.</w:t>
      </w:r>
    </w:p>
    <w:p>
      <w:pPr>
        <w:spacing w:after="0" w:line="184"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Cash provided by investing activities was $0.3 million for the three months ended March 31, 2023, and primarily consisted of $0.5 million from proceeds of the sale our Hoefer product line partially offset by $0.2 million of capital expenditures in manufacturing and information technology infrastructure. Cash used in investing activities was $(0.5) million for the three months ended March 31, 2022, and primarily consisted of capital expenditures in manufacturing and information technology infrastructure.</w:t>
      </w:r>
    </w:p>
    <w:p>
      <w:pPr>
        <w:spacing w:after="0" w:line="187"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Cash (used in) provided by financing activities was $(2.9) million and $0.1 million for the three months ended March 31, 2023 and 2022, respectively. During the three months ended March 31, 2023, debt outstanding under our credit facility decreased by $2.8 million, consisting of net payments against our revolver of $1.0 million, and payments of $1.8 million against the term loan. During the three months ended March 31, 2022, we increased total debt outstanding under our credit facility by $0.6 million. This increase included $0.9 million paid under the term loan and an increase in revolver borrowings of $1.5 million. We also paid $0.5 million for taxes related to net share settlement of equity awards.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70" w:lineRule="exact"/>
        <w:rPr>
          <w:sz w:val="20"/>
          <w:szCs w:val="20"/>
          <w:color w:val="auto"/>
        </w:rPr>
      </w:pPr>
    </w:p>
    <w:p>
      <w:pPr>
        <w:jc w:val="both"/>
        <w:ind w:firstLine="396"/>
        <w:spacing w:after="0" w:line="275" w:lineRule="auto"/>
        <w:rPr>
          <w:sz w:val="20"/>
          <w:szCs w:val="20"/>
          <w:color w:val="auto"/>
        </w:rPr>
      </w:pPr>
      <w:r>
        <w:rPr>
          <w:rFonts w:ascii="Arial" w:cs="Arial" w:eastAsia="Arial" w:hAnsi="Arial"/>
          <w:sz w:val="17"/>
          <w:szCs w:val="17"/>
          <w:color w:val="auto"/>
        </w:rPr>
        <w:t>During the three months ended March 31, 2023, changes in foreign currency exchange rates resulted in an unfavorable translation effect on our consolidated revenues of approximately $0.5 million and a favorable effect on expense of approximately $0.5 million. The gain associated with the translation of foreign equity into U.S. dollars included as a component of comprehensive income during the three months ended March 31, 2023 was $0.8 million, compared to a loss of approximately $0.7 million for the three months ended March 31, 2022. Currency exchange rate fluctuations included as a component of net income (loss) during the three months ended March 31, 2023, and March 31, 2022 were not significant.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critical accounting policies underlying the accompanying unaudited consolidated financial statements are those set forth in Part II, Item 7 included in our Annual Report on Form 10-K for the fiscal year ended December 31, 2022.</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“Recently Issued Accounting Pronouncements” included in Note 2 to our Condensed Consolidated Financial Statements included in “Part I, Item 1. Financial Statements”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7"/>
          <w:szCs w:val="17"/>
          <w:color w:val="auto"/>
        </w:rPr>
        <w:t>As of March 31, 2023, the end of the period covered by this report, our management, including our Chief Executive Officer and our Interim Chief Financial Officer, reviewed and evaluated the effectiveness of our disclosure controls and procedures (as defined in Rule 13a-15(e) or 15d-15(e) of the Exchange Act). Based upon management's review and evaluation, our Chief Executive Officer and Interim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Interim Chief Financial Officer, as appropriate, to allow timely decisions regarding required disclosure.</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first quarter of fiscal 2023 that have materially affected, or are reasonably likely to materially affect, our internal control over financial reporting.</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5"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7"/>
          <w:szCs w:val="17"/>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 w:firstLine="396"/>
        <w:spacing w:after="0" w:line="277" w:lineRule="auto"/>
        <w:rPr>
          <w:sz w:val="20"/>
          <w:szCs w:val="20"/>
          <w:color w:val="auto"/>
        </w:rPr>
      </w:pPr>
      <w:r>
        <w:rPr>
          <w:rFonts w:ascii="Arial" w:cs="Arial" w:eastAsia="Arial" w:hAnsi="Arial"/>
          <w:sz w:val="18"/>
          <w:szCs w:val="18"/>
          <w:color w:val="auto"/>
        </w:rPr>
        <w:t>The information included in Note 13 and Note 14 to the Condensed Consolidated Financial Statements (Unaudited) included in “Part I, Item 1 Financial Statements” of this quarterly report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on Form 10-K for the fiscal year ended December 31, 2022,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p>
      <w:pPr>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10.1</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80"/>
        <w:spacing w:after="0" w:line="258"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Separation Agreement and Release between the Company and Michael Rossi, dated January 18, 2023 (previously filed as an exhibit to the</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Company’s Current Report on Form 8-K on January 19, 2023 and incorporated by reference thereto).</w:t>
        </w:r>
      </w:hyperlink>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u w:val="single" w:color="auto"/>
          <w:color w:val="0000EE"/>
        </w:rPr>
        <w:t>Certification of Interim Chief Financial Officer of Harvard Bioscience, Inc., pursuant to Rules 13a-14(a) and 15d-14(a), as adopted pursuant to Section 302 of the Sarbanes-Oxley Act of 2002.</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u w:val="single" w:color="auto"/>
          <w:color w:val="0000EE"/>
        </w:rPr>
        <w:t>Certification of Interim Chief Financial Officer of Harvard Bioscience, Inc., pursuant to 18 U.S.C. Section 1350, as adopted pursuant to Section 906 of the Sarbanes-Oxley Act of 2002.</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400"/>
            <w:col w:w="1016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HARVARD BIOSCIENCE, INC.</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20"/>
                <w:szCs w:val="20"/>
                <w:color w:val="auto"/>
              </w:rPr>
            </w:pPr>
            <w:r>
              <w:rPr>
                <w:rFonts w:ascii="Arial" w:cs="Arial" w:eastAsia="Arial" w:hAnsi="Arial"/>
                <w:sz w:val="18"/>
                <w:szCs w:val="18"/>
                <w:color w:val="auto"/>
              </w:rPr>
              <w:t>Date: April 26, 2023</w:t>
            </w:r>
          </w:p>
        </w:tc>
        <w:tc>
          <w:tcPr>
            <w:tcW w:w="2960" w:type="dxa"/>
            <w:vAlign w:val="bottom"/>
          </w:tcPr>
          <w:p>
            <w:pPr>
              <w:spacing w:after="0"/>
              <w:rPr>
                <w:sz w:val="17"/>
                <w:szCs w:val="17"/>
                <w:color w:val="auto"/>
              </w:rPr>
            </w:pPr>
          </w:p>
        </w:tc>
      </w:tr>
      <w:tr>
        <w:trPr>
          <w:trHeight w:val="230"/>
        </w:trPr>
        <w:tc>
          <w:tcPr>
            <w:tcW w:w="6680" w:type="dxa"/>
            <w:vAlign w:val="bottom"/>
          </w:tcPr>
          <w:p>
            <w:pPr>
              <w:ind w:left="5960"/>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GREEN</w:t>
            </w:r>
          </w:p>
        </w:tc>
      </w:tr>
      <w:tr>
        <w:trPr>
          <w:trHeight w:val="195"/>
        </w:trPr>
        <w:tc>
          <w:tcPr>
            <w:tcW w:w="6680" w:type="dxa"/>
            <w:vAlign w:val="bottom"/>
          </w:tcPr>
          <w:p>
            <w:pPr>
              <w:spacing w:after="0"/>
              <w:rPr>
                <w:sz w:val="16"/>
                <w:szCs w:val="16"/>
                <w:color w:val="auto"/>
              </w:rPr>
            </w:pPr>
          </w:p>
        </w:tc>
        <w:tc>
          <w:tcPr>
            <w:tcW w:w="2960" w:type="dxa"/>
            <w:vAlign w:val="bottom"/>
          </w:tcPr>
          <w:p>
            <w:pPr>
              <w:jc w:val="center"/>
              <w:spacing w:after="0" w:line="195" w:lineRule="exact"/>
              <w:rPr>
                <w:sz w:val="20"/>
                <w:szCs w:val="20"/>
                <w:color w:val="auto"/>
              </w:rPr>
            </w:pPr>
            <w:r>
              <w:rPr>
                <w:rFonts w:ascii="Arial" w:cs="Arial" w:eastAsia="Arial" w:hAnsi="Arial"/>
                <w:sz w:val="18"/>
                <w:szCs w:val="18"/>
                <w:color w:val="auto"/>
                <w:w w:val="85"/>
              </w:rPr>
              <w:t>James Green</w:t>
            </w:r>
          </w:p>
        </w:tc>
      </w:tr>
      <w:tr>
        <w:trPr>
          <w:trHeight w:val="230"/>
        </w:trPr>
        <w:tc>
          <w:tcPr>
            <w:tcW w:w="66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648"/>
        </w:trPr>
        <w:tc>
          <w:tcPr>
            <w:tcW w:w="6680" w:type="dxa"/>
            <w:vAlign w:val="bottom"/>
          </w:tcPr>
          <w:p>
            <w:pPr>
              <w:ind w:left="5960"/>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JENNIFER COTE</w:t>
            </w:r>
          </w:p>
        </w:tc>
      </w:tr>
      <w:tr>
        <w:trPr>
          <w:trHeight w:val="195"/>
        </w:trPr>
        <w:tc>
          <w:tcPr>
            <w:tcW w:w="6680" w:type="dxa"/>
            <w:vAlign w:val="bottom"/>
          </w:tcPr>
          <w:p>
            <w:pPr>
              <w:spacing w:after="0"/>
              <w:rPr>
                <w:sz w:val="16"/>
                <w:szCs w:val="16"/>
                <w:color w:val="auto"/>
              </w:rPr>
            </w:pPr>
          </w:p>
        </w:tc>
        <w:tc>
          <w:tcPr>
            <w:tcW w:w="2960" w:type="dxa"/>
            <w:vAlign w:val="bottom"/>
          </w:tcPr>
          <w:p>
            <w:pPr>
              <w:jc w:val="center"/>
              <w:spacing w:after="0" w:line="195" w:lineRule="exact"/>
              <w:rPr>
                <w:sz w:val="20"/>
                <w:szCs w:val="20"/>
                <w:color w:val="auto"/>
              </w:rPr>
            </w:pPr>
            <w:r>
              <w:rPr>
                <w:rFonts w:ascii="Arial" w:cs="Arial" w:eastAsia="Arial" w:hAnsi="Arial"/>
                <w:sz w:val="18"/>
                <w:szCs w:val="18"/>
                <w:color w:val="auto"/>
                <w:w w:val="89"/>
              </w:rPr>
              <w:t>Jennifer Cote</w:t>
            </w:r>
          </w:p>
        </w:tc>
      </w:tr>
      <w:tr>
        <w:trPr>
          <w:trHeight w:val="230"/>
        </w:trPr>
        <w:tc>
          <w:tcPr>
            <w:tcW w:w="668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80"/>
          </w:cols>
          <w:pgMar w:left="320" w:top="125" w:right="10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Jennifer Cote,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40" w:right="40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6"/>
          <w:szCs w:val="16"/>
          <w:color w:val="auto"/>
        </w:rPr>
        <w:t>/s/ JENNIFER COTE</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Jennifer Cote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Harvard Bioscience,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340" w:right="40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James Green</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her knowledge that the Company’s Quarterly Report on Form 10-Q for the quarterly period ended March 31,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39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6"/>
          <w:szCs w:val="16"/>
          <w:color w:val="auto"/>
        </w:rPr>
        <w:t>/s/ JENNIFER COTE</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Jennifer Cote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Interim Chief Financial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 PURSUANT TO 18 U.S.C. SECTION 1350</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Quarterly Report on Form 10-Q for the quarterly period ended March 31, 2023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397"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April 26, 2023</w:t>
      </w:r>
      <w:r>
        <w:rPr>
          <w:sz w:val="20"/>
          <w:szCs w:val="20"/>
          <w:color w:val="auto"/>
        </w:rPr>
        <w:tab/>
      </w:r>
      <w:r>
        <w:rPr>
          <w:rFonts w:ascii="Arial" w:cs="Arial" w:eastAsia="Arial" w:hAnsi="Arial"/>
          <w:sz w:val="16"/>
          <w:szCs w:val="16"/>
          <w:color w:val="auto"/>
        </w:rPr>
        <w:t>/s/ JAMES GREEN</w:t>
      </w:r>
    </w:p>
    <w:p>
      <w:pPr>
        <w:spacing w:after="0" w:line="225"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James Green</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1."/>
      <w:numFmt w:val="decimal"/>
      <w:start w:val="10"/>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1" Type="http://schemas.openxmlformats.org/officeDocument/2006/relationships/hyperlink" Target="http://www.sec.gov/Archives/edgar/data/1123494/00011718432300033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2023-04-26T15:14:24Z</dcterms:created>
  <dcterms:modified xsi:type="dcterms:W3CDTF">2023-04-26T15:14:24Z</dcterms:modified>
</cp:coreProperties>
</file>