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June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2611120</wp:posOffset>
            </wp:positionH>
            <wp:positionV relativeFrom="paragraph">
              <wp:posOffset>164465</wp:posOffset>
            </wp:positionV>
            <wp:extent cx="1928495" cy="9601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8495" cy="9601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HARVARD BIOSCIENCE,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225" w:right="339" w:bottom="1440" w:gutter="0" w:footer="0" w:header="0"/>
        </w:sectPr>
      </w:pPr>
    </w:p>
    <w:p>
      <w:pPr>
        <w:spacing w:after="0" w:line="203"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001-33957</w:t>
      </w:r>
    </w:p>
    <w:p>
      <w:pPr>
        <w:spacing w:after="0" w:line="31"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04-3306140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200" w:lineRule="exact"/>
        <w:rPr>
          <w:sz w:val="24"/>
          <w:szCs w:val="24"/>
          <w:color w:val="auto"/>
        </w:rPr>
      </w:pPr>
    </w:p>
    <w:p>
      <w:pPr>
        <w:sectPr>
          <w:pgSz w:w="11900" w:h="16838" w:orient="portrait"/>
          <w:cols w:equalWidth="0" w:num="3">
            <w:col w:w="3920" w:space="720"/>
            <w:col w:w="2720" w:space="720"/>
            <w:col w:w="3160"/>
          </w:cols>
          <w:pgMar w:left="320" w:top="225" w:right="339" w:bottom="1440" w:gutter="0" w:footer="0" w:header="0"/>
          <w:type w:val="continuous"/>
        </w:sectPr>
      </w:pP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84 October Hill Road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Holliston, MA 01746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(508) 893-8999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1240"/>
          </w:cols>
          <w:pgMar w:left="320" w:top="225" w:right="339" w:bottom="1440" w:gutter="0" w:footer="0" w:header="0"/>
          <w:type w:val="continuous"/>
        </w:sectPr>
      </w:pP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0"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76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8"/>
        </w:trPr>
        <w:tc>
          <w:tcPr>
            <w:tcW w:w="35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Common Stock, $0.01 par value</w:t>
            </w:r>
          </w:p>
        </w:tc>
        <w:tc>
          <w:tcPr>
            <w:tcW w:w="276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w w:val="99"/>
              </w:rPr>
              <w:t>HBIO</w:t>
            </w:r>
          </w:p>
        </w:tc>
        <w:tc>
          <w:tcPr>
            <w:tcW w:w="498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431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type w:val="continuous"/>
        </w:sectPr>
      </w:pPr>
    </w:p>
    <w:bookmarkStart w:id="1" w:name="page2"/>
    <w:bookmarkEnd w:id="1"/>
    <w:p>
      <w:pPr>
        <w:ind w:left="1060" w:right="220" w:hanging="1052"/>
        <w:spacing w:after="0" w:line="286" w:lineRule="auto"/>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9" w:lineRule="exact"/>
        <w:rPr>
          <w:sz w:val="20"/>
          <w:szCs w:val="20"/>
          <w:color w:val="auto"/>
        </w:rPr>
      </w:pPr>
    </w:p>
    <w:p>
      <w:pPr>
        <w:ind w:right="320"/>
        <w:spacing w:after="0" w:line="255" w:lineRule="auto"/>
        <w:rPr>
          <w:sz w:val="20"/>
          <w:szCs w:val="20"/>
          <w:color w:val="auto"/>
        </w:rPr>
      </w:pPr>
      <w:r>
        <w:rPr>
          <w:rFonts w:ascii="Times New Roman" w:cs="Times New Roman" w:eastAsia="Times New Roman" w:hAnsi="Times New Roman"/>
          <w:sz w:val="18"/>
          <w:szCs w:val="18"/>
          <w:color w:val="auto"/>
        </w:rPr>
        <w:t>On June 2, 2026, the stockholders of Harvard Bioscience,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voted to approve the Amended and Restated 2021 Incentive Plan at the Company’s 2026 Annual Meeting of Stockholders (the “Annual Meeting”). The principal modification to the Amended and Restated 2021 Incentive Plan is to increase the number of authorized shares of the Company’s common stock available for issuance pursuant to awards issued thereunder. As of December 31, 2025, 646,520 shares were available for future awards under the Amended and Restated 2021 Incentive Plan. After stockholder approval of the Amended and Restated 2021 Incentive Plan, the number of shares of common stock reserved for issuance pursuant to awards issued thereunder has increased by 400,000 shares. The number of shares of common stock reserved for issuance pursuant to awards issued under the Amended and Restated 2021 Incentive Plan remains subject to adjustment as provided in the Amended and Restated 2021 Incentive Plan.</w:t>
      </w:r>
    </w:p>
    <w:p>
      <w:pPr>
        <w:spacing w:after="0" w:line="18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Amended and Restated 2021 Incentive Plan is qualified in its entirety by reference to the Amended and Restated 2021 Incentive Plan, a copy of which is attached as Annex B to the Company’s Definitive Proxy Statement on Schedule 14A, filed on April 21, 2026 (the “Definitive Proxy Statement”), and is incorporated herein by reference.</w:t>
      </w:r>
    </w:p>
    <w:p>
      <w:pPr>
        <w:spacing w:after="0" w:line="17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On June 2, 2026, the stockholders of the Company also approved and adopted an amendment to the Harvard Bioscience, Inc. Employee Stock Purchase Plan (as amended, the “ESPP”) at the Annual Meeting. A detailed description of the ESPP is included under the heading “Proposal 4: Approval Of An Amendment Of The Harvard Bioscience, Inc. Employee Stock Purchase Plan” in the Definitive Proxy Statement, which description is incorporated herein by reference.</w:t>
      </w:r>
    </w:p>
    <w:p>
      <w:pPr>
        <w:spacing w:after="0" w:line="180" w:lineRule="exact"/>
        <w:rPr>
          <w:sz w:val="20"/>
          <w:szCs w:val="20"/>
          <w:color w:val="auto"/>
        </w:rPr>
      </w:pPr>
    </w:p>
    <w:p>
      <w:pPr>
        <w:jc w:val="both"/>
        <w:ind w:right="340"/>
        <w:spacing w:after="0" w:line="282" w:lineRule="auto"/>
        <w:rPr>
          <w:sz w:val="20"/>
          <w:szCs w:val="20"/>
          <w:color w:val="auto"/>
        </w:rPr>
      </w:pPr>
      <w:r>
        <w:rPr>
          <w:rFonts w:ascii="Times New Roman" w:cs="Times New Roman" w:eastAsia="Times New Roman" w:hAnsi="Times New Roman"/>
          <w:sz w:val="18"/>
          <w:szCs w:val="18"/>
          <w:color w:val="auto"/>
        </w:rPr>
        <w:t>The description of the ESPP is qualified in its entirety by reference to the full text of the ESPP, a copy of which is filed herewith as Exhibit 10.2 and incorporated herein by reference.</w:t>
      </w:r>
    </w:p>
    <w:p>
      <w:pPr>
        <w:spacing w:after="0" w:line="158"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On June 2, 2026, the Company held its Annual Meeting, at which the Company’s stockholders voted on five proposals that are described in detail in the Definitive Proxy Statement.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voting results for each of the proposals are reported below.</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Proposal 1 - Election of Directors</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The Company’s stockholders elected two Class II Directors for three-year terms, such terms to continue until the annual meeting of stockholders in 2029 and until such Directors’ successors are duly elected and qualified or until his or her earlier resignation or removal: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9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60" w:type="dxa"/>
            <w:vAlign w:val="bottom"/>
            <w:tcBorders>
              <w:bottom w:val="single" w:sz="8" w:color="auto"/>
            </w:tcBorders>
          </w:tcPr>
          <w:p>
            <w:pPr>
              <w:ind w:left="9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2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191"/>
        </w:trPr>
        <w:tc>
          <w:tcPr>
            <w:tcW w:w="26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John Duke</w:t>
            </w:r>
          </w:p>
        </w:tc>
        <w:tc>
          <w:tcPr>
            <w:tcW w:w="2920" w:type="dxa"/>
            <w:vAlign w:val="bottom"/>
          </w:tcPr>
          <w:p>
            <w:pPr>
              <w:ind w:left="1260"/>
              <w:spacing w:after="0" w:line="191" w:lineRule="exact"/>
              <w:rPr>
                <w:sz w:val="20"/>
                <w:szCs w:val="20"/>
                <w:color w:val="auto"/>
              </w:rPr>
            </w:pPr>
            <w:r>
              <w:rPr>
                <w:rFonts w:ascii="Times New Roman" w:cs="Times New Roman" w:eastAsia="Times New Roman" w:hAnsi="Times New Roman"/>
                <w:sz w:val="18"/>
                <w:szCs w:val="18"/>
                <w:color w:val="auto"/>
              </w:rPr>
              <w:t>1,800,288</w:t>
            </w:r>
          </w:p>
        </w:tc>
        <w:tc>
          <w:tcPr>
            <w:tcW w:w="2860" w:type="dxa"/>
            <w:vAlign w:val="bottom"/>
          </w:tcPr>
          <w:p>
            <w:pPr>
              <w:jc w:val="right"/>
              <w:ind w:right="1010"/>
              <w:spacing w:after="0" w:line="191" w:lineRule="exact"/>
              <w:rPr>
                <w:sz w:val="20"/>
                <w:szCs w:val="20"/>
                <w:color w:val="auto"/>
              </w:rPr>
            </w:pPr>
            <w:r>
              <w:rPr>
                <w:rFonts w:ascii="Times New Roman" w:cs="Times New Roman" w:eastAsia="Times New Roman" w:hAnsi="Times New Roman"/>
                <w:sz w:val="18"/>
                <w:szCs w:val="18"/>
                <w:color w:val="auto"/>
              </w:rPr>
              <w:t>28,703</w:t>
            </w:r>
          </w:p>
        </w:tc>
        <w:tc>
          <w:tcPr>
            <w:tcW w:w="28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970,538</w:t>
            </w:r>
          </w:p>
        </w:tc>
      </w:tr>
      <w:tr>
        <w:trPr>
          <w:trHeight w:val="234"/>
        </w:trPr>
        <w:tc>
          <w:tcPr>
            <w:tcW w:w="2600" w:type="dxa"/>
            <w:vAlign w:val="bottom"/>
          </w:tcPr>
          <w:p>
            <w:pPr>
              <w:spacing w:after="0"/>
              <w:rPr>
                <w:sz w:val="20"/>
                <w:szCs w:val="20"/>
                <w:color w:val="auto"/>
              </w:rPr>
            </w:pPr>
            <w:r>
              <w:rPr>
                <w:rFonts w:ascii="Times New Roman" w:cs="Times New Roman" w:eastAsia="Times New Roman" w:hAnsi="Times New Roman"/>
                <w:sz w:val="18"/>
                <w:szCs w:val="18"/>
                <w:color w:val="auto"/>
              </w:rPr>
              <w:t>Katherine A. Eade</w:t>
            </w:r>
          </w:p>
        </w:tc>
        <w:tc>
          <w:tcPr>
            <w:tcW w:w="292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1,680,982</w:t>
            </w:r>
          </w:p>
        </w:tc>
        <w:tc>
          <w:tcPr>
            <w:tcW w:w="28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148,009</w:t>
            </w: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970,538</w:t>
            </w:r>
          </w:p>
        </w:tc>
      </w:tr>
    </w:tbl>
    <w:p>
      <w:pPr>
        <w:spacing w:after="0" w:line="1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Proposal 2 –Ratification of the Appointment of Grant Thornton LLP</w:t>
      </w:r>
    </w:p>
    <w:p>
      <w:pPr>
        <w:spacing w:after="0" w:line="229"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stockholders ratified the appointment of Grant Thornton LLP as the Company’s independent registered public accounting firm for the fiscal year ending December 31, 2026,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tcBorders>
              <w:bottom w:val="single" w:sz="8" w:color="auto"/>
            </w:tcBorders>
          </w:tcPr>
          <w:p>
            <w:pPr>
              <w:ind w:left="150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378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Abstained</w:t>
            </w:r>
          </w:p>
        </w:tc>
      </w:tr>
      <w:tr>
        <w:trPr>
          <w:trHeight w:val="228"/>
        </w:trPr>
        <w:tc>
          <w:tcPr>
            <w:tcW w:w="3680" w:type="dxa"/>
            <w:vAlign w:val="bottom"/>
          </w:tcPr>
          <w:p>
            <w:pPr>
              <w:ind w:left="1500"/>
              <w:spacing w:after="0"/>
              <w:rPr>
                <w:sz w:val="20"/>
                <w:szCs w:val="20"/>
                <w:color w:val="auto"/>
              </w:rPr>
            </w:pPr>
            <w:r>
              <w:rPr>
                <w:rFonts w:ascii="Times New Roman" w:cs="Times New Roman" w:eastAsia="Times New Roman" w:hAnsi="Times New Roman"/>
                <w:sz w:val="18"/>
                <w:szCs w:val="18"/>
                <w:color w:val="auto"/>
              </w:rPr>
              <w:t>2,781,705</w:t>
            </w:r>
          </w:p>
        </w:tc>
        <w:tc>
          <w:tcPr>
            <w:tcW w:w="37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rPr>
              <w:t>13,975</w:t>
            </w:r>
          </w:p>
        </w:tc>
        <w:tc>
          <w:tcPr>
            <w:tcW w:w="3780" w:type="dxa"/>
            <w:vAlign w:val="bottom"/>
          </w:tcPr>
          <w:p>
            <w:pPr>
              <w:jc w:val="right"/>
              <w:ind w:right="1550"/>
              <w:spacing w:after="0"/>
              <w:rPr>
                <w:sz w:val="20"/>
                <w:szCs w:val="20"/>
                <w:color w:val="auto"/>
              </w:rPr>
            </w:pPr>
            <w:r>
              <w:rPr>
                <w:rFonts w:ascii="Times New Roman" w:cs="Times New Roman" w:eastAsia="Times New Roman" w:hAnsi="Times New Roman"/>
                <w:sz w:val="18"/>
                <w:szCs w:val="18"/>
                <w:color w:val="auto"/>
              </w:rPr>
              <w:t>3,849</w:t>
            </w:r>
          </w:p>
        </w:tc>
      </w:tr>
    </w:tbl>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Proposal 3 –Approval, by Non-Binding Advisory Vote, of the Compensation of the Company’s Named Executive Officers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stockholders approved the compensation of the Company’s named executive officers by a non-binding advisory vote,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7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1,768,695</w:t>
            </w:r>
          </w:p>
        </w:tc>
        <w:tc>
          <w:tcPr>
            <w:tcW w:w="28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57,111</w:t>
            </w:r>
          </w:p>
        </w:tc>
        <w:tc>
          <w:tcPr>
            <w:tcW w:w="2820" w:type="dxa"/>
            <w:vAlign w:val="bottom"/>
          </w:tcPr>
          <w:p>
            <w:pPr>
              <w:jc w:val="right"/>
              <w:ind w:right="1070"/>
              <w:spacing w:after="0"/>
              <w:rPr>
                <w:sz w:val="20"/>
                <w:szCs w:val="20"/>
                <w:color w:val="auto"/>
              </w:rPr>
            </w:pPr>
            <w:r>
              <w:rPr>
                <w:rFonts w:ascii="Times New Roman" w:cs="Times New Roman" w:eastAsia="Times New Roman" w:hAnsi="Times New Roman"/>
                <w:sz w:val="18"/>
                <w:szCs w:val="18"/>
                <w:color w:val="auto"/>
              </w:rPr>
              <w:t>3,185</w:t>
            </w:r>
          </w:p>
        </w:tc>
        <w:tc>
          <w:tcPr>
            <w:tcW w:w="28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970,538</w:t>
            </w:r>
          </w:p>
        </w:tc>
      </w:tr>
      <w:tr>
        <w:trPr>
          <w:trHeight w:val="549"/>
        </w:trPr>
        <w:tc>
          <w:tcPr>
            <w:tcW w:w="27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68"/>
        </w:trPr>
        <w:tc>
          <w:tcPr>
            <w:tcW w:w="2740" w:type="dxa"/>
            <w:vAlign w:val="bottom"/>
            <w:shd w:val="clear" w:color="auto" w:fill="000000"/>
          </w:tcPr>
          <w:p>
            <w:pPr>
              <w:spacing w:after="0"/>
              <w:rPr>
                <w:sz w:val="5"/>
                <w:szCs w:val="5"/>
                <w:color w:val="auto"/>
              </w:rPr>
            </w:pPr>
          </w:p>
        </w:tc>
        <w:tc>
          <w:tcPr>
            <w:tcW w:w="2840" w:type="dxa"/>
            <w:vAlign w:val="bottom"/>
            <w:shd w:val="clear" w:color="auto" w:fill="000000"/>
          </w:tcPr>
          <w:p>
            <w:pPr>
              <w:spacing w:after="0"/>
              <w:rPr>
                <w:sz w:val="5"/>
                <w:szCs w:val="5"/>
                <w:color w:val="auto"/>
              </w:rPr>
            </w:pPr>
          </w:p>
        </w:tc>
        <w:tc>
          <w:tcPr>
            <w:tcW w:w="2820" w:type="dxa"/>
            <w:vAlign w:val="bottom"/>
            <w:shd w:val="clear" w:color="auto" w:fill="000000"/>
          </w:tcPr>
          <w:p>
            <w:pPr>
              <w:spacing w:after="0"/>
              <w:rPr>
                <w:sz w:val="5"/>
                <w:szCs w:val="5"/>
                <w:color w:val="auto"/>
              </w:rPr>
            </w:pPr>
          </w:p>
        </w:tc>
        <w:tc>
          <w:tcPr>
            <w:tcW w:w="284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2" w:name="page3"/>
    <w:bookmarkEnd w:id="2"/>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Proposal 4 – Approval of the Amendment to the Harvard Bioscience, Inc. Employee Stock Purchase Plan</w:t>
      </w:r>
    </w:p>
    <w:p>
      <w:pPr>
        <w:spacing w:after="0" w:line="229" w:lineRule="exact"/>
        <w:rPr>
          <w:sz w:val="20"/>
          <w:szCs w:val="20"/>
          <w:color w:val="auto"/>
        </w:rPr>
      </w:pPr>
    </w:p>
    <w:p>
      <w:pPr>
        <w:ind w:left="80" w:right="76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amendment to the Harvard Bioscience, Inc. Employee Stock Purchase Plan to increase the number of authorized shares of common stock available for issuance thereunder,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7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1,705,565</w:t>
            </w:r>
          </w:p>
        </w:tc>
        <w:tc>
          <w:tcPr>
            <w:tcW w:w="28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90,905</w:t>
            </w:r>
          </w:p>
        </w:tc>
        <w:tc>
          <w:tcPr>
            <w:tcW w:w="28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32,521</w:t>
            </w:r>
          </w:p>
        </w:tc>
        <w:tc>
          <w:tcPr>
            <w:tcW w:w="28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970,538</w:t>
            </w:r>
          </w:p>
        </w:tc>
      </w:tr>
    </w:tbl>
    <w:p>
      <w:pPr>
        <w:spacing w:after="0" w:line="3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Proposal 5 – Approval of the Amended and Restated 2021 Incentive Plan</w:t>
      </w:r>
    </w:p>
    <w:p>
      <w:pPr>
        <w:spacing w:after="0" w:line="229" w:lineRule="exact"/>
        <w:rPr>
          <w:sz w:val="20"/>
          <w:szCs w:val="20"/>
          <w:color w:val="auto"/>
        </w:rPr>
      </w:pPr>
    </w:p>
    <w:p>
      <w:pPr>
        <w:ind w:left="80" w:right="420"/>
        <w:spacing w:after="0" w:line="282" w:lineRule="auto"/>
        <w:rPr>
          <w:sz w:val="20"/>
          <w:szCs w:val="20"/>
          <w:color w:val="auto"/>
        </w:rPr>
      </w:pPr>
      <w:r>
        <w:rPr>
          <w:rFonts w:ascii="Times New Roman" w:cs="Times New Roman" w:eastAsia="Times New Roman" w:hAnsi="Times New Roman"/>
          <w:sz w:val="18"/>
          <w:szCs w:val="18"/>
          <w:color w:val="auto"/>
        </w:rPr>
        <w:t>The Company’s stockholders approved the Amended and Restated 2021 Incentive Plan to increase the number of authorized shares of common stock available for issuance thereunder,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40" w:type="dxa"/>
            <w:vAlign w:val="bottom"/>
            <w:tcBorders>
              <w:bottom w:val="single" w:sz="8" w:color="auto"/>
            </w:tcBorders>
          </w:tcPr>
          <w:p>
            <w:pPr>
              <w:ind w:left="10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2840" w:type="dxa"/>
            <w:vAlign w:val="bottom"/>
            <w:tcBorders>
              <w:bottom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Votes Abstained</w:t>
            </w:r>
          </w:p>
        </w:tc>
        <w:tc>
          <w:tcPr>
            <w:tcW w:w="2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28"/>
        </w:trPr>
        <w:tc>
          <w:tcPr>
            <w:tcW w:w="274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1,131,261</w:t>
            </w:r>
          </w:p>
        </w:tc>
        <w:tc>
          <w:tcPr>
            <w:tcW w:w="284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680,030</w:t>
            </w:r>
          </w:p>
        </w:tc>
        <w:tc>
          <w:tcPr>
            <w:tcW w:w="28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17,700</w:t>
            </w:r>
          </w:p>
        </w:tc>
        <w:tc>
          <w:tcPr>
            <w:tcW w:w="284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rPr>
              <w:t>970,538</w:t>
            </w:r>
          </w:p>
        </w:tc>
      </w:tr>
    </w:tbl>
    <w:p>
      <w:pPr>
        <w:spacing w:after="0" w:line="391"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 Exhibits.</w:t>
            </w:r>
          </w:p>
        </w:tc>
        <w:tc>
          <w:tcPr>
            <w:tcW w:w="39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459"/>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91"/>
        </w:trPr>
        <w:tc>
          <w:tcPr>
            <w:tcW w:w="1920" w:type="dxa"/>
            <w:vAlign w:val="bottom"/>
            <w:gridSpan w:val="2"/>
          </w:tcPr>
          <w:p>
            <w:pPr>
              <w:spacing w:after="0"/>
              <w:rPr>
                <w:rFonts w:ascii="Times New Roman" w:cs="Times New Roman" w:eastAsia="Times New Roman" w:hAnsi="Times New Roman"/>
                <w:sz w:val="18"/>
                <w:szCs w:val="18"/>
                <w:color w:val="0000EE"/>
              </w:rPr>
            </w:pPr>
            <w:hyperlink r:id="rId10">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1</w:t>
              </w:r>
            </w:hyperlink>
          </w:p>
        </w:tc>
        <w:tc>
          <w:tcPr>
            <w:tcW w:w="9320" w:type="dxa"/>
            <w:vAlign w:val="bottom"/>
            <w:gridSpan w:val="4"/>
          </w:tcPr>
          <w:p>
            <w:pPr>
              <w:spacing w:after="0"/>
              <w:rPr>
                <w:rFonts w:ascii="Times New Roman" w:cs="Times New Roman" w:eastAsia="Times New Roman" w:hAnsi="Times New Roman"/>
                <w:sz w:val="18"/>
                <w:szCs w:val="18"/>
                <w:color w:val="0000EE"/>
              </w:rPr>
            </w:pPr>
            <w:hyperlink r:id="rId10">
              <w:r>
                <w:rPr>
                  <w:rFonts w:ascii="Times New Roman" w:cs="Times New Roman" w:eastAsia="Times New Roman" w:hAnsi="Times New Roman"/>
                  <w:sz w:val="18"/>
                  <w:szCs w:val="18"/>
                  <w:color w:val="0000EE"/>
                </w:rPr>
                <w:t>Harvard Bioscience, Inc. Amended and Restated 2021 Incentive Plan. (Annex B to the Proxy Statement on Schedule 14A filed</w:t>
              </w:r>
            </w:hyperlink>
          </w:p>
        </w:tc>
      </w:tr>
      <w:tr>
        <w:trPr>
          <w:trHeight w:val="196"/>
        </w:trPr>
        <w:tc>
          <w:tcPr>
            <w:tcW w:w="320" w:type="dxa"/>
            <w:vAlign w:val="bottom"/>
            <w:tcBorders>
              <w:top w:val="single" w:sz="8" w:color="0000EE"/>
            </w:tcBorders>
          </w:tcPr>
          <w:p>
            <w:pPr>
              <w:spacing w:after="0"/>
              <w:rPr>
                <w:sz w:val="17"/>
                <w:szCs w:val="17"/>
                <w:color w:val="auto"/>
              </w:rPr>
            </w:pPr>
          </w:p>
        </w:tc>
        <w:tc>
          <w:tcPr>
            <w:tcW w:w="1600" w:type="dxa"/>
            <w:vAlign w:val="bottom"/>
          </w:tcPr>
          <w:p>
            <w:pPr>
              <w:spacing w:after="0"/>
              <w:rPr>
                <w:sz w:val="17"/>
                <w:szCs w:val="17"/>
                <w:color w:val="auto"/>
              </w:rPr>
            </w:pPr>
          </w:p>
        </w:tc>
        <w:tc>
          <w:tcPr>
            <w:tcW w:w="39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10">
              <w:r>
                <w:rPr>
                  <w:rFonts w:ascii="Times New Roman" w:cs="Times New Roman" w:eastAsia="Times New Roman" w:hAnsi="Times New Roman"/>
                  <w:sz w:val="18"/>
                  <w:szCs w:val="18"/>
                  <w:color w:val="0000EE"/>
                  <w:w w:val="99"/>
                </w:rPr>
                <w:t>April 21, 2026, and incorporated by reference thereto.)</w:t>
              </w:r>
            </w:hyperlink>
          </w:p>
        </w:tc>
        <w:tc>
          <w:tcPr>
            <w:tcW w:w="5180" w:type="dxa"/>
            <w:vAlign w:val="bottom"/>
            <w:tcBorders>
              <w:top w:val="single" w:sz="8" w:color="0000EE"/>
            </w:tcBorders>
            <w:gridSpan w:val="2"/>
          </w:tcPr>
          <w:p>
            <w:pPr>
              <w:spacing w:after="0"/>
              <w:rPr>
                <w:sz w:val="17"/>
                <w:szCs w:val="17"/>
                <w:color w:val="auto"/>
              </w:rPr>
            </w:pPr>
          </w:p>
        </w:tc>
        <w:tc>
          <w:tcPr>
            <w:tcW w:w="180" w:type="dxa"/>
            <w:vAlign w:val="bottom"/>
          </w:tcPr>
          <w:p>
            <w:pPr>
              <w:spacing w:after="0"/>
              <w:rPr>
                <w:sz w:val="17"/>
                <w:szCs w:val="17"/>
                <w:color w:val="auto"/>
              </w:rPr>
            </w:pPr>
          </w:p>
        </w:tc>
      </w:tr>
      <w:tr>
        <w:trPr>
          <w:trHeight w:val="412"/>
        </w:trPr>
        <w:tc>
          <w:tcPr>
            <w:tcW w:w="19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10.</w:t>
            </w:r>
            <w:r>
              <w:rPr>
                <w:rFonts w:ascii="Times New Roman" w:cs="Times New Roman" w:eastAsia="Times New Roman" w:hAnsi="Times New Roman"/>
                <w:sz w:val="18"/>
                <w:szCs w:val="18"/>
                <w:u w:val="single" w:color="auto"/>
                <w:color w:val="0000EE"/>
              </w:rPr>
              <w:t>2</w:t>
            </w:r>
          </w:p>
        </w:tc>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Harvard Bioscience, Inc. Employee Stock Purchase Plan, as amended</w:t>
            </w:r>
          </w:p>
        </w:tc>
      </w:tr>
      <w:tr>
        <w:trPr>
          <w:trHeight w:val="20"/>
        </w:trPr>
        <w:tc>
          <w:tcPr>
            <w:tcW w:w="3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020" w:type="dxa"/>
            <w:vAlign w:val="bottom"/>
            <w:gridSpan w:val="2"/>
            <w:shd w:val="clear" w:color="auto" w:fill="0000EE"/>
          </w:tcPr>
          <w:p>
            <w:pPr>
              <w:spacing w:after="0" w:line="20" w:lineRule="exact"/>
              <w:rPr>
                <w:sz w:val="1"/>
                <w:szCs w:val="1"/>
                <w:color w:val="auto"/>
              </w:rPr>
            </w:pPr>
          </w:p>
        </w:tc>
        <w:tc>
          <w:tcPr>
            <w:tcW w:w="4300" w:type="dxa"/>
            <w:vAlign w:val="bottom"/>
            <w:gridSpan w:val="2"/>
          </w:tcPr>
          <w:p>
            <w:pPr>
              <w:spacing w:after="0" w:line="20" w:lineRule="exact"/>
              <w:rPr>
                <w:sz w:val="1"/>
                <w:szCs w:val="1"/>
                <w:color w:val="auto"/>
              </w:rPr>
            </w:pPr>
          </w:p>
        </w:tc>
      </w:tr>
      <w:tr>
        <w:trPr>
          <w:trHeight w:val="453"/>
        </w:trPr>
        <w:tc>
          <w:tcPr>
            <w:tcW w:w="3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600" w:type="dxa"/>
            <w:vAlign w:val="bottom"/>
          </w:tcPr>
          <w:p>
            <w:pPr>
              <w:spacing w:after="0"/>
              <w:rPr>
                <w:sz w:val="24"/>
                <w:szCs w:val="24"/>
                <w:color w:val="auto"/>
              </w:rPr>
            </w:pPr>
          </w:p>
        </w:tc>
        <w:tc>
          <w:tcPr>
            <w:tcW w:w="9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XBRL document)</w:t>
            </w:r>
          </w:p>
        </w:tc>
      </w:tr>
      <w:tr>
        <w:trPr>
          <w:trHeight w:val="2079"/>
        </w:trPr>
        <w:tc>
          <w:tcPr>
            <w:tcW w:w="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68"/>
        </w:trPr>
        <w:tc>
          <w:tcPr>
            <w:tcW w:w="320" w:type="dxa"/>
            <w:vAlign w:val="bottom"/>
            <w:shd w:val="clear" w:color="auto" w:fill="000000"/>
          </w:tcPr>
          <w:p>
            <w:pPr>
              <w:spacing w:after="0"/>
              <w:rPr>
                <w:sz w:val="5"/>
                <w:szCs w:val="5"/>
                <w:color w:val="auto"/>
              </w:rPr>
            </w:pPr>
          </w:p>
        </w:tc>
        <w:tc>
          <w:tcPr>
            <w:tcW w:w="1600" w:type="dxa"/>
            <w:vAlign w:val="bottom"/>
            <w:shd w:val="clear" w:color="auto" w:fill="000000"/>
          </w:tcPr>
          <w:p>
            <w:pPr>
              <w:spacing w:after="0"/>
              <w:rPr>
                <w:sz w:val="5"/>
                <w:szCs w:val="5"/>
                <w:color w:val="auto"/>
              </w:rPr>
            </w:pPr>
          </w:p>
        </w:tc>
        <w:tc>
          <w:tcPr>
            <w:tcW w:w="3960" w:type="dxa"/>
            <w:vAlign w:val="bottom"/>
            <w:shd w:val="clear" w:color="auto" w:fill="000000"/>
          </w:tcPr>
          <w:p>
            <w:pPr>
              <w:spacing w:after="0"/>
              <w:rPr>
                <w:sz w:val="5"/>
                <w:szCs w:val="5"/>
                <w:color w:val="auto"/>
              </w:rPr>
            </w:pPr>
          </w:p>
        </w:tc>
        <w:tc>
          <w:tcPr>
            <w:tcW w:w="1060" w:type="dxa"/>
            <w:vAlign w:val="bottom"/>
            <w:shd w:val="clear" w:color="auto" w:fill="000000"/>
          </w:tcPr>
          <w:p>
            <w:pPr>
              <w:spacing w:after="0"/>
              <w:rPr>
                <w:sz w:val="5"/>
                <w:szCs w:val="5"/>
                <w:color w:val="auto"/>
              </w:rPr>
            </w:pPr>
          </w:p>
        </w:tc>
        <w:tc>
          <w:tcPr>
            <w:tcW w:w="4120" w:type="dxa"/>
            <w:vAlign w:val="bottom"/>
            <w:shd w:val="clear" w:color="auto" w:fill="000000"/>
          </w:tcPr>
          <w:p>
            <w:pPr>
              <w:spacing w:after="0"/>
              <w:rPr>
                <w:sz w:val="5"/>
                <w:szCs w:val="5"/>
                <w:color w:val="auto"/>
              </w:rPr>
            </w:pPr>
          </w:p>
        </w:tc>
        <w:tc>
          <w:tcPr>
            <w:tcW w:w="180" w:type="dxa"/>
            <w:vAlign w:val="bottom"/>
            <w:shd w:val="clear" w:color="auto" w:fill="000000"/>
          </w:tcPr>
          <w:p>
            <w:pPr>
              <w:spacing w:after="0"/>
              <w:rPr>
                <w:sz w:val="5"/>
                <w:szCs w:val="5"/>
                <w:color w:val="auto"/>
              </w:rPr>
            </w:pPr>
          </w:p>
        </w:tc>
      </w:tr>
    </w:tbl>
    <w:p>
      <w:pPr>
        <w:sectPr>
          <w:pgSz w:w="11900" w:h="16838" w:orient="portrait"/>
          <w:cols w:equalWidth="0" w:num="1">
            <w:col w:w="11240"/>
          </w:cols>
          <w:pgMar w:left="320" w:top="57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4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HARVARD BIOSCIENCE, INC.</w:t>
            </w:r>
          </w:p>
        </w:tc>
      </w:tr>
      <w:tr>
        <w:trPr>
          <w:trHeight w:val="648"/>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June 2, 2026</w:t>
            </w:r>
          </w:p>
        </w:tc>
        <w:tc>
          <w:tcPr>
            <w:tcW w:w="7740" w:type="dxa"/>
            <w:vAlign w:val="bottom"/>
            <w:gridSpan w:val="2"/>
          </w:tcPr>
          <w:p>
            <w:pPr>
              <w:ind w:left="2140"/>
              <w:spacing w:after="0"/>
              <w:rPr>
                <w:sz w:val="20"/>
                <w:szCs w:val="20"/>
                <w:color w:val="auto"/>
              </w:rPr>
            </w:pPr>
            <w:r>
              <w:rPr>
                <w:rFonts w:ascii="Times New Roman" w:cs="Times New Roman" w:eastAsia="Times New Roman" w:hAnsi="Times New Roman"/>
                <w:sz w:val="18"/>
                <w:szCs w:val="18"/>
                <w:color w:val="auto"/>
              </w:rPr>
              <w:t>By:   /s/ Mark Frost</w:t>
            </w:r>
          </w:p>
        </w:tc>
      </w:tr>
      <w:tr>
        <w:trPr>
          <w:trHeight w:val="191"/>
        </w:trPr>
        <w:tc>
          <w:tcPr>
            <w:tcW w:w="350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Mark Frost</w:t>
            </w:r>
          </w:p>
        </w:tc>
      </w:tr>
      <w:tr>
        <w:trPr>
          <w:trHeight w:val="234"/>
        </w:trPr>
        <w:tc>
          <w:tcPr>
            <w:tcW w:w="35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240"/>
          </w:cols>
          <w:pgMar w:left="320" w:top="576"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HARVARD BIOSCIENCE,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EMPLOYEE STOCK PURCHASE PLAN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Amended)</w:t>
      </w:r>
    </w:p>
    <w:p>
      <w:pPr>
        <w:spacing w:after="0" w:line="225"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 xml:space="preserve">The purpose of the Harvard Bioscience, Inc. Employee Stock Purchase Plan (the “Plan”) is to provide eligible employees of Harvard Bioscience, Inc. (the “Company”) and certain of its subsidiaries with opportunities to purchase shares of the Company’s common stock, par value $.01 per share (the “Common Stock”). </w:t>
      </w:r>
      <w:r>
        <w:rPr>
          <w:rFonts w:ascii="Times New Roman" w:cs="Times New Roman" w:eastAsia="Times New Roman" w:hAnsi="Times New Roman"/>
          <w:sz w:val="18"/>
          <w:szCs w:val="18"/>
          <w:b w:val="1"/>
          <w:bCs w:val="1"/>
          <w:color w:val="FF0000"/>
        </w:rPr>
        <w:t>Three Hundred Ten Thousand (310,000)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strike w:val="1"/>
        </w:rPr>
        <w:t>One Million Nine Hundred Thousand (190,000)</w:t>
      </w:r>
      <w:r>
        <w:rPr>
          <w:rFonts w:ascii="Times New Roman" w:cs="Times New Roman" w:eastAsia="Times New Roman" w:hAnsi="Times New Roman"/>
          <w:sz w:val="18"/>
          <w:szCs w:val="18"/>
          <w:color w:val="auto"/>
        </w:rPr>
        <w:t xml:space="preserve"> shares of Common Stock in the aggregate have been approved and reserved for this purpose. The Plan is intended to constitute an “employee stock purchase plan” within the meaning of Section 423(b) of the Internal Revenue Code of 1986, as amended (the “Code”), and shall be interpreted in accordance with that intent.</w:t>
      </w:r>
    </w:p>
    <w:p>
      <w:pPr>
        <w:spacing w:after="0" w:line="183" w:lineRule="exact"/>
        <w:rPr>
          <w:sz w:val="20"/>
          <w:szCs w:val="20"/>
          <w:color w:val="auto"/>
        </w:rPr>
      </w:pPr>
    </w:p>
    <w:p>
      <w:pPr>
        <w:jc w:val="both"/>
        <w:ind w:firstLine="8"/>
        <w:spacing w:after="0" w:line="261" w:lineRule="auto"/>
        <w:tabs>
          <w:tab w:leader="none" w:pos="941"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ADMINISTRATION. The Plan will be administered by the person or persons (the “Administrator”) appointed by the Company’s Board of Directors (the “Board”) for such purpose. The Administrator has authority to make rules and regulations for the administration of the Plan, and its interpretations and decisions with regard thereto shall be final and conclusive. No member of the Board or individual exercising administrative authority with respect to the Plan shall be liable for any action or determination made in good faith with respect to the Plan or any option granted hereunder.</w:t>
      </w:r>
    </w:p>
    <w:p>
      <w:pPr>
        <w:spacing w:after="0" w:line="179" w:lineRule="exact"/>
        <w:rPr>
          <w:rFonts w:ascii="Times New Roman" w:cs="Times New Roman" w:eastAsia="Times New Roman" w:hAnsi="Times New Roman"/>
          <w:sz w:val="18"/>
          <w:szCs w:val="18"/>
          <w:color w:val="auto"/>
        </w:rPr>
      </w:pPr>
    </w:p>
    <w:p>
      <w:pPr>
        <w:jc w:val="both"/>
        <w:ind w:firstLine="8"/>
        <w:spacing w:after="0" w:line="258" w:lineRule="auto"/>
        <w:tabs>
          <w:tab w:leader="none" w:pos="8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OFFERINGS. The Company will make one or more offerings to eligible employees to purchase Common Stock under the Plan (“Offerings”). Unless otherwise determined by the Administrator, the initial Offering will begin on January 1, 2001 and will end on June 30, 2001 (the “Initial Offering”). Thereafter, unless otherwise determined by the Administrator, an Offering will begin on the first business day occurring on or after each January 1 and July 1 and will end on the last business day occurring on or before the following June 30 and December 31, respectively. The Administrator may, in its discretion, designate a different period for any Offering, provided that no Offering shall exceed six months in duration or overlap any other Offering.</w:t>
      </w:r>
    </w:p>
    <w:p>
      <w:pPr>
        <w:spacing w:after="0" w:line="183" w:lineRule="exact"/>
        <w:rPr>
          <w:rFonts w:ascii="Times New Roman" w:cs="Times New Roman" w:eastAsia="Times New Roman" w:hAnsi="Times New Roman"/>
          <w:sz w:val="18"/>
          <w:szCs w:val="18"/>
          <w:color w:val="auto"/>
        </w:rPr>
      </w:pPr>
    </w:p>
    <w:p>
      <w:pPr>
        <w:jc w:val="both"/>
        <w:ind w:firstLine="8"/>
        <w:spacing w:after="0" w:line="261" w:lineRule="auto"/>
        <w:tabs>
          <w:tab w:leader="none" w:pos="101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ELIGIBILITY. All employees of the Company (including employees who are also directors of the Company) and all employees of each Designated Subsidiary (as defined in Section 11) are eligible to participate in any one or more of the Offerings under the Plan, provided that as of the first day of the applicable Offering (the “Offering Date”) they are customarily employed by the Company or a Designated Subsidiary for more than 20 hours a week.</w:t>
      </w:r>
    </w:p>
    <w:p>
      <w:pPr>
        <w:spacing w:after="0" w:line="179" w:lineRule="exact"/>
        <w:rPr>
          <w:rFonts w:ascii="Times New Roman" w:cs="Times New Roman" w:eastAsia="Times New Roman" w:hAnsi="Times New Roman"/>
          <w:sz w:val="18"/>
          <w:szCs w:val="18"/>
          <w:color w:val="auto"/>
        </w:rPr>
      </w:pPr>
    </w:p>
    <w:p>
      <w:pPr>
        <w:jc w:val="both"/>
        <w:ind w:firstLine="8"/>
        <w:spacing w:after="0" w:line="255" w:lineRule="auto"/>
        <w:tabs>
          <w:tab w:leader="none" w:pos="100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PARTICIPATION. An employee eligible on any Offering Date may participate in such Offering by submitting an enrollment form to his appropriate payroll location at least 15 business days before the Offering Date (or by such other deadline as shall be established for the Offering). The form will (a) state a whole percentage to be deducted from his Compensation (as defined in Section 11) per pay period, (b) authorize the purchase of Common Stock for him in each Offering in accordance with the terms of the Plan and (c) specify the exact name or names in which shares of Common Stock purchased for him are to be issued pursuant to Section 10. An employee who does not enroll in accordance with these procedures will be deemed to have waived his right to participate. Unless an employee files a new enrollment form or withdraws from the Plan, his deductions and purchases will continue at the same percentage of Compensation for future Offerings, provided he remains eligible.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the foregoing, participation in the Plan will neither be permitted nor be denied contrary to the requirements of the Code.</w:t>
      </w:r>
    </w:p>
    <w:p>
      <w:pPr>
        <w:spacing w:after="0" w:line="225" w:lineRule="exact"/>
        <w:rPr>
          <w:sz w:val="20"/>
          <w:szCs w:val="20"/>
          <w:color w:val="auto"/>
        </w:rPr>
      </w:pPr>
    </w:p>
    <w:p>
      <w:pPr>
        <w:jc w:val="both"/>
        <w:ind w:firstLine="8"/>
        <w:spacing w:after="0" w:line="266" w:lineRule="auto"/>
        <w:tabs>
          <w:tab w:leader="none" w:pos="1042"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CONTRIBUTIONS. Each eligible employee may authorize payroll deductions at a minimum of one percent (1%) up to a maximum of ten percent (10%) of his Compensation for each pay period. The Company will maintain book accounts showing the amount of payroll deductions made by each participating employee for each Offering. No interest will accrue or be paid on payroll deductions.</w:t>
      </w:r>
    </w:p>
    <w:p>
      <w:pPr>
        <w:spacing w:after="0" w:line="175" w:lineRule="exact"/>
        <w:rPr>
          <w:rFonts w:ascii="Times New Roman" w:cs="Times New Roman" w:eastAsia="Times New Roman" w:hAnsi="Times New Roman"/>
          <w:sz w:val="18"/>
          <w:szCs w:val="18"/>
          <w:color w:val="auto"/>
        </w:rPr>
      </w:pPr>
    </w:p>
    <w:p>
      <w:pPr>
        <w:jc w:val="both"/>
        <w:ind w:firstLine="8"/>
        <w:spacing w:after="0" w:line="258" w:lineRule="auto"/>
        <w:tabs>
          <w:tab w:leader="none" w:pos="901"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DEDUCTION CHANGES. Except as may be determined by the Administrator in advance of an Offering, an employee may not increase or decrease his payroll deduction during any Offering, but may increase or decrease his payroll deduction with respect to the next Offering (subject to the limitations of Section 5) by filing a new enrollment form at least 15 business days before the next Offering Date (or by such other deadline as shall be established for the Offering). The Administrator may, in advance of any Offering, establish rules permitting an employee to increase, decrease or terminate his payroll deduction during an Offering.</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both"/>
        <w:ind w:firstLine="8"/>
        <w:spacing w:after="0" w:line="258" w:lineRule="auto"/>
        <w:tabs>
          <w:tab w:leader="none" w:pos="9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An employee may withdraw from participation in the Plan by delivering a written notice of withdrawal to his appropriate payroll location. The employee’s withdrawal will be effective as of the next business day. Following an employee’s withdrawal, the Company will promptly refund to him his entire account balance under the Plan (after payment for any Common Stock purchased before the effective date of withdrawal). Partial withdrawals are not permitted. The employee may not begin participation again during the remainder of the Offering, but may enroll in a subsequent Offering in accordance with Section 4.</w:t>
      </w:r>
    </w:p>
    <w:p>
      <w:pPr>
        <w:spacing w:after="0" w:line="183" w:lineRule="exact"/>
        <w:rPr>
          <w:rFonts w:ascii="Times New Roman" w:cs="Times New Roman" w:eastAsia="Times New Roman" w:hAnsi="Times New Roman"/>
          <w:sz w:val="18"/>
          <w:szCs w:val="18"/>
          <w:color w:val="auto"/>
        </w:rPr>
      </w:pPr>
    </w:p>
    <w:p>
      <w:pPr>
        <w:jc w:val="both"/>
        <w:ind w:firstLine="8"/>
        <w:spacing w:after="0" w:line="256" w:lineRule="auto"/>
        <w:tabs>
          <w:tab w:leader="none" w:pos="73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 OF OPTIONS. On each Offering Date, the Company will grant to each eligible employee who is then a participant in the Plan an option (“Option”) to purchase on the last day of such Offering (the “Exercise Date”), at the Option Price hereinafter provided for, (a) a number of shares of Common Stock, which number shall not exceed the number of whole shares which is less than or equal to $12,500 divided by the closing price per share of Common Stock on the Offering Date, or (b) such other lesser maximum number of shares as shall have been established by the Administrator in advance of the Offering. The purchase price for each share purchased under each Option (the “Option Price”) will be 85% of the Fair Market Value of the Common Stock on the Offering Date or the Exercise Date, whichever is less.</w:t>
      </w:r>
    </w:p>
    <w:p>
      <w:pPr>
        <w:spacing w:after="0" w:line="187" w:lineRule="exact"/>
        <w:rPr>
          <w:sz w:val="20"/>
          <w:szCs w:val="20"/>
          <w:color w:val="auto"/>
        </w:rPr>
      </w:pPr>
    </w:p>
    <w:p>
      <w:pPr>
        <w:jc w:val="both"/>
        <w:ind w:firstLine="292"/>
        <w:spacing w:after="0" w:line="254" w:lineRule="auto"/>
        <w:rPr>
          <w:sz w:val="20"/>
          <w:szCs w:val="20"/>
          <w:color w:val="auto"/>
        </w:rPr>
      </w:pPr>
      <w:r>
        <w:rPr>
          <w:rFonts w:ascii="Times New Roman" w:cs="Times New Roman" w:eastAsia="Times New Roman" w:hAnsi="Times New Roman"/>
          <w:sz w:val="18"/>
          <w:szCs w:val="18"/>
          <w:color w:val="auto"/>
        </w:rPr>
        <w:t>Notwithstanding the foregoing, no employee may be granted an option hereunder if such employee, immediately after the option was granted, would be treated as owning stock, possessing five percent (5%) or more of the total combined voting power or value of all classes of stock of the Company or any Parent or Subsidiary (as defined in Section 11). For purposes of the preceding sentence, the attribution rules of Section 424(d) of the Code shall apply in determining the stock ownership of an employee, and all stock which the employee has a contractual right to purchase shall be treated as stock owned by the employee. In addition, no employee may be granted an Option which permits his rights to purchase stock under the Plan, and any other employee stock purchase plan of the Company and its Parents and Subsidiaries, to accrue at a rate which exceeds $25,000 of the fair market value of such stock (determined on the option grant date or dates) for each calendar year in which the Option is outstanding at any time. The purpose of the limitation in the preceding sentence is to comply with Section 423(b)(8) of the Code.</w:t>
      </w:r>
    </w:p>
    <w:p>
      <w:pPr>
        <w:spacing w:after="0" w:line="192" w:lineRule="exact"/>
        <w:rPr>
          <w:sz w:val="20"/>
          <w:szCs w:val="20"/>
          <w:color w:val="auto"/>
        </w:rPr>
      </w:pPr>
    </w:p>
    <w:p>
      <w:pPr>
        <w:jc w:val="both"/>
        <w:ind w:firstLine="8"/>
        <w:spacing w:after="0" w:line="256" w:lineRule="auto"/>
        <w:tabs>
          <w:tab w:leader="none" w:pos="8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OF OPTION AND PURCHASE OF SHARES. Each employee who continues to be a participant in the Plan on the Exercise Date shall be deemed to have exercised his Option on such date and shall acquire from the Company such number of whole shares of Common Stock reserved for the purpose of the Plan as his accumulated payroll deductions on such date will purchase at the Option Price, subject to any other limitations contained in the Plan. Any amount remaining in an employee’s account at the end of an Offering solely by reason of the inability to purchase a fractional share will be carried forward to the next Offering; any other balance remaining in an employee’s account at the end of an Offering will be refunded to the employee promptly.</w:t>
      </w:r>
    </w:p>
    <w:p>
      <w:pPr>
        <w:spacing w:after="0" w:line="187" w:lineRule="exact"/>
        <w:rPr>
          <w:rFonts w:ascii="Times New Roman" w:cs="Times New Roman" w:eastAsia="Times New Roman" w:hAnsi="Times New Roman"/>
          <w:sz w:val="18"/>
          <w:szCs w:val="18"/>
          <w:color w:val="auto"/>
        </w:rPr>
      </w:pPr>
    </w:p>
    <w:p>
      <w:pPr>
        <w:jc w:val="both"/>
        <w:ind w:firstLine="8"/>
        <w:spacing w:after="0" w:line="266" w:lineRule="auto"/>
        <w:tabs>
          <w:tab w:leader="none" w:pos="85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CERTIFICATES. Certificates representing shares of Common Stock purchased under the Plan may be issued only in the name of the employee, in the name of the employee and another person of legal age as joint tenants with rights of survivorship, or in the name of a broker authorized by the employee to be his, or their, nominee for such purpose.</w:t>
      </w:r>
    </w:p>
    <w:p>
      <w:pPr>
        <w:spacing w:after="0" w:line="175" w:lineRule="exact"/>
        <w:rPr>
          <w:rFonts w:ascii="Times New Roman" w:cs="Times New Roman" w:eastAsia="Times New Roman" w:hAnsi="Times New Roman"/>
          <w:sz w:val="18"/>
          <w:szCs w:val="18"/>
          <w:color w:val="auto"/>
        </w:rPr>
      </w:pPr>
    </w:p>
    <w:p>
      <w:pPr>
        <w:ind w:left="820" w:hanging="812"/>
        <w:spacing w:after="0"/>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 xml:space="preserve">The term “Compensation” means the amount of an employee’s base pay from the Company prior to any reduction for deferrals made under either Code Section 125 or 401(k), </w:t>
      </w:r>
      <w:r>
        <w:rPr>
          <w:rFonts w:ascii="Times New Roman" w:cs="Times New Roman" w:eastAsia="Times New Roman" w:hAnsi="Times New Roman"/>
          <w:sz w:val="18"/>
          <w:szCs w:val="18"/>
          <w:u w:val="single" w:color="auto"/>
          <w:color w:val="auto"/>
        </w:rPr>
        <w:t>including</w:t>
      </w:r>
      <w:r>
        <w:rPr>
          <w:rFonts w:ascii="Times New Roman" w:cs="Times New Roman" w:eastAsia="Times New Roman" w:hAnsi="Times New Roman"/>
          <w:sz w:val="18"/>
          <w:szCs w:val="18"/>
          <w:color w:val="auto"/>
        </w:rPr>
        <w:t xml:space="preserve"> commissions, but </w:t>
      </w:r>
      <w:r>
        <w:rPr>
          <w:rFonts w:ascii="Times New Roman" w:cs="Times New Roman" w:eastAsia="Times New Roman" w:hAnsi="Times New Roman"/>
          <w:sz w:val="18"/>
          <w:szCs w:val="18"/>
          <w:u w:val="single" w:color="auto"/>
          <w:color w:val="auto"/>
        </w:rPr>
        <w:t>excluding</w:t>
      </w:r>
      <w:r>
        <w:rPr>
          <w:rFonts w:ascii="Times New Roman" w:cs="Times New Roman" w:eastAsia="Times New Roman" w:hAnsi="Times New Roman"/>
          <w:sz w:val="18"/>
          <w:szCs w:val="18"/>
          <w:color w:val="auto"/>
        </w:rPr>
        <w:t xml:space="preserve"> overtime, incentive or bonus awards, allowances and reimbursements for expenses such as relocation allowances or travel expenses, income or gains on the exercise of Company stock options, and similar extraordinary items.</w:t>
      </w:r>
    </w:p>
    <w:p>
      <w:pPr>
        <w:spacing w:after="0" w:line="176" w:lineRule="exact"/>
        <w:rPr>
          <w:sz w:val="20"/>
          <w:szCs w:val="20"/>
          <w:color w:val="auto"/>
        </w:rPr>
      </w:pPr>
    </w:p>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The term “Designated Subsidiary” means any present or future Subsidiary (as defined below) that has been designated by the Board to participate in the Plan. The Board may so designate any Subsidiary, or revoke any such designation, at any time and from time to time, either before or after the Plan is approved by the stockholders.</w:t>
      </w:r>
    </w:p>
    <w:p>
      <w:pPr>
        <w:spacing w:after="0" w:line="176" w:lineRule="exact"/>
        <w:rPr>
          <w:sz w:val="20"/>
          <w:szCs w:val="20"/>
          <w:color w:val="auto"/>
        </w:rPr>
      </w:pPr>
    </w:p>
    <w:p>
      <w:pPr>
        <w:jc w:val="both"/>
        <w:ind w:firstLine="292"/>
        <w:spacing w:after="0" w:line="258" w:lineRule="auto"/>
        <w:rPr>
          <w:sz w:val="20"/>
          <w:szCs w:val="20"/>
          <w:color w:val="auto"/>
        </w:rPr>
      </w:pPr>
      <w:r>
        <w:rPr>
          <w:rFonts w:ascii="Times New Roman" w:cs="Times New Roman" w:eastAsia="Times New Roman" w:hAnsi="Times New Roman"/>
          <w:sz w:val="18"/>
          <w:szCs w:val="18"/>
          <w:color w:val="auto"/>
        </w:rPr>
        <w:t>The term “Fair Market Value of the Common Stock” on any given date means the fair market value of the Common Stock determined in good faith by the Administrator; PROVIDED, HOWEVER, that if the Common Stock is admitted to quotation on the National Association of Securities Dealers Automated Quotation System (“Nasdaq”), Nasdaq National System or national securities exchange, the determination shall be made by reference to market quotations. If there are no market quotations for such date, the determination shall be made by reference to the last date preceding such date for which there are market quotations.</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6" w:name="page7"/>
    <w:bookmarkEnd w:id="6"/>
    <w:p>
      <w:pPr>
        <w:jc w:val="both"/>
        <w:ind w:firstLine="292"/>
        <w:spacing w:after="0" w:line="266" w:lineRule="auto"/>
        <w:rPr>
          <w:sz w:val="20"/>
          <w:szCs w:val="20"/>
          <w:color w:val="auto"/>
        </w:rPr>
      </w:pPr>
      <w:r>
        <w:rPr>
          <w:rFonts w:ascii="Times New Roman" w:cs="Times New Roman" w:eastAsia="Times New Roman" w:hAnsi="Times New Roman"/>
          <w:sz w:val="18"/>
          <w:szCs w:val="18"/>
          <w:color w:val="auto"/>
        </w:rPr>
        <w:t>The term “Initial Public Offering” means the consummation of the first fully underwritten, firm commitment public offering pursuant to an effective registration statement under the Securities Act of 1933, as amended, other than on Forms S-4 or S-8 or their then equivalents, covering the offer and sale by the Company of its Common Stock.</w:t>
      </w:r>
    </w:p>
    <w:p>
      <w:pPr>
        <w:spacing w:after="0" w:line="1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term “Parent” means a “parent corporation” with respect to the Company, as defined in Section 424(e) of the Code.</w:t>
      </w:r>
    </w:p>
    <w:p>
      <w:pPr>
        <w:spacing w:after="0" w:line="22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term “Subsidiary” means a “subsidiary corporation” with respect to the Company, as defined in Section 424(f) of the Code.</w:t>
      </w:r>
    </w:p>
    <w:p>
      <w:pPr>
        <w:spacing w:after="0" w:line="225" w:lineRule="exact"/>
        <w:rPr>
          <w:sz w:val="20"/>
          <w:szCs w:val="20"/>
          <w:color w:val="auto"/>
        </w:rPr>
      </w:pPr>
    </w:p>
    <w:p>
      <w:pPr>
        <w:jc w:val="both"/>
        <w:ind w:firstLine="8"/>
        <w:spacing w:after="0" w:line="258" w:lineRule="auto"/>
        <w:tabs>
          <w:tab w:leader="none" w:pos="91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ON TERMINATION OF EMPLOYMENT. If a participating employee’s employment terminates for any reason before the Exercise Date for any Offering, no payroll deduction will be taken from any pay due and owing to the employee and the balance in his account will be paid to him or, in the case of his death, to his designated beneficiary as if he had withdrawn from the Plan under Section 7. An employee will be deemed to have terminated employment, for this purpose, if the corporation that employs him, having been a Designated Subsidiary, ceases to be a Subsidiary, or if the employee is transferred to any corporation other than the Company or a Designated Subsidiary.</w:t>
      </w:r>
    </w:p>
    <w:p>
      <w:pPr>
        <w:spacing w:after="0" w:line="183" w:lineRule="exact"/>
        <w:rPr>
          <w:rFonts w:ascii="Times New Roman" w:cs="Times New Roman" w:eastAsia="Times New Roman" w:hAnsi="Times New Roman"/>
          <w:sz w:val="18"/>
          <w:szCs w:val="18"/>
          <w:color w:val="auto"/>
        </w:rPr>
      </w:pPr>
    </w:p>
    <w:p>
      <w:pPr>
        <w:jc w:val="both"/>
        <w:ind w:firstLine="8"/>
        <w:spacing w:after="0" w:line="255" w:lineRule="auto"/>
        <w:tabs>
          <w:tab w:leader="none" w:pos="83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RULES. Notwithstanding anything herein to the contrary, the Administrator may adopt special rules applicable to the employees of a particular Designated Subsidiary, whenever the Administrator determines that such rules are necessary or appropriate for the implementation of the Plan in a jurisdiction where such Designated Subsidiary has employees; provided that such rules are consistent with the requirements of Section 423(b) of the Code. Such special rules may include (by way of example, but not by way of limitation) the establishment of a method for employees of a given Designated Subsidiary to fund the purchase of shares other than by payroll deduction, if the payroll deduction method is prohibited by local law or is otherwise impracticable. Any special rules established pursuant to this Section 13 shall, to the extent possible, result in the employees subject to such rules having substantially the same rights as other participants in the Plan.</w:t>
      </w:r>
    </w:p>
    <w:p>
      <w:pPr>
        <w:spacing w:after="0" w:line="188" w:lineRule="exact"/>
        <w:rPr>
          <w:rFonts w:ascii="Times New Roman" w:cs="Times New Roman" w:eastAsia="Times New Roman" w:hAnsi="Times New Roman"/>
          <w:sz w:val="18"/>
          <w:szCs w:val="18"/>
          <w:color w:val="auto"/>
        </w:rPr>
      </w:pPr>
    </w:p>
    <w:p>
      <w:pPr>
        <w:ind w:firstLine="8"/>
        <w:spacing w:after="0" w:line="282" w:lineRule="auto"/>
        <w:tabs>
          <w:tab w:leader="none" w:pos="84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OPTIONEES NOT STOCKHOLDERS. Neither the granting of an Option to an employee nor the deductions from his pay shall constitute such employee a holder of the shares of Common Stock covered by an Option under the Plan until such shares have been purchased by and issued to him.</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9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NOT TRANSFERABLE. Rights under the Plan are not transferable by a participating employee other than by will or the laws of descent and distribution, and are exercisable during the employee’s lifetime only by the employee.</w:t>
      </w:r>
    </w:p>
    <w:p>
      <w:pPr>
        <w:spacing w:after="0" w:line="161" w:lineRule="exact"/>
        <w:rPr>
          <w:rFonts w:ascii="Times New Roman" w:cs="Times New Roman" w:eastAsia="Times New Roman" w:hAnsi="Times New Roman"/>
          <w:sz w:val="18"/>
          <w:szCs w:val="18"/>
          <w:color w:val="auto"/>
        </w:rPr>
      </w:pPr>
    </w:p>
    <w:p>
      <w:pPr>
        <w:ind w:right="20" w:firstLine="8"/>
        <w:spacing w:after="0" w:line="282" w:lineRule="auto"/>
        <w:tabs>
          <w:tab w:leader="none" w:pos="85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FUNDS. All funds received or held by the Company under the Plan may be combined with other corporate funds and may be used for any corporate purpose.</w:t>
      </w:r>
    </w:p>
    <w:p>
      <w:pPr>
        <w:spacing w:after="0" w:line="161" w:lineRule="exact"/>
        <w:rPr>
          <w:rFonts w:ascii="Times New Roman" w:cs="Times New Roman" w:eastAsia="Times New Roman" w:hAnsi="Times New Roman"/>
          <w:sz w:val="18"/>
          <w:szCs w:val="18"/>
          <w:color w:val="auto"/>
        </w:rPr>
      </w:pPr>
    </w:p>
    <w:p>
      <w:pPr>
        <w:jc w:val="both"/>
        <w:ind w:firstLine="8"/>
        <w:spacing w:after="0" w:line="261" w:lineRule="auto"/>
        <w:tabs>
          <w:tab w:leader="none" w:pos="8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 IN CASE OF CHANGES AFFECTING COMMON STOCK. In the event of a subdivision of outstanding shares of Common Stock, or the payment of a dividend in Common Stock, the number of shares approved for the Plan, and the share limitation set forth in Section 8, shall be increased proportionately, and such other adjustments shall be made as may be deemed equitable by the Administrator. In the event of any other change affecting the Common Stock, such adjustment shall be made as may be deemed equitable by the Administrator to give proper effect to such event.</w:t>
      </w:r>
    </w:p>
    <w:p>
      <w:pPr>
        <w:spacing w:after="0" w:line="179" w:lineRule="exact"/>
        <w:rPr>
          <w:rFonts w:ascii="Times New Roman" w:cs="Times New Roman" w:eastAsia="Times New Roman" w:hAnsi="Times New Roman"/>
          <w:sz w:val="18"/>
          <w:szCs w:val="18"/>
          <w:color w:val="auto"/>
        </w:rPr>
      </w:pPr>
    </w:p>
    <w:p>
      <w:pPr>
        <w:jc w:val="both"/>
        <w:ind w:firstLine="8"/>
        <w:spacing w:after="0" w:line="261" w:lineRule="auto"/>
        <w:tabs>
          <w:tab w:leader="none" w:pos="9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 OF THE PLAN. The Board may at any time, and from time to time, amend the Plan in any respect, except that without the approval, within 12 months of such Board action, by the stockholders, no amendment shall be made increasing the number of shares approved for the Plan or making any other change that would require stockholder approval in order for the Plan, as amended, to qualify as an “employee stock purchase plan” under Section 423(b) of the Code.</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7" w:name="page8"/>
    <w:bookmarkEnd w:id="7"/>
    <w:p>
      <w:pPr>
        <w:jc w:val="both"/>
        <w:ind w:firstLine="8"/>
        <w:spacing w:after="0" w:line="261" w:lineRule="auto"/>
        <w:tabs>
          <w:tab w:leader="none" w:pos="90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SHARES. If the total number of shares of Common Stock that would otherwise be purchased on any Exercise Date plus the number of shares purchased under previous Offerings under the Plan exceeds the maximum number of shares issuable under the Plan, the shares then available shall be apportioned among participants in proportion to the amount of payroll deductions accumulated on behalf of each participant that would otherwise be used to purchase Common Stock on such Exercise Date.</w:t>
      </w:r>
    </w:p>
    <w:p>
      <w:pPr>
        <w:spacing w:after="0" w:line="179" w:lineRule="exact"/>
        <w:rPr>
          <w:rFonts w:ascii="Times New Roman" w:cs="Times New Roman" w:eastAsia="Times New Roman" w:hAnsi="Times New Roman"/>
          <w:sz w:val="18"/>
          <w:szCs w:val="18"/>
          <w:color w:val="auto"/>
        </w:rPr>
      </w:pPr>
    </w:p>
    <w:p>
      <w:pPr>
        <w:ind w:firstLine="8"/>
        <w:spacing w:after="0" w:line="282" w:lineRule="auto"/>
        <w:tabs>
          <w:tab w:leader="none" w:pos="99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 OF THE PLAN. The Plan may be terminated at any time by the Board. Upon termination of the Plan, all amounts in the accounts of participating employees shall be promptly refunded.</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8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REGULATIONS. The Company’s obligation to sell and deliver Common Stock under the Plan is subject to obtaining all governmental approvals required in connection with the authorization, issuance, or sale of such stock.</w:t>
      </w:r>
    </w:p>
    <w:p>
      <w:pPr>
        <w:spacing w:after="0" w:line="16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Plan shall be governed by Delaware law except to the extent that such law is preempted by federal law.</w:t>
      </w:r>
    </w:p>
    <w:p>
      <w:pPr>
        <w:spacing w:after="0" w:line="225" w:lineRule="exact"/>
        <w:rPr>
          <w:sz w:val="20"/>
          <w:szCs w:val="20"/>
          <w:color w:val="auto"/>
        </w:rPr>
      </w:pPr>
    </w:p>
    <w:p>
      <w:pPr>
        <w:ind w:right="120" w:firstLine="8"/>
        <w:spacing w:after="0" w:line="282" w:lineRule="auto"/>
        <w:tabs>
          <w:tab w:leader="none" w:pos="81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SHARES. Shares may be issued upon exercise of an Option from authorized but unissued Common Stock, from shares held in the treasury of the Company, or from any other proper source.</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8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WITHHOLDING. Participation in the Plan is subject to any minimum required tax withholding on income of the participant in connection with the Plan. Each employee agrees, by entering the Plan, that the Company and its Subsidiaries shall have the right to deduct any such taxes from any payment of any kind otherwise due to the employee, including shares issuable under the Plan.</w:t>
      </w:r>
    </w:p>
    <w:p>
      <w:pPr>
        <w:spacing w:after="0" w:line="175" w:lineRule="exact"/>
        <w:rPr>
          <w:rFonts w:ascii="Times New Roman" w:cs="Times New Roman" w:eastAsia="Times New Roman" w:hAnsi="Times New Roman"/>
          <w:sz w:val="18"/>
          <w:szCs w:val="18"/>
          <w:color w:val="auto"/>
        </w:rPr>
      </w:pPr>
    </w:p>
    <w:p>
      <w:pPr>
        <w:jc w:val="both"/>
        <w:ind w:firstLine="8"/>
        <w:spacing w:after="0" w:line="266" w:lineRule="auto"/>
        <w:tabs>
          <w:tab w:leader="none" w:pos="1117"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NOTIFICATION UPON SALE OF SHARES. Each employee agrees, by entering the Plan, to give the Company prompt notice of any disposition of shares purchased under the Plan where such disposition occurs within two years after the date of grant of the Option pursuant to which such shares were purchased.</w:t>
      </w:r>
    </w:p>
    <w:p>
      <w:pPr>
        <w:spacing w:after="0" w:line="175" w:lineRule="exact"/>
        <w:rPr>
          <w:rFonts w:ascii="Times New Roman" w:cs="Times New Roman" w:eastAsia="Times New Roman" w:hAnsi="Times New Roman"/>
          <w:sz w:val="18"/>
          <w:szCs w:val="18"/>
          <w:color w:val="auto"/>
        </w:rPr>
      </w:pPr>
    </w:p>
    <w:p>
      <w:pPr>
        <w:jc w:val="both"/>
        <w:ind w:right="20" w:firstLine="8"/>
        <w:spacing w:after="0" w:line="266" w:lineRule="auto"/>
        <w:tabs>
          <w:tab w:leader="none" w:pos="1032"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DATE AND APPROVAL OF SHAREHOLDERS. The Plan shall take effect on the first day of the Company’s Initial Public Offering, subject to approval by the holders of a majority of the votes cast at a meeting of stockholders at which a quorum is present or by written consent of the stockholders.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AMENDMENT NO. 1 TO PLAN APPROVED BY BOARD OF DIRECTORS: AUGUST 2, 2011.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AMENDMENT NO. 2 TO PLAN APPROVED BY BOARD OF DIRECTORS: FEBRUARY 26,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AMENDMENT NO. 2 TO PLAN APPROVED BY STOCKHOLDERS: MAY 23, 2013.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AMENDMENT NO. 3 TO PLAN APPROVED BY BOARD OF DIRECTORS: MARCH 31,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AMENDMENT NO. 3 TO PLAN APPROVED BY STOCKHOLDERS: MAY 18,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AMENDMENT NO. 4 TO PLAN APPROVED BY BOARD OF DIRECTORS: FEBRUARY 26,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AMENDMENT NO. 4 TO PLAN APPROVED BY STOCKHOLDERS: MAY 16, 2019.</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AMENDMENT NO. 5 TO PLAN APPROVED BY BOARD OF DIRECTORS: APRIL 3,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AMENDMENT NO. 5 TO PLAN APPROVED BY STOCKHOLDERS: MAY 17,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DATE AMENDMENT NO. 6 TO PLAN APPROVED BY BOARD OF DIRECTORS: MARCH 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0000"/>
        </w:rPr>
        <w:t>DATE AMENDMENT NO. 6 TO PLAN APPROVED BY STOCKHOLDERS: JUNE 2, 2026.</w:t>
      </w:r>
    </w:p>
    <w:p>
      <w:pPr>
        <w:spacing w:after="0" w:line="200" w:lineRule="exact"/>
        <w:rPr>
          <w:sz w:val="20"/>
          <w:szCs w:val="20"/>
          <w:color w:val="auto"/>
        </w:rPr>
      </w:pPr>
    </w:p>
    <w:p>
      <w:pPr>
        <w:spacing w:after="0" w:line="2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132320" cy="431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r>
    </w:p>
    <w:sectPr>
      <w:pgSz w:w="11900" w:h="16838" w:orient="portrait"/>
      <w:cols w:equalWidth="0" w:num="1">
        <w:col w:w="11240"/>
      </w:cols>
      <w:pgMar w:left="320" w:top="58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7"/>
    </w:lvl>
  </w:abstractNum>
  <w:abstractNum w:abstractNumId="4">
    <w:nsid w:val="2EB141F2"/>
    <w:multiLevelType w:val="hybridMultilevel"/>
    <w:lvl w:ilvl="0">
      <w:lvlJc w:val="left"/>
      <w:lvlText w:val="%1."/>
      <w:numFmt w:val="decimal"/>
      <w:start w:val="9"/>
    </w:lvl>
  </w:abstractNum>
  <w:abstractNum w:abstractNumId="5">
    <w:nsid w:val="41B71EFB"/>
    <w:multiLevelType w:val="hybridMultilevel"/>
    <w:lvl w:ilvl="0">
      <w:lvlJc w:val="left"/>
      <w:lvlText w:val="%1."/>
      <w:numFmt w:val="decimal"/>
      <w:start w:val="12"/>
    </w:lvl>
  </w:abstractNum>
  <w:abstractNum w:abstractNumId="6">
    <w:nsid w:val="79E2A9E3"/>
    <w:multiLevelType w:val="hybridMultilevel"/>
    <w:lvl w:ilvl="0">
      <w:lvlJc w:val="left"/>
      <w:lvlText w:val="%1."/>
      <w:numFmt w:val="decimal"/>
      <w:start w:val="19"/>
    </w:lvl>
  </w:abstractNum>
  <w:abstractNum w:abstractNumId="7">
    <w:nsid w:val="7545E146"/>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0" Type="http://schemas.openxmlformats.org/officeDocument/2006/relationships/hyperlink" Target="https://www.sec.gov/ix?doc=/Archives/edgar/data/1123494/000117184326002617/hbio20260420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2026-06-02T15:04:47Z</dcterms:created>
  <dcterms:modified xsi:type="dcterms:W3CDTF">2026-06-02T15:04:47Z</dcterms:modified>
</cp:coreProperties>
</file>