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 WASHINGTON, DC 20549</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04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4076700</wp:posOffset>
            </wp:positionH>
            <wp:positionV relativeFrom="paragraph">
              <wp:posOffset>-5080</wp:posOffset>
            </wp:positionV>
            <wp:extent cx="4946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142875</wp:posOffset>
            </wp:positionV>
            <wp:extent cx="2322830" cy="711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2830"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68" w:right="339" w:bottom="1440" w:gutter="0" w:footer="0" w:header="0"/>
        </w:sectPr>
      </w:pPr>
    </w:p>
    <w:p>
      <w:pPr>
        <w:spacing w:after="0" w:line="203"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04-3306140</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260" w:space="720"/>
            <w:col w:w="4260"/>
          </w:cols>
          <w:pgMar w:left="320" w:top="46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 October Hill Road, Holliston, Massachusetts 01746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(508) 893-8999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r>
              <w:rPr>
                <w:rFonts w:ascii="Times New Roman" w:cs="Times New Roman" w:eastAsia="Times New Roman" w:hAnsi="Times New Roman"/>
                <w:sz w:val="18"/>
                <w:szCs w:val="18"/>
                <w:color w:val="auto"/>
              </w:rPr>
              <w:t>:</w:t>
            </w:r>
          </w:p>
        </w:tc>
        <w:tc>
          <w:tcPr>
            <w:tcW w:w="224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33"/>
        </w:trPr>
        <w:tc>
          <w:tcPr>
            <w:tcW w:w="4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p>
        </w:tc>
      </w:tr>
      <w:tr>
        <w:trPr>
          <w:trHeight w:val="210"/>
        </w:trPr>
        <w:tc>
          <w:tcPr>
            <w:tcW w:w="432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43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43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340" w:type="dxa"/>
            <w:vAlign w:val="bottom"/>
            <w:tcBorders>
              <w:bottom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jc w:val="center"/>
              <w:ind w:right="270"/>
              <w:spacing w:after="0" w:line="193" w:lineRule="exact"/>
              <w:rPr>
                <w:sz w:val="20"/>
                <w:szCs w:val="20"/>
                <w:color w:val="auto"/>
              </w:rPr>
            </w:pPr>
            <w:r>
              <w:rPr>
                <w:rFonts w:ascii="Times New Roman" w:cs="Times New Roman" w:eastAsia="Times New Roman" w:hAnsi="Times New Roman"/>
                <w:sz w:val="18"/>
                <w:szCs w:val="18"/>
                <w:color w:val="auto"/>
                <w:w w:val="99"/>
              </w:rPr>
              <w:t>HBIO</w:t>
            </w:r>
          </w:p>
        </w:tc>
        <w:tc>
          <w:tcPr>
            <w:tcW w:w="4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68" w:right="339" w:bottom="1440" w:gutter="0" w:footer="0" w:header="0"/>
          <w:type w:val="continuous"/>
        </w:sectPr>
      </w:pPr>
    </w:p>
    <w:p>
      <w:pPr>
        <w:spacing w:after="0" w:line="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31, 2024, there were 43,610,883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696"/>
        </w:trPr>
        <w:tc>
          <w:tcPr>
            <w:tcW w:w="6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2"/>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2"/>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gridSpan w:val="5"/>
          </w:tcPr>
          <w:p>
            <w:pPr>
              <w:ind w:left="17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PART I - FINANCIAL INFORMATION</w:t>
            </w:r>
          </w:p>
        </w:tc>
        <w:tc>
          <w:tcPr>
            <w:tcW w:w="2000" w:type="dxa"/>
            <w:vAlign w:val="bottom"/>
            <w:gridSpan w:val="4"/>
          </w:tcPr>
          <w:p>
            <w:pPr>
              <w:jc w:val="center"/>
              <w:ind w:left="1730"/>
              <w:spacing w:after="0"/>
              <w:rPr>
                <w:sz w:val="20"/>
                <w:szCs w:val="20"/>
                <w:color w:val="auto"/>
              </w:rPr>
            </w:pPr>
            <w:r>
              <w:rPr>
                <w:rFonts w:ascii="Times New Roman" w:cs="Times New Roman" w:eastAsia="Times New Roman" w:hAnsi="Times New Roman"/>
                <w:sz w:val="18"/>
                <w:szCs w:val="18"/>
                <w:color w:val="0000EE"/>
              </w:rPr>
              <w:t>1</w:t>
            </w:r>
          </w:p>
        </w:tc>
        <w:tc>
          <w:tcPr>
            <w:tcW w:w="300" w:type="dxa"/>
            <w:vAlign w:val="bottom"/>
          </w:tcPr>
          <w:p>
            <w:pPr>
              <w:spacing w:after="0"/>
              <w:rPr>
                <w:sz w:val="24"/>
                <w:szCs w:val="24"/>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49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Item 1.  Condensed Consolidated Financial Statements (unaudited)</w:t>
            </w:r>
          </w:p>
        </w:tc>
        <w:tc>
          <w:tcPr>
            <w:tcW w:w="4020" w:type="dxa"/>
            <w:vAlign w:val="bottom"/>
            <w:gridSpan w:val="5"/>
          </w:tcPr>
          <w:p>
            <w:pPr>
              <w:spacing w:after="0"/>
              <w:rPr>
                <w:sz w:val="24"/>
                <w:szCs w:val="24"/>
                <w:color w:val="auto"/>
              </w:rPr>
            </w:pPr>
          </w:p>
        </w:tc>
        <w:tc>
          <w:tcPr>
            <w:tcW w:w="186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2000" w:type="dxa"/>
            <w:vAlign w:val="bottom"/>
            <w:gridSpan w:val="4"/>
          </w:tcPr>
          <w:p>
            <w:pPr>
              <w:jc w:val="center"/>
              <w:ind w:left="1730"/>
              <w:spacing w:after="0"/>
              <w:rPr>
                <w:sz w:val="20"/>
                <w:szCs w:val="20"/>
                <w:color w:val="auto"/>
              </w:rPr>
            </w:pPr>
            <w:r>
              <w:rPr>
                <w:rFonts w:ascii="Times New Roman" w:cs="Times New Roman" w:eastAsia="Times New Roman" w:hAnsi="Times New Roman"/>
                <w:sz w:val="18"/>
                <w:szCs w:val="18"/>
                <w:color w:val="0000EE"/>
              </w:rPr>
              <w:t>1</w:t>
            </w:r>
          </w:p>
        </w:tc>
        <w:tc>
          <w:tcPr>
            <w:tcW w:w="30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5300" w:type="dxa"/>
            <w:vAlign w:val="bottom"/>
            <w:gridSpan w:val="9"/>
          </w:tcPr>
          <w:p>
            <w:pPr>
              <w:spacing w:after="0"/>
              <w:rPr>
                <w:sz w:val="24"/>
                <w:szCs w:val="24"/>
                <w:color w:val="auto"/>
              </w:rPr>
            </w:pPr>
          </w:p>
        </w:tc>
        <w:tc>
          <w:tcPr>
            <w:tcW w:w="186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(Loss)</w:t>
            </w:r>
          </w:p>
        </w:tc>
        <w:tc>
          <w:tcPr>
            <w:tcW w:w="2000" w:type="dxa"/>
            <w:vAlign w:val="bottom"/>
            <w:gridSpan w:val="4"/>
          </w:tcPr>
          <w:p>
            <w:pPr>
              <w:jc w:val="center"/>
              <w:ind w:left="1730"/>
              <w:spacing w:after="0"/>
              <w:rPr>
                <w:sz w:val="20"/>
                <w:szCs w:val="20"/>
                <w:color w:val="auto"/>
              </w:rPr>
            </w:pPr>
            <w:r>
              <w:rPr>
                <w:rFonts w:ascii="Times New Roman" w:cs="Times New Roman" w:eastAsia="Times New Roman" w:hAnsi="Times New Roman"/>
                <w:sz w:val="18"/>
                <w:szCs w:val="18"/>
                <w:color w:val="0000EE"/>
              </w:rPr>
              <w:t>3</w:t>
            </w:r>
          </w:p>
        </w:tc>
        <w:tc>
          <w:tcPr>
            <w:tcW w:w="300" w:type="dxa"/>
            <w:vAlign w:val="bottom"/>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720" w:type="dxa"/>
            <w:vAlign w:val="bottom"/>
            <w:tcBorders>
              <w:top w:val="single" w:sz="8" w:color="0000EE"/>
            </w:tcBorders>
            <w:gridSpan w:val="4"/>
          </w:tcPr>
          <w:p>
            <w:pPr>
              <w:spacing w:after="0"/>
              <w:rPr>
                <w:sz w:val="24"/>
                <w:szCs w:val="24"/>
                <w:color w:val="auto"/>
              </w:rPr>
            </w:pPr>
          </w:p>
        </w:tc>
        <w:tc>
          <w:tcPr>
            <w:tcW w:w="3880" w:type="dxa"/>
            <w:vAlign w:val="bottom"/>
            <w:gridSpan w:val="3"/>
          </w:tcPr>
          <w:p>
            <w:pPr>
              <w:spacing w:after="0"/>
              <w:rPr>
                <w:sz w:val="24"/>
                <w:szCs w:val="24"/>
                <w:color w:val="auto"/>
              </w:rPr>
            </w:pPr>
          </w:p>
        </w:tc>
        <w:tc>
          <w:tcPr>
            <w:tcW w:w="18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4</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2000" w:type="dxa"/>
            <w:vAlign w:val="bottom"/>
            <w:gridSpan w:val="4"/>
          </w:tcPr>
          <w:p>
            <w:pPr>
              <w:jc w:val="center"/>
              <w:ind w:left="1730"/>
              <w:spacing w:after="0"/>
              <w:rPr>
                <w:sz w:val="20"/>
                <w:szCs w:val="20"/>
                <w:color w:val="auto"/>
              </w:rPr>
            </w:pPr>
            <w:r>
              <w:rPr>
                <w:rFonts w:ascii="Times New Roman" w:cs="Times New Roman" w:eastAsia="Times New Roman" w:hAnsi="Times New Roman"/>
                <w:sz w:val="18"/>
                <w:szCs w:val="18"/>
                <w:color w:val="0000EE"/>
              </w:rPr>
              <w:t>5</w:t>
            </w:r>
          </w:p>
        </w:tc>
        <w:tc>
          <w:tcPr>
            <w:tcW w:w="30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2000" w:type="dxa"/>
            <w:vAlign w:val="bottom"/>
            <w:gridSpan w:val="4"/>
          </w:tcPr>
          <w:p>
            <w:pPr>
              <w:jc w:val="center"/>
              <w:ind w:left="1730"/>
              <w:spacing w:after="0"/>
              <w:rPr>
                <w:sz w:val="20"/>
                <w:szCs w:val="20"/>
                <w:color w:val="auto"/>
              </w:rPr>
            </w:pPr>
            <w:r>
              <w:rPr>
                <w:rFonts w:ascii="Times New Roman" w:cs="Times New Roman" w:eastAsia="Times New Roman" w:hAnsi="Times New Roman"/>
                <w:sz w:val="18"/>
                <w:szCs w:val="18"/>
                <w:color w:val="0000EE"/>
              </w:rPr>
              <w:t>6</w:t>
            </w:r>
          </w:p>
        </w:tc>
        <w:tc>
          <w:tcPr>
            <w:tcW w:w="300" w:type="dxa"/>
            <w:vAlign w:val="bottom"/>
          </w:tcPr>
          <w:p>
            <w:pPr>
              <w:spacing w:after="0"/>
              <w:rPr>
                <w:sz w:val="24"/>
                <w:szCs w:val="24"/>
                <w:color w:val="auto"/>
              </w:rPr>
            </w:pPr>
          </w:p>
        </w:tc>
      </w:tr>
      <w:tr>
        <w:trPr>
          <w:trHeight w:val="20"/>
        </w:trPr>
        <w:tc>
          <w:tcPr>
            <w:tcW w:w="82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740" w:type="dxa"/>
            <w:vAlign w:val="bottom"/>
          </w:tcPr>
          <w:p>
            <w:pPr>
              <w:spacing w:after="0"/>
              <w:rPr>
                <w:sz w:val="24"/>
                <w:szCs w:val="24"/>
                <w:color w:val="auto"/>
              </w:rPr>
            </w:pPr>
          </w:p>
        </w:tc>
        <w:tc>
          <w:tcPr>
            <w:tcW w:w="2300" w:type="dxa"/>
            <w:vAlign w:val="bottom"/>
            <w:gridSpan w:val="5"/>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16</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740" w:type="dxa"/>
            <w:vAlign w:val="bottom"/>
          </w:tcPr>
          <w:p>
            <w:pPr>
              <w:spacing w:after="0"/>
              <w:rPr>
                <w:sz w:val="24"/>
                <w:szCs w:val="24"/>
                <w:color w:val="auto"/>
              </w:rPr>
            </w:pPr>
          </w:p>
        </w:tc>
        <w:tc>
          <w:tcPr>
            <w:tcW w:w="2300" w:type="dxa"/>
            <w:vAlign w:val="bottom"/>
            <w:gridSpan w:val="5"/>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21</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5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2520" w:type="dxa"/>
            <w:vAlign w:val="bottom"/>
            <w:gridSpan w:val="9"/>
          </w:tcPr>
          <w:p>
            <w:pPr>
              <w:spacing w:after="0"/>
              <w:rPr>
                <w:sz w:val="24"/>
                <w:szCs w:val="24"/>
                <w:color w:val="auto"/>
              </w:rPr>
            </w:pPr>
          </w:p>
        </w:tc>
        <w:tc>
          <w:tcPr>
            <w:tcW w:w="3900" w:type="dxa"/>
            <w:vAlign w:val="bottom"/>
            <w:gridSpan w:val="4"/>
          </w:tcPr>
          <w:p>
            <w:pPr>
              <w:spacing w:after="0"/>
              <w:rPr>
                <w:sz w:val="24"/>
                <w:szCs w:val="24"/>
                <w:color w:val="auto"/>
              </w:rPr>
            </w:pPr>
          </w:p>
        </w:tc>
        <w:tc>
          <w:tcPr>
            <w:tcW w:w="2300" w:type="dxa"/>
            <w:vAlign w:val="bottom"/>
            <w:gridSpan w:val="5"/>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21</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6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7"/>
              </w:rPr>
              <w:t>PART II - OTHER INFORMATION</w:t>
            </w:r>
          </w:p>
        </w:tc>
        <w:tc>
          <w:tcPr>
            <w:tcW w:w="6300" w:type="dxa"/>
            <w:vAlign w:val="bottom"/>
            <w:gridSpan w:val="12"/>
          </w:tcPr>
          <w:p>
            <w:pPr>
              <w:spacing w:after="0"/>
              <w:rPr>
                <w:sz w:val="24"/>
                <w:szCs w:val="24"/>
                <w:color w:val="auto"/>
              </w:rPr>
            </w:pPr>
          </w:p>
        </w:tc>
        <w:tc>
          <w:tcPr>
            <w:tcW w:w="2300" w:type="dxa"/>
            <w:vAlign w:val="bottom"/>
            <w:gridSpan w:val="5"/>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22</w:t>
            </w:r>
          </w:p>
        </w:tc>
      </w:tr>
      <w:tr>
        <w:trPr>
          <w:trHeight w:val="20"/>
        </w:trPr>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0000EE"/>
              </w:rPr>
              <w:t>Item 1.</w:t>
            </w:r>
          </w:p>
        </w:tc>
        <w:tc>
          <w:tcPr>
            <w:tcW w:w="13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580" w:type="dxa"/>
            <w:vAlign w:val="bottom"/>
            <w:gridSpan w:val="2"/>
          </w:tcPr>
          <w:p>
            <w:pPr>
              <w:spacing w:after="0"/>
              <w:rPr>
                <w:sz w:val="24"/>
                <w:szCs w:val="24"/>
                <w:color w:val="auto"/>
              </w:rPr>
            </w:pPr>
          </w:p>
        </w:tc>
        <w:tc>
          <w:tcPr>
            <w:tcW w:w="6300" w:type="dxa"/>
            <w:vAlign w:val="bottom"/>
            <w:gridSpan w:val="12"/>
          </w:tcPr>
          <w:p>
            <w:pPr>
              <w:spacing w:after="0"/>
              <w:rPr>
                <w:sz w:val="24"/>
                <w:szCs w:val="24"/>
                <w:color w:val="auto"/>
              </w:rPr>
            </w:pPr>
          </w:p>
        </w:tc>
        <w:tc>
          <w:tcPr>
            <w:tcW w:w="2300" w:type="dxa"/>
            <w:vAlign w:val="bottom"/>
            <w:gridSpan w:val="5"/>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22</w:t>
            </w:r>
          </w:p>
        </w:tc>
      </w:tr>
      <w:tr>
        <w:trPr>
          <w:trHeight w:val="20"/>
        </w:trPr>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0000EE"/>
              </w:rPr>
              <w:t>Item1A.</w:t>
            </w:r>
          </w:p>
        </w:tc>
        <w:tc>
          <w:tcPr>
            <w:tcW w:w="13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EE"/>
              </w:rPr>
              <w:t>Risk Factors</w:t>
            </w:r>
          </w:p>
        </w:tc>
        <w:tc>
          <w:tcPr>
            <w:tcW w:w="6880" w:type="dxa"/>
            <w:vAlign w:val="bottom"/>
            <w:gridSpan w:val="14"/>
          </w:tcPr>
          <w:p>
            <w:pPr>
              <w:spacing w:after="0"/>
              <w:rPr>
                <w:sz w:val="24"/>
                <w:szCs w:val="24"/>
                <w:color w:val="auto"/>
              </w:rPr>
            </w:pPr>
          </w:p>
        </w:tc>
        <w:tc>
          <w:tcPr>
            <w:tcW w:w="2300" w:type="dxa"/>
            <w:vAlign w:val="bottom"/>
            <w:gridSpan w:val="5"/>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22</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5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3800" w:type="dxa"/>
            <w:vAlign w:val="bottom"/>
            <w:gridSpan w:val="2"/>
          </w:tcPr>
          <w:p>
            <w:pPr>
              <w:spacing w:after="0"/>
              <w:rPr>
                <w:sz w:val="24"/>
                <w:szCs w:val="24"/>
                <w:color w:val="auto"/>
              </w:rPr>
            </w:pPr>
          </w:p>
        </w:tc>
        <w:tc>
          <w:tcPr>
            <w:tcW w:w="2300" w:type="dxa"/>
            <w:vAlign w:val="bottom"/>
            <w:gridSpan w:val="5"/>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22</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080" w:type="dxa"/>
            <w:vAlign w:val="bottom"/>
            <w:gridSpan w:val="8"/>
            <w:shd w:val="clear" w:color="auto" w:fill="0000EE"/>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5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3800" w:type="dxa"/>
            <w:vAlign w:val="bottom"/>
            <w:gridSpan w:val="2"/>
          </w:tcPr>
          <w:p>
            <w:pPr>
              <w:spacing w:after="0"/>
              <w:rPr>
                <w:sz w:val="24"/>
                <w:szCs w:val="24"/>
                <w:color w:val="auto"/>
              </w:rPr>
            </w:pPr>
          </w:p>
        </w:tc>
        <w:tc>
          <w:tcPr>
            <w:tcW w:w="2300" w:type="dxa"/>
            <w:vAlign w:val="bottom"/>
            <w:gridSpan w:val="5"/>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22</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5880" w:type="dxa"/>
            <w:vAlign w:val="bottom"/>
            <w:gridSpan w:val="1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5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gridSpan w:val="3"/>
          </w:tcPr>
          <w:p>
            <w:pPr>
              <w:spacing w:after="0"/>
              <w:rPr>
                <w:sz w:val="24"/>
                <w:szCs w:val="24"/>
                <w:color w:val="auto"/>
              </w:rPr>
            </w:pPr>
          </w:p>
        </w:tc>
        <w:tc>
          <w:tcPr>
            <w:tcW w:w="5880" w:type="dxa"/>
            <w:vAlign w:val="bottom"/>
            <w:gridSpan w:val="10"/>
          </w:tcPr>
          <w:p>
            <w:pPr>
              <w:spacing w:after="0"/>
              <w:rPr>
                <w:sz w:val="24"/>
                <w:szCs w:val="24"/>
                <w:color w:val="auto"/>
              </w:rPr>
            </w:pPr>
          </w:p>
        </w:tc>
        <w:tc>
          <w:tcPr>
            <w:tcW w:w="2300" w:type="dxa"/>
            <w:vAlign w:val="bottom"/>
            <w:gridSpan w:val="5"/>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22</w:t>
            </w:r>
          </w:p>
        </w:tc>
      </w:tr>
      <w:tr>
        <w:trPr>
          <w:trHeight w:val="20"/>
        </w:trPr>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42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0000EE"/>
              </w:rPr>
              <w:t>Item 5.</w:t>
            </w:r>
          </w:p>
        </w:tc>
        <w:tc>
          <w:tcPr>
            <w:tcW w:w="13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tcPr>
          <w:p>
            <w:pPr>
              <w:spacing w:after="0"/>
              <w:rPr>
                <w:sz w:val="24"/>
                <w:szCs w:val="24"/>
                <w:color w:val="auto"/>
              </w:rPr>
            </w:pPr>
          </w:p>
        </w:tc>
        <w:tc>
          <w:tcPr>
            <w:tcW w:w="6420" w:type="dxa"/>
            <w:vAlign w:val="bottom"/>
            <w:gridSpan w:val="13"/>
          </w:tcPr>
          <w:p>
            <w:pPr>
              <w:spacing w:after="0"/>
              <w:rPr>
                <w:sz w:val="24"/>
                <w:szCs w:val="24"/>
                <w:color w:val="auto"/>
              </w:rPr>
            </w:pPr>
          </w:p>
        </w:tc>
        <w:tc>
          <w:tcPr>
            <w:tcW w:w="2300" w:type="dxa"/>
            <w:vAlign w:val="bottom"/>
            <w:gridSpan w:val="5"/>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22</w:t>
            </w:r>
          </w:p>
        </w:tc>
      </w:tr>
      <w:tr>
        <w:trPr>
          <w:trHeight w:val="20"/>
        </w:trPr>
        <w:tc>
          <w:tcPr>
            <w:tcW w:w="6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880" w:type="dxa"/>
            <w:vAlign w:val="bottom"/>
            <w:gridSpan w:val="1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0000EE"/>
              </w:rPr>
              <w:t>Item 6.</w:t>
            </w:r>
          </w:p>
        </w:tc>
        <w:tc>
          <w:tcPr>
            <w:tcW w:w="13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EE"/>
              </w:rPr>
              <w:t>Exhibits</w:t>
            </w:r>
          </w:p>
        </w:tc>
        <w:tc>
          <w:tcPr>
            <w:tcW w:w="6880" w:type="dxa"/>
            <w:vAlign w:val="bottom"/>
            <w:gridSpan w:val="14"/>
          </w:tcPr>
          <w:p>
            <w:pPr>
              <w:spacing w:after="0"/>
              <w:rPr>
                <w:sz w:val="24"/>
                <w:szCs w:val="24"/>
                <w:color w:val="auto"/>
              </w:rPr>
            </w:pPr>
          </w:p>
        </w:tc>
        <w:tc>
          <w:tcPr>
            <w:tcW w:w="2300" w:type="dxa"/>
            <w:vAlign w:val="bottom"/>
            <w:gridSpan w:val="5"/>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22</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0" w:type="dxa"/>
            <w:vAlign w:val="bottom"/>
            <w:gridSpan w:val="1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600" w:type="dxa"/>
            <w:vAlign w:val="bottom"/>
            <w:gridSpan w:val="16"/>
          </w:tcPr>
          <w:p>
            <w:pPr>
              <w:spacing w:after="0"/>
              <w:rPr>
                <w:sz w:val="24"/>
                <w:szCs w:val="24"/>
                <w:color w:val="auto"/>
              </w:rPr>
            </w:pPr>
          </w:p>
        </w:tc>
        <w:tc>
          <w:tcPr>
            <w:tcW w:w="2300" w:type="dxa"/>
            <w:vAlign w:val="bottom"/>
            <w:gridSpan w:val="5"/>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1243"/>
        </w:trPr>
        <w:tc>
          <w:tcPr>
            <w:tcW w:w="6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16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4,048</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4,283</w:t>
            </w: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12,486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16,099</w:t>
            </w:r>
          </w:p>
        </w:tc>
      </w:tr>
      <w:tr>
        <w:trPr>
          <w:trHeight w:val="216"/>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25,130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24,716</w:t>
            </w: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4,766</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3,940</w:t>
            </w:r>
          </w:p>
        </w:tc>
      </w:tr>
      <w:tr>
        <w:trPr>
          <w:trHeight w:val="209"/>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46,430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49,038</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3,981</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4,773</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56,627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57,065</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13,441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16,036</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3,236</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6,473</w:t>
            </w:r>
          </w:p>
        </w:tc>
      </w:tr>
      <w:tr>
        <w:trPr>
          <w:trHeight w:val="250"/>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128,912</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137,366</w:t>
            </w:r>
          </w:p>
        </w:tc>
      </w:tr>
      <w:tr>
        <w:trPr>
          <w:trHeight w:val="156"/>
        </w:trPr>
        <w:tc>
          <w:tcPr>
            <w:tcW w:w="7860" w:type="dxa"/>
            <w:vAlign w:val="bottom"/>
            <w:tcBorders>
              <w:top w:val="single" w:sz="8" w:color="CCEEFF"/>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r>
      <w:tr>
        <w:trPr>
          <w:trHeight w:val="21"/>
        </w:trPr>
        <w:tc>
          <w:tcPr>
            <w:tcW w:w="258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3,720</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5,859</w:t>
            </w:r>
          </w:p>
        </w:tc>
      </w:tr>
      <w:tr>
        <w:trPr>
          <w:trHeight w:val="216"/>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5,554</w:t>
            </w: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4,508</w:t>
            </w:r>
          </w:p>
        </w:tc>
      </w:tr>
      <w:tr>
        <w:trPr>
          <w:trHeight w:val="216"/>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9,180</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10,621</w:t>
            </w:r>
          </w:p>
        </w:tc>
      </w:tr>
      <w:tr>
        <w:trPr>
          <w:trHeight w:val="210"/>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22,621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26,542</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31,960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30,704</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4,794</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1,476</w:t>
            </w:r>
          </w:p>
        </w:tc>
      </w:tr>
      <w:tr>
        <w:trPr>
          <w:trHeight w:val="210"/>
        </w:trPr>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61,665</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64,292</w:t>
            </w:r>
          </w:p>
        </w:tc>
      </w:tr>
      <w:tr>
        <w:trPr>
          <w:trHeight w:val="21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 Note 13</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w:t>
            </w: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80,000,000 shares authorized: 43,610,883 shares issued and</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June 30, 2024; 43,394,509shares issued and outstanding at December 31, 2023</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234,905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232,435</w:t>
            </w:r>
          </w:p>
        </w:tc>
      </w:tr>
      <w:tr>
        <w:trPr>
          <w:trHeight w:val="216"/>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(145,605)</w:t>
            </w: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(14,190)</w:t>
            </w:r>
          </w:p>
        </w:tc>
      </w:tr>
      <w:tr>
        <w:trPr>
          <w:trHeight w:val="210"/>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73,074</w:t>
            </w:r>
          </w:p>
        </w:tc>
      </w:tr>
      <w:tr>
        <w:trPr>
          <w:trHeight w:val="210"/>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128,912</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137,366</w:t>
            </w:r>
          </w:p>
        </w:tc>
      </w:tr>
      <w:tr>
        <w:trPr>
          <w:trHeight w:val="20"/>
        </w:trPr>
        <w:tc>
          <w:tcPr>
            <w:tcW w:w="25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39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HARVARD BIOSCIENCE, INC.</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280" w:type="dxa"/>
            <w:vAlign w:val="bottom"/>
            <w:gridSpan w:val="6"/>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36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23,097</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47,609</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58,734</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12,086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19,619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23,715</w:t>
            </w:r>
          </w:p>
        </w:tc>
      </w:tr>
      <w:tr>
        <w:trPr>
          <w:trHeight w:val="210"/>
        </w:trPr>
        <w:tc>
          <w:tcPr>
            <w:tcW w:w="3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35,019</w:t>
            </w:r>
          </w:p>
        </w:tc>
      </w:tr>
      <w:tr>
        <w:trPr>
          <w:trHeight w:val="209"/>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12,156</w:t>
            </w:r>
          </w:p>
        </w:tc>
      </w:tr>
      <w:tr>
        <w:trPr>
          <w:trHeight w:val="216"/>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11,687</w:t>
            </w: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5,854</w:t>
            </w:r>
          </w:p>
        </w:tc>
      </w:tr>
      <w:tr>
        <w:trPr>
          <w:trHeight w:val="216"/>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r>
      <w:tr>
        <w:trPr>
          <w:trHeight w:val="216"/>
        </w:trPr>
        <w:tc>
          <w:tcPr>
            <w:tcW w:w="3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expenses – Note 1</w:t>
            </w:r>
          </w:p>
        </w:tc>
        <w:tc>
          <w:tcPr>
            <w:tcW w:w="2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15,287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32,338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32,474</w:t>
            </w:r>
          </w:p>
        </w:tc>
      </w:tr>
      <w:tr>
        <w:trPr>
          <w:trHeight w:val="210"/>
        </w:trPr>
        <w:tc>
          <w:tcPr>
            <w:tcW w:w="1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2,545</w:t>
            </w:r>
          </w:p>
        </w:tc>
      </w:tr>
      <w:tr>
        <w:trPr>
          <w:trHeight w:val="209"/>
        </w:trPr>
        <w:tc>
          <w:tcPr>
            <w:tcW w:w="1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16"/>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equity securities - Note 6</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16"/>
        </w:trPr>
        <w:tc>
          <w:tcPr>
            <w:tcW w:w="3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0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w:t>
            </w:r>
          </w:p>
        </w:tc>
      </w:tr>
      <w:tr>
        <w:trPr>
          <w:trHeight w:val="210"/>
        </w:trPr>
        <w:tc>
          <w:tcPr>
            <w:tcW w:w="1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1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6"/>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197"/>
        </w:trPr>
        <w:tc>
          <w:tcPr>
            <w:tcW w:w="128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26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43,486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42,354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43,443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42,204</w:t>
            </w:r>
          </w:p>
        </w:tc>
      </w:tr>
      <w:tr>
        <w:trPr>
          <w:trHeight w:val="20"/>
        </w:trPr>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5860" w:type="dxa"/>
            <w:vAlign w:val="bottom"/>
            <w:gridSpan w:val="3"/>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60" w:type="dxa"/>
            <w:vAlign w:val="bottom"/>
            <w:gridSpan w:val="8"/>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860" w:type="dxa"/>
            <w:vAlign w:val="bottom"/>
            <w:gridSpan w:val="3"/>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58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1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12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989</w:t>
            </w: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instruments qualifying as cash flow hedges, net of tax</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5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w:t>
            </w:r>
          </w:p>
        </w:tc>
      </w:tr>
      <w:tr>
        <w:trPr>
          <w:trHeight w:val="209"/>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w:t>
            </w:r>
          </w:p>
        </w:tc>
      </w:tr>
      <w:tr>
        <w:trPr>
          <w:trHeight w:val="20"/>
        </w:trPr>
        <w:tc>
          <w:tcPr>
            <w:tcW w:w="12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00" w:type="dxa"/>
            <w:vAlign w:val="bottom"/>
            <w:gridSpan w:val="7"/>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80" w:type="dxa"/>
            <w:vAlign w:val="bottom"/>
            <w:gridSpan w:val="11"/>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40" w:type="dxa"/>
            <w:vAlign w:val="bottom"/>
            <w:gridSpan w:val="6"/>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43,421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233,451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(150,299)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68,812</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40" w:type="dxa"/>
            <w:vAlign w:val="bottom"/>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50"/>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43,611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234,905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67,247</w:t>
            </w:r>
          </w:p>
        </w:tc>
      </w:tr>
      <w:tr>
        <w:trPr>
          <w:trHeight w:val="390"/>
        </w:trPr>
        <w:tc>
          <w:tcPr>
            <w:tcW w:w="128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00" w:type="dxa"/>
            <w:vAlign w:val="bottom"/>
            <w:tcBorders>
              <w:top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42,190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230,108</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(141,568)</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74,340</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40" w:type="dxa"/>
            <w:vAlign w:val="bottom"/>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w:t>
            </w:r>
          </w:p>
        </w:tc>
      </w:tr>
      <w:tr>
        <w:trPr>
          <w:trHeight w:val="250"/>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42,687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231,533</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(142,548)</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75,388</w:t>
            </w:r>
          </w:p>
        </w:tc>
      </w:tr>
      <w:tr>
        <w:trPr>
          <w:trHeight w:val="390"/>
        </w:trPr>
        <w:tc>
          <w:tcPr>
            <w:tcW w:w="128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00" w:type="dxa"/>
            <w:vAlign w:val="bottom"/>
            <w:tcBorders>
              <w:top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43,395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232,435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73,074</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40" w:type="dxa"/>
            <w:vAlign w:val="bottom"/>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50"/>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43,611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234,905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67,247</w:t>
            </w:r>
          </w:p>
        </w:tc>
      </w:tr>
      <w:tr>
        <w:trPr>
          <w:trHeight w:val="390"/>
        </w:trPr>
        <w:tc>
          <w:tcPr>
            <w:tcW w:w="128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00" w:type="dxa"/>
            <w:vAlign w:val="bottom"/>
            <w:tcBorders>
              <w:top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42,082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229,008</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72,220</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2,255</w:t>
            </w:r>
          </w:p>
        </w:tc>
      </w:tr>
      <w:tr>
        <w:trPr>
          <w:trHeight w:val="216"/>
        </w:trPr>
        <w:tc>
          <w:tcPr>
            <w:tcW w:w="2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40" w:type="dxa"/>
            <w:vAlign w:val="bottom"/>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r>
      <w:tr>
        <w:trPr>
          <w:trHeight w:val="230"/>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42,687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231,533</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(142,548)</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75,388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24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4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24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00" w:type="dxa"/>
            <w:vAlign w:val="bottom"/>
            <w:tcBorders>
              <w:bottom w:val="single" w:sz="8" w:color="auto"/>
            </w:tcBorders>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Pr>
          <w:p>
            <w:pPr>
              <w:spacing w:after="0"/>
              <w:rPr>
                <w:sz w:val="18"/>
                <w:szCs w:val="18"/>
                <w:color w:val="auto"/>
              </w:rPr>
            </w:pPr>
          </w:p>
        </w:tc>
      </w:tr>
      <w:tr>
        <w:trPr>
          <w:trHeight w:val="209"/>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2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2,777</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2,255</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 and other</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equity securities - Note 6</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1,581</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product line - Note 14</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09"/>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5,364</w:t>
            </w:r>
          </w:p>
        </w:tc>
      </w:tr>
      <w:tr>
        <w:trPr>
          <w:trHeight w:val="210"/>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product line</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09"/>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Borrowing from revolving line of credit</w:t>
            </w:r>
          </w:p>
        </w:tc>
        <w:tc>
          <w:tcPr>
            <w:tcW w:w="1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revolving line of credit</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1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7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10"/>
        </w:trPr>
        <w:tc>
          <w:tcPr>
            <w:tcW w:w="75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r>
      <w:tr>
        <w:trPr>
          <w:trHeight w:val="21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r>
      <w:tr>
        <w:trPr>
          <w:trHeight w:val="209"/>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4,283</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4,508</w:t>
            </w:r>
          </w:p>
        </w:tc>
      </w:tr>
      <w:tr>
        <w:trPr>
          <w:trHeight w:val="250"/>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4,048</w:t>
            </w:r>
          </w:p>
        </w:tc>
        <w:tc>
          <w:tcPr>
            <w:tcW w:w="12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4,324</w:t>
            </w:r>
          </w:p>
        </w:tc>
      </w:tr>
      <w:tr>
        <w:trPr>
          <w:trHeight w:val="196"/>
        </w:trPr>
        <w:tc>
          <w:tcPr>
            <w:tcW w:w="752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36"/>
        </w:trPr>
        <w:tc>
          <w:tcPr>
            <w:tcW w:w="7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1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1,515</w:t>
            </w:r>
          </w:p>
        </w:tc>
        <w:tc>
          <w:tcPr>
            <w:tcW w:w="12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2,148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752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Cash paid for income taxes, net of refunds</w:t>
            </w: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240" w:type="dxa"/>
            <w:vAlign w:val="bottom"/>
            <w:gridSpan w:val="2"/>
          </w:tcPr>
          <w:p>
            <w:pPr>
              <w:jc w:val="right"/>
              <w:ind w:right="10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12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Basis of Presentation and Summary of Significant Accounting Policies</w:t>
      </w:r>
    </w:p>
    <w:p>
      <w:pPr>
        <w:spacing w:after="0" w:line="227"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of Harvard Bioscience, Inc. and its wholly-owned subsidiaries (collectively, the “Company”) as of June 30, 2024 and for the three and six months ended June 30, 2024 and 2023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2023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2023.</w:t>
      </w:r>
    </w:p>
    <w:p>
      <w:pPr>
        <w:spacing w:after="0" w:line="192"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which include normal recurring adjustments necessary to present a fair statement of financial position as of June 30, 2024, results of operations and comprehensive income (loss) for the three and six months ended June 30, 2024 and 2023, and cash flows for the six months ended June 30, 2024 and 2023, as applicable, have been made. The results of operations for the three and six months ended June 30, 2024, are not necessarily indicative of the operating results for the full fiscal year or any future periods.</w:t>
      </w:r>
    </w:p>
    <w:p>
      <w:pPr>
        <w:spacing w:after="0" w:line="180"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The accounting policies underlying the accompanying unaudited consolidated financial statements are set forth in Note 2 to the consolidated financial statements included in the Company’s Annual Report on Form 10-K for the year ended December 31, 2023. There have been no material changes in the Company’s significant accounting policies during the six months ended June 30, 2024.</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U.S. GAAP requires the use of management estimates. Such estimates include the determination and establishment of certain accruals and provisions, including those for income taxes, credit losses on receivables, and defined benefit pension obligations. Estimates are also required to evaluate the value for inventories reported at lower of cost or net realizable value, stock-based compensation expense, and the recoverability of long-lived and intangible assets, including goodwill. On an ongoing basis, the Company reviews its estimates based upon currently available information. Actual results could differ materially from those estimates.</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other operating expenses for the three and six months ended June 30, 2024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 (see Note 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Unclaimed property audits (credit) expense (see Note 13)</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retention credit fees (see Note 5)</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1,215</w:t>
            </w:r>
          </w:p>
        </w:tc>
      </w:tr>
      <w:tr>
        <w:trPr>
          <w:trHeight w:val="20"/>
        </w:trPr>
        <w:tc>
          <w:tcPr>
            <w:tcW w:w="7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Yet to Be Adopted</w:t>
      </w:r>
    </w:p>
    <w:p>
      <w:pPr>
        <w:spacing w:after="0" w:line="225"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w:t>
      </w:r>
      <w:r>
        <w:rPr>
          <w:rFonts w:ascii="Times New Roman" w:cs="Times New Roman" w:eastAsia="Times New Roman" w:hAnsi="Times New Roman"/>
          <w:sz w:val="18"/>
          <w:szCs w:val="18"/>
          <w:color w:val="auto"/>
        </w:rPr>
        <w:t>, which enhances disclosures related to the effective tax rate reconciliation, income taxes paid, as well as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The new standard impacts footnote disclosures and is effective for the Company’s annual financial statements for the year ended December 31, 2025. The Company is currently evaluating the potential impact of adopting ASU No. 2023-09 will have on the disclosures in its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Basic earnings (loss) per share (EPS) is calculated by dividing net income (loss) by the number of weighted average shares of common stock outstanding during the period. The calculation of diluted earnings per share assumes conversion of stock options and restricted stock units into common stock using the treasury method, unless the effect is antidilutive.</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loss per share of common stock:</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197"/>
        </w:trPr>
        <w:tc>
          <w:tcPr>
            <w:tcW w:w="52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43,486</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42,354</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43,443</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42,204</w:t>
            </w:r>
          </w:p>
        </w:tc>
      </w:tr>
      <w:tr>
        <w:trPr>
          <w:trHeight w:val="216"/>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43,486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42,354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42,204</w:t>
            </w: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loss per share</w:t>
            </w: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34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loss per share</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3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excluded from diluted loss per share</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due to their anti-dilutive effect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3,795</w:t>
            </w: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represent a disaggregation of revenue from contracts with customers for the three and six months ended June 30, 2024 and 2023:</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Revenues by type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21,292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55,761</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2,973</w:t>
            </w:r>
          </w:p>
        </w:tc>
      </w:tr>
      <w:tr>
        <w:trPr>
          <w:trHeight w:val="24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23,097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58,734</w:t>
            </w:r>
          </w:p>
        </w:tc>
      </w:tr>
      <w:tr>
        <w:trPr>
          <w:trHeight w:val="413"/>
        </w:trPr>
        <w:tc>
          <w:tcPr>
            <w:tcW w:w="522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Revenues by timing of recognition were as follows:</w:t>
            </w: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432"/>
        </w:trPr>
        <w:tc>
          <w:tcPr>
            <w:tcW w:w="5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21,983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27,636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56,942</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1,792</w:t>
            </w:r>
          </w:p>
        </w:tc>
      </w:tr>
      <w:tr>
        <w:trPr>
          <w:trHeight w:val="23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23,097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58,734</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00"/>
        <w:spacing w:after="0"/>
        <w:rPr>
          <w:sz w:val="20"/>
          <w:szCs w:val="20"/>
          <w:color w:val="auto"/>
        </w:rPr>
      </w:pPr>
      <w:r>
        <w:rPr>
          <w:rFonts w:ascii="Times New Roman" w:cs="Times New Roman" w:eastAsia="Times New Roman" w:hAnsi="Times New Roman"/>
          <w:sz w:val="18"/>
          <w:szCs w:val="18"/>
          <w:color w:val="auto"/>
        </w:rPr>
        <w:t>Revenue by geographic destination were as follows:</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Europe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Greater China</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 of the world</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1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10,805</w:t>
            </w:r>
          </w:p>
        </w:tc>
        <w:tc>
          <w:tcPr>
            <w:tcW w:w="1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12,336</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21,788</w:t>
            </w:r>
          </w:p>
        </w:tc>
        <w:tc>
          <w:tcPr>
            <w:tcW w:w="10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24,638</w:t>
            </w:r>
          </w:p>
        </w:tc>
      </w:tr>
      <w:tr>
        <w:trPr>
          <w:trHeight w:val="216"/>
        </w:trPr>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16,773</w:t>
            </w:r>
          </w:p>
        </w:tc>
      </w:tr>
      <w:tr>
        <w:trPr>
          <w:trHeight w:val="216"/>
        </w:trPr>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10,335</w:t>
            </w:r>
          </w:p>
        </w:tc>
      </w:tr>
      <w:tr>
        <w:trPr>
          <w:trHeight w:val="234"/>
        </w:trPr>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6,988</w:t>
            </w:r>
          </w:p>
        </w:tc>
      </w:tr>
      <w:tr>
        <w:trPr>
          <w:trHeight w:val="209"/>
        </w:trPr>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23,097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28,759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58,734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3"/>
        </w:trPr>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7</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-993775</wp:posOffset>
            </wp:positionV>
            <wp:extent cx="67722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-719455</wp:posOffset>
            </wp:positionV>
            <wp:extent cx="67722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-436880</wp:posOffset>
            </wp:positionV>
            <wp:extent cx="677227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16256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68580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40" w:space="720"/>
            <w:col w:w="568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details of contract liabilities as of the periods indicated: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Changes in the Company’s contract liabilities are primarily due to the timing of receipt of payments under service, maintenance and warranty contracts and lower sales volumes. During the three months ended June 30, 2024 and 2023, the Company recognized revenue of $1.0 million and $0.6 million from contract liabilities existing at December 31, 2023 and 2022, respectively. During the six months ended June 30, 2024 and 2023, the Company recognized revenue of $2.6 million and $1.6 million from contract liabilities existing at December 31, 2023 and 2022, respectively.</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Provision for Expected Credit Losses on Receivables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in the provision for expected losses on receivables was as follows:</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7722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7722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Charge-offs and other</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191</w:t>
            </w:r>
          </w:p>
        </w:tc>
      </w:tr>
      <w:tr>
        <w:trPr>
          <w:trHeight w:val="216"/>
        </w:trPr>
        <w:tc>
          <w:tcPr>
            <w:tcW w:w="34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980" w:space="720"/>
            <w:col w:w="3540"/>
          </w:cols>
          <w:pgMar w:left="320" w:top="121" w:right="339" w:bottom="1440" w:gutter="0" w:footer="0" w:header="0"/>
          <w:type w:val="continuous"/>
        </w:sectPr>
      </w:pPr>
    </w:p>
    <w:p>
      <w:pPr>
        <w:spacing w:after="0" w:line="27"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revenues for the three and six months ended June 30, 2024 and 2023. At June 30, 2024 and December 31, 2023, no customer accounted for more than 10% of net accounts receivable.</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36"/>
        </w:trPr>
        <w:tc>
          <w:tcPr>
            <w:tcW w:w="73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Warranties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Activity in the product warranties accrual was as follows: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7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7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Warranty claims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r>
      <w:tr>
        <w:trPr>
          <w:trHeight w:val="20"/>
        </w:trPr>
        <w:tc>
          <w:tcPr>
            <w:tcW w:w="7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 in the carrying amount of goodwill for the six months ended June 30, 2024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December 31, 2023</w:t>
            </w:r>
          </w:p>
        </w:tc>
        <w:tc>
          <w:tcPr>
            <w:tcW w:w="5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57,065</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50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June 30, 2024</w:t>
            </w:r>
          </w:p>
        </w:tc>
        <w:tc>
          <w:tcPr>
            <w:tcW w:w="55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56,627</w:t>
            </w:r>
          </w:p>
        </w:tc>
        <w:tc>
          <w:tcPr>
            <w:tcW w:w="240" w:type="dxa"/>
            <w:vAlign w:val="bottom"/>
          </w:tcPr>
          <w:p>
            <w:pPr>
              <w:spacing w:after="0"/>
              <w:rPr>
                <w:sz w:val="21"/>
                <w:szCs w:val="21"/>
                <w:color w:val="auto"/>
              </w:rPr>
            </w:pPr>
          </w:p>
        </w:tc>
      </w:tr>
      <w:tr>
        <w:trPr>
          <w:trHeight w:val="413"/>
        </w:trPr>
        <w:tc>
          <w:tcPr>
            <w:tcW w:w="340" w:type="dxa"/>
            <w:vAlign w:val="bottom"/>
          </w:tcPr>
          <w:p>
            <w:pPr>
              <w:spacing w:after="0"/>
              <w:rPr>
                <w:sz w:val="24"/>
                <w:szCs w:val="24"/>
                <w:color w:val="auto"/>
              </w:rPr>
            </w:pPr>
          </w:p>
        </w:tc>
        <w:tc>
          <w:tcPr>
            <w:tcW w:w="4040" w:type="dxa"/>
            <w:vAlign w:val="bottom"/>
            <w:tcBorders>
              <w:top w:val="single" w:sz="8" w:color="CCEEFF"/>
            </w:tcBorders>
          </w:tcPr>
          <w:p>
            <w:pPr>
              <w:spacing w:after="0"/>
              <w:rPr>
                <w:sz w:val="24"/>
                <w:szCs w:val="24"/>
                <w:color w:val="auto"/>
              </w:rPr>
            </w:pPr>
          </w:p>
        </w:tc>
        <w:tc>
          <w:tcPr>
            <w:tcW w:w="5020" w:type="dxa"/>
            <w:vAlign w:val="bottom"/>
            <w:tcBorders>
              <w:top w:val="single" w:sz="8" w:color="CCEEFF"/>
            </w:tcBorders>
          </w:tcPr>
          <w:p>
            <w:pPr>
              <w:jc w:val="right"/>
              <w:ind w:right="365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656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Intangible assets at June 30, 2024 and December 31, 2023 consisted of the following:</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4"/>
              </w:rPr>
              <w:t>December 31, 2023</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97"/>
              </w:rPr>
              <w:t>Accumulated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7"/>
              </w:rPr>
              <w:t>Amortization</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Gross</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Amortization</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16,038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6,332</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Technology and software</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3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35,007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patents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Total amortizable intangible</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58,406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(45,165)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58,658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244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3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2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13,241</w:t>
            </w:r>
          </w:p>
        </w:tc>
        <w:tc>
          <w:tcPr>
            <w:tcW w:w="3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15,829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tcPr>
          <w:p>
            <w:pPr>
              <w:spacing w:after="0"/>
              <w:rPr>
                <w:sz w:val="15"/>
                <w:szCs w:val="15"/>
                <w:color w:val="auto"/>
              </w:rPr>
            </w:pPr>
          </w:p>
        </w:tc>
        <w:tc>
          <w:tcPr>
            <w:tcW w:w="244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Indefinite-lived intangible</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2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9400" w:type="dxa"/>
            <w:vAlign w:val="bottom"/>
            <w:gridSpan w:val="17"/>
          </w:tcPr>
          <w:p>
            <w:pPr>
              <w:ind w:left="60"/>
              <w:spacing w:after="0"/>
              <w:rPr>
                <w:sz w:val="20"/>
                <w:szCs w:val="20"/>
                <w:color w:val="auto"/>
              </w:rPr>
            </w:pPr>
            <w:r>
              <w:rPr>
                <w:rFonts w:ascii="Times New Roman" w:cs="Times New Roman" w:eastAsia="Times New Roman" w:hAnsi="Times New Roman"/>
                <w:sz w:val="18"/>
                <w:szCs w:val="18"/>
                <w:color w:val="auto"/>
              </w:rPr>
              <w:t>Intangible asset amortization expense for the three and six months ended June 30, 2024 and 2023 was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 amortization of intangible assets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1,374</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June 30, 2024, estimated future amortization expense of amortizable intangible assets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7700" w:type="dxa"/>
            <w:vAlign w:val="bottom"/>
            <w:gridSpan w:val="2"/>
          </w:tcPr>
          <w:p>
            <w:pPr>
              <w:jc w:val="right"/>
              <w:ind w:right="5210"/>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following tables provide details of selected balance sheet items as of the periods indicated:</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160" w:type="dxa"/>
            <w:vAlign w:val="bottom"/>
          </w:tcPr>
          <w:p>
            <w:pPr>
              <w:spacing w:after="0"/>
              <w:rPr>
                <w:sz w:val="24"/>
                <w:szCs w:val="24"/>
                <w:color w:val="auto"/>
              </w:rPr>
            </w:pPr>
          </w:p>
        </w:tc>
        <w:tc>
          <w:tcPr>
            <w:tcW w:w="1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Borders>
              <w:bottom w:val="single" w:sz="8" w:color="auto"/>
            </w:tcBorders>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16,343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25,130</w:t>
            </w:r>
          </w:p>
        </w:tc>
        <w:tc>
          <w:tcPr>
            <w:tcW w:w="100" w:type="dxa"/>
            <w:vAlign w:val="bottom"/>
          </w:tcPr>
          <w:p>
            <w:pPr>
              <w:spacing w:after="0"/>
              <w:rPr>
                <w:sz w:val="18"/>
                <w:szCs w:val="18"/>
                <w:color w:val="auto"/>
              </w:rPr>
            </w:pPr>
          </w:p>
        </w:tc>
        <w:tc>
          <w:tcPr>
            <w:tcW w:w="5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Borders>
              <w:bottom w:val="single" w:sz="8" w:color="auto"/>
            </w:tcBorders>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Customer credits</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Employee retention credit funds</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Pr>
          <w:p>
            <w:pPr>
              <w:spacing w:after="0"/>
              <w:rPr>
                <w:sz w:val="18"/>
                <w:szCs w:val="18"/>
                <w:color w:val="auto"/>
              </w:rPr>
            </w:pPr>
          </w:p>
        </w:tc>
        <w:tc>
          <w:tcPr>
            <w:tcW w:w="5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7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 xml:space="preserve">The Coronavirus Aid, Relief, and Economic Security Act of 2020 (“CARES Act”) provided an employee retention credit (“ERC”) that was a refundable tax credit against certain employer taxes. The Company elected to account for the credit as a government grant. As there is no authoritative guidance under U.S. GAAP on accounting for grants to for-profit business entities from government entities, the Company accounts for government assistance by analogy to International Accounting Standards Topic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xml:space="preserve"> (“IAS 20”). Under IAS 20, government grants are recognized when there is reasonable assurance that the grant will be received and that all conditions related to the grant will be met.</w:t>
      </w:r>
    </w:p>
    <w:p>
      <w:pPr>
        <w:spacing w:after="0" w:line="187"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Company received ERC refunds of $3.2 million during the six months ended June 30, 2024. Due to the subjectivity of the credit, the Company has included the refunds received in other current liabilities in the consolidated balance sheet as of June 30, 2024, subject to a determination that the refunds are recognizable.</w:t>
      </w:r>
    </w:p>
    <w:p>
      <w:pPr>
        <w:spacing w:after="0" w:line="176"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Company engaged a professional services firm under a commission fee arrangement to assist with determining the Company’s eligibility to claim the ERC refunds and accumulating the necessary support that was used as a basis in the filing. During the six months ended June 30, 2024, the Company paid fees of $0.5 million for these services, which are included in other operating expenses in the consolidated statement of operations.</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Equity Securities</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April 2023, the Company received shares of common stock of Harvard Apparatus Regenerative Technology, Inc. (“HRGN”, formerly known as Biostage, Inc.) in connection with settlement of indemnification obligations related to litigation which was resolved during the year ended December 31, 2022. These shares had an estimated fair value $3.5 million and are included in the consolidated balance sheet as a component of other long-term assets as of December 31, 2023.</w:t>
      </w:r>
    </w:p>
    <w:p>
      <w:pPr>
        <w:spacing w:after="0" w:line="180"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sold all of its remaining HRGN shares. The Company received cash proceeds of $1.4 million and $1.9 million from HRGN shares sold during the three and six months ended June 30, 2024, respectively. The Company recorded losses on equity securities of $0.3 million and $1.6 million during the three and six months ended June 30, 2024, respectively.</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The Company has noncancelable operating leases for offices, manufacturing facilities, warehouse space, automobiles and equipment expiring at various dates through 2030.</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expense for the three and six months ended June 30, 2024 and 2023,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w:t>
            </w:r>
          </w:p>
        </w:tc>
      </w:tr>
      <w:tr>
        <w:trPr>
          <w:trHeight w:val="20"/>
        </w:trPr>
        <w:tc>
          <w:tcPr>
            <w:tcW w:w="5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7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is as follows:</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40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414"/>
        </w:trPr>
        <w:tc>
          <w:tcPr>
            <w:tcW w:w="7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Supplemental balance sheet information related to the Company’s operating leases is as follows:</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5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gridSpan w:val="2"/>
            <w:shd w:val="clear" w:color="auto" w:fill="CCEEFF"/>
          </w:tcPr>
          <w:p>
            <w:pPr>
              <w:spacing w:after="0"/>
              <w:rPr>
                <w:sz w:val="21"/>
                <w:szCs w:val="21"/>
                <w:color w:val="auto"/>
              </w:rPr>
            </w:pPr>
          </w:p>
        </w:tc>
        <w:tc>
          <w:tcPr>
            <w:tcW w:w="3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4,773</w:t>
            </w:r>
          </w:p>
        </w:tc>
      </w:tr>
      <w:tr>
        <w:trPr>
          <w:trHeight w:val="196"/>
        </w:trPr>
        <w:tc>
          <w:tcPr>
            <w:tcW w:w="5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gridSpan w:val="2"/>
          </w:tcPr>
          <w:p>
            <w:pPr>
              <w:spacing w:after="0"/>
              <w:rPr>
                <w:sz w:val="17"/>
                <w:szCs w:val="17"/>
                <w:color w:val="auto"/>
              </w:rPr>
            </w:pPr>
          </w:p>
        </w:tc>
        <w:tc>
          <w:tcPr>
            <w:tcW w:w="100" w:type="dxa"/>
            <w:vAlign w:val="bottom"/>
            <w:tcBorders>
              <w:top w:val="single" w:sz="8" w:color="CCEEFF"/>
            </w:tcBorders>
            <w:gridSpan w:val="2"/>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operating lease liabilities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40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4,794</w:t>
            </w:r>
          </w:p>
        </w:tc>
      </w:tr>
      <w:tr>
        <w:trPr>
          <w:trHeight w:val="25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40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6,210</w:t>
            </w:r>
          </w:p>
        </w:tc>
      </w:tr>
      <w:tr>
        <w:trPr>
          <w:trHeight w:val="196"/>
        </w:trPr>
        <w:tc>
          <w:tcPr>
            <w:tcW w:w="5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79"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8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962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terms in excess of one year at June 30, 2024, are as follows:</w:t>
            </w:r>
          </w:p>
        </w:tc>
        <w:tc>
          <w:tcPr>
            <w:tcW w:w="10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r>
      <w:tr>
        <w:trPr>
          <w:trHeight w:val="216"/>
        </w:trPr>
        <w:tc>
          <w:tcPr>
            <w:tcW w:w="34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1,175</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34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r>
      <w:tr>
        <w:trPr>
          <w:trHeight w:val="216"/>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r>
      <w:tr>
        <w:trPr>
          <w:trHeight w:val="210"/>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7,542</w:t>
            </w:r>
          </w:p>
        </w:tc>
      </w:tr>
      <w:tr>
        <w:trPr>
          <w:trHeight w:val="216"/>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49"/>
        </w:trPr>
        <w:tc>
          <w:tcPr>
            <w:tcW w:w="34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5,771</w:t>
            </w:r>
          </w:p>
        </w:tc>
      </w:tr>
      <w:tr>
        <w:trPr>
          <w:trHeight w:val="656"/>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 of June 30, 2024 and December 31, 2023, the Company’s borrowings were as follows: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24"/>
                <w:szCs w:val="24"/>
                <w:color w:val="auto"/>
              </w:rPr>
            </w:pP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09"/>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26,700</w:t>
            </w:r>
          </w:p>
        </w:tc>
        <w:tc>
          <w:tcPr>
            <w:tcW w:w="100" w:type="dxa"/>
            <w:vAlign w:val="bottom"/>
          </w:tcPr>
          <w:p>
            <w:pPr>
              <w:spacing w:after="0"/>
              <w:rPr>
                <w:sz w:val="18"/>
                <w:szCs w:val="18"/>
                <w:color w:val="auto"/>
              </w:rPr>
            </w:pPr>
          </w:p>
        </w:tc>
        <w:tc>
          <w:tcPr>
            <w:tcW w:w="5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30,723</w:t>
            </w:r>
          </w:p>
        </w:tc>
      </w:tr>
      <w:tr>
        <w:trPr>
          <w:trHeight w:val="216"/>
        </w:trPr>
        <w:tc>
          <w:tcPr>
            <w:tcW w:w="340" w:type="dxa"/>
            <w:vAlign w:val="bottom"/>
          </w:tcPr>
          <w:p>
            <w:pPr>
              <w:spacing w:after="0"/>
              <w:rPr>
                <w:sz w:val="18"/>
                <w:szCs w:val="18"/>
                <w:color w:val="auto"/>
              </w:rPr>
            </w:pPr>
          </w:p>
        </w:tc>
        <w:tc>
          <w:tcPr>
            <w:tcW w:w="7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Revolving line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340" w:type="dxa"/>
            <w:vAlign w:val="bottom"/>
          </w:tcPr>
          <w:p>
            <w:pPr>
              <w:spacing w:after="0"/>
              <w:rPr>
                <w:sz w:val="18"/>
                <w:szCs w:val="18"/>
                <w:color w:val="auto"/>
              </w:rPr>
            </w:pPr>
          </w:p>
        </w:tc>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09"/>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36,563</w:t>
            </w:r>
          </w:p>
        </w:tc>
      </w:tr>
      <w:tr>
        <w:trPr>
          <w:trHeight w:val="216"/>
        </w:trPr>
        <w:tc>
          <w:tcPr>
            <w:tcW w:w="340" w:type="dxa"/>
            <w:vAlign w:val="bottom"/>
          </w:tcPr>
          <w:p>
            <w:pPr>
              <w:spacing w:after="0"/>
              <w:rPr>
                <w:sz w:val="18"/>
                <w:szCs w:val="18"/>
                <w:color w:val="auto"/>
              </w:rPr>
            </w:pPr>
          </w:p>
        </w:tc>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r>
      <w:tr>
        <w:trPr>
          <w:trHeight w:val="216"/>
        </w:trPr>
        <w:tc>
          <w:tcPr>
            <w:tcW w:w="34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unamortized deferred financing costs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r>
      <w:tr>
        <w:trPr>
          <w:trHeight w:val="210"/>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31,960</w:t>
            </w:r>
          </w:p>
        </w:tc>
        <w:tc>
          <w:tcPr>
            <w:tcW w:w="100" w:type="dxa"/>
            <w:vAlign w:val="bottom"/>
          </w:tcPr>
          <w:p>
            <w:pPr>
              <w:spacing w:after="0"/>
              <w:rPr>
                <w:sz w:val="18"/>
                <w:szCs w:val="18"/>
                <w:color w:val="auto"/>
              </w:rPr>
            </w:pPr>
          </w:p>
        </w:tc>
        <w:tc>
          <w:tcPr>
            <w:tcW w:w="5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30,704</w:t>
            </w: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Company maintains a Credit Agreement (as amended, the “Credit Agreement”) with Citizens Bank, N.A., Wells Fargo Bank, National Association, and First Citizens Bank &amp; Trust Company (together, the “Lenders”). The Credit Agreement provides for a term loan of $40.0 million and a $25.0 million senior revolving credit facility (including a $10.0 million sub-facility for the issuance of letters of credit and a $10.0 million swingline loan sub 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Issuance costs of $1.4 million are amortized over the contractual term to maturity date on a straight-line basis, which approximates the effective interest method. Available and unused borrowing capacity under the revolving line of credit was $5.4 million as of June 30, 2024, based on the Credit Agreement, as amended on August 6, 2024 (the “August 2024 Amendment”), as described below. Total revolver borrowing capacity is limited by the consolidated net leverage ratio as defined under the amended Credit Agreement.</w:t>
      </w:r>
    </w:p>
    <w:p>
      <w:pPr>
        <w:spacing w:after="0" w:line="192"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Borrowings under the Credit Facility will, at the option of the Company, bear interest at either (i) a rate per annum based on the Secured Overnight Financing Rate (“SOFR”) for an interest period of one, two, three or six months, plus an applicable interest rate margin determined as provided in the Credit Agreement (a “SOFR Loan”), or (ii) an alternative base rate plus an applicable interest rate margin, each as determined as provided in the Credit Agreement (an “ABR Loan”). SOFR interest under the Credit Agreement is subject to applicable market rates and a floor of 0.50%. The alternative base rate is based on the Citizens Bank prime rate or the federal funds effective rate of the Federal Reserve Bank of New York and is subject to a floor of 1.0%. Pursuant to the August 2024 Amendment, the applicable interest rate margin varies from 2.0% per annum to 3.75% per annum for SOFR Loans, and from 1.5% per annum to 3.5% per annum for ABR Loans, in each case depending on the Company’s consolidated net leverage ratio, and is determined in accordance with a pricing grid set forth in the Credit Agreement. There are no prepayment penalties in the event the Company elects to prepay and terminate the Credit Facility prior to its scheduled maturity date, subject to SOFR Loan breakage and redeployment costs in certain circumstances.</w:t>
      </w:r>
    </w:p>
    <w:p>
      <w:pPr>
        <w:spacing w:after="0" w:line="188"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effective interest rate on the Company borrowings for the three months ended June 30, 2024 and 2023, was 7.9% and 8.3%, respectively, and for the six months ended June 30, 2024 and 2023, was 7.8% and 8.1%, respectively. The weighted average interest rate as of June 30, 2024, net of the effect of the Company’s interest rate swaps, was 7.7%. The carrying value of the debt approximates fair value because the interest rate under the obligation approximates market rates of interest available to the Company for similar instruments.</w:t>
      </w:r>
    </w:p>
    <w:p>
      <w:pPr>
        <w:spacing w:after="0" w:line="180"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As of June 30, 2024, the term loan requires quarterly installment payments of $1.0 million with a balloon payment at maturity on December 22, 2025. Furthermore, within ninety days after the end of the Company’s fiscal year, the term loan may be permanently reduced pursuant to certain mandatory prepayment events including an annual “excess cash flow sweep”, as defined in the Credit Agreement, provided that, in any fiscal year, any voluntary prepayments of the term loan shall be credited against the Company’s “excess cash flow” prepayment obligations on a dollar-for-dollar basis for such fiscal year. As of December 31, 2023, the current portion of long-term debt included amounts due under the excess cash flow sweep of $2.0 million which was paid on March 29, 2024. Amounts outstanding under the revolving credit facility can be repaid at any time but are due in full at maturity.</w:t>
      </w:r>
    </w:p>
    <w:p>
      <w:pPr>
        <w:sectPr>
          <w:pgSz w:w="11900" w:h="16838" w:orient="portrait"/>
          <w:cols w:equalWidth="0" w:num="1">
            <w:col w:w="11240"/>
          </w:cols>
          <w:pgMar w:left="320" w:top="108"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Credit Agreement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also includes customary events of default.</w:t>
      </w:r>
    </w:p>
    <w:p>
      <w:pPr>
        <w:spacing w:after="0" w:line="180"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In March 2024, the Company entered into an amendment to the Credit Agreement pursuant to which the Lenders and administrative agent modified the definition of Consolidated EBITDA used in the calculation of certain financial covenants to adjust for charges related to an abandoned property audit (see Note 13) and commission fees expected to be paid in connection with the ERC filings (see Note 5).</w:t>
      </w:r>
    </w:p>
    <w:p>
      <w:pPr>
        <w:spacing w:after="0" w:line="176"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On August 6, 2024, the Company entered into an amendment to the Credit Agreement that, among other things, modifies the financial covenants relating to the consolidated net leverage ratio and consolidated fixed charge coverage ratio through the period ended December 31, 2024. The amendment also adds a net leverage ratio requirement with respect to additional borrowing under the Company’s revolving credit facility and restrictions on certain additional indebtedness and investments, in each case until the Company delivers to the Lenders the Company’s financial statements for the fiscal year ending December 31, 2024. In addition, until delivery of the financial statements, the applicable interest rate margin will be increased by 50bps during such time as the Company’s consolidated net leverage ratio is greater than 3.0. The Company paid fees of $0.2 million to the Lenders in connection with the amendment. As a result of the August 2024 Amendment, the Company is in compliance with the financial covenants of the Credit Agreement.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interest rate swap contract to improve the predictability of cash flows from interest payments related to its variable, SOFR-based debt. The swap contract had a notional amount of $24.5 million as of June 30, 2024 and matures on December 22, 2025. This swap contract effectively converts the SOFR-based variable portion of the interest payable under the Credit Agreement into fixed-rate debt at an annual rate of 4.75%. The swap contract does not impact the additional interest related to the applicable interest rate margin as discussed above in Note 8, Long-Term Debt. The swap contract is considered an effective cash flow hedge, and as a result, net gains or losses are reported as a component of other comprehensive income (“OCI”) in the consolidated financial statements and are reclassified when the underlying hedged interest impacts earnings. An assessment is performed quarterly to evaluate the ongoing hedge effectiveness.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notional amount and fair value of the Company’s derivative instruments as of June 30, 2024 and December 31, 2023:</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20" w:type="dxa"/>
            <w:vAlign w:val="bottom"/>
            <w:tcBorders>
              <w:bottom w:val="single" w:sz="8" w:color="auto"/>
            </w:tcBorders>
          </w:tcPr>
          <w:p>
            <w:pPr>
              <w:spacing w:after="0"/>
              <w:rPr>
                <w:sz w:val="20"/>
                <w:szCs w:val="20"/>
                <w:color w:val="auto"/>
              </w:rPr>
            </w:pPr>
          </w:p>
        </w:tc>
      </w:tr>
      <w:tr>
        <w:trPr>
          <w:trHeight w:val="187"/>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8"/>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Derivatives Instruments</w:t>
            </w:r>
          </w:p>
        </w:tc>
        <w:tc>
          <w:tcPr>
            <w:tcW w:w="10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(a)</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 (a)</w:t>
            </w:r>
          </w:p>
        </w:tc>
      </w:tr>
      <w:tr>
        <w:trPr>
          <w:trHeight w:val="191"/>
        </w:trPr>
        <w:tc>
          <w:tcPr>
            <w:tcW w:w="2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60" w:type="dxa"/>
            <w:vAlign w:val="bottom"/>
            <w:gridSpan w:val="2"/>
            <w:shd w:val="clear" w:color="auto" w:fill="CCEEFF"/>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9"/>
              </w:rPr>
              <w:t>Other long-term assets</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24,482</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27,375</w:t>
            </w:r>
          </w:p>
        </w:tc>
        <w:tc>
          <w:tcPr>
            <w:tcW w:w="84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See Note 10 for the fair value measurements related to these financial instruments.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effect of the cash flow hedge on other comprehensive income (loss) and earnings for the periods presented was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Derivatives Qualifying as Hedges, net of tax </w:t>
            </w:r>
            <w:r>
              <w:rPr>
                <w:rFonts w:ascii="Times New Roman" w:cs="Times New Roman" w:eastAsia="Times New Roman" w:hAnsi="Times New Roman"/>
                <w:sz w:val="18"/>
                <w:szCs w:val="18"/>
                <w:color w:val="auto"/>
              </w:rPr>
              <w:t>(in thousands)</w:t>
            </w:r>
          </w:p>
        </w:tc>
        <w:tc>
          <w:tcPr>
            <w:tcW w:w="100" w:type="dxa"/>
            <w:vAlign w:val="bottom"/>
            <w:vMerge w:val="restart"/>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2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recognized in OCI on derivatives (effective portion)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9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9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reclassified from accumulated OCI to interest expense</w:t>
            </w:r>
          </w:p>
        </w:tc>
        <w:tc>
          <w:tcPr>
            <w:tcW w:w="3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Assets (Liabilities) </w:t>
            </w:r>
            <w:r>
              <w:rPr>
                <w:rFonts w:ascii="Times New Roman" w:cs="Times New Roman" w:eastAsia="Times New Roman" w:hAnsi="Times New Roman"/>
                <w:sz w:val="18"/>
                <w:szCs w:val="18"/>
                <w:color w:val="auto"/>
              </w:rPr>
              <w:t>(in thousands)</w:t>
            </w:r>
          </w:p>
        </w:tc>
        <w:tc>
          <w:tcPr>
            <w:tcW w:w="100" w:type="dxa"/>
            <w:vAlign w:val="bottom"/>
            <w:vMerge w:val="restart"/>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Fair Value as of June 30, 2024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2023</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 common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Company uses the market approach technique to value its financial liabilities. The Company’s financial assets and liabilities carried at fair value include, when applicable, investments in common stock and derivative instruments used to hedge the Company’s interest rate risks. The fair value of the Company’s investment in HRGN common stock (see Note 6) was based on the closing price per the OTCQB Marketplace at the reporting date. The fair value of the Company’s interest rate swap agreement was based on SOFR yield curves at the reporting date.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Stock-based compensation expense for the three and six months ended June 30, 2024 and 2023 was allocated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1,573</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2,255</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As of June 30, 2024, the total compensation costs related to unvested awards not yet recognized was $7.8 million and the weighted average period over which it is expected to be recognized is approximately 2.0 years. The Company did not capitalize any stock-based compensation.</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Restricted stock unit (“RSU”) activity for the six months ended June 30, 2024 was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Time-Based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2440" w:type="dxa"/>
            <w:vAlign w:val="bottom"/>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1,164,996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1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801,845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981,540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375,895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c>
          <w:tcPr>
            <w:tcW w:w="1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1,954,770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801,845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375,895</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bl>
    <w:p>
      <w:pPr>
        <w:spacing w:after="0" w:line="198"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Unvested shares related to market-based and performance-based vesting conditions are reflected at 100% of their target vesting amount in the table above. Actual vesting could range from zero up to 150% of their target amounts.</w:t>
      </w:r>
    </w:p>
    <w:p>
      <w:pPr>
        <w:spacing w:after="0" w:line="162"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Performance-based RSU awards are contingent on the achievement of certain performance metrics. Compensation cost associated with performance-based RSUs are recognized based on the estimated number of shares that the Company ultimately expects will be earned. If the estimated number of shares to be earned is revised in the future, then stock-based compensation expense will be adjusted accordingly.</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 option activity for the six months ended June 30, 2024 was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22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38"/>
        </w:trPr>
        <w:tc>
          <w:tcPr>
            <w:tcW w:w="5220" w:type="dxa"/>
            <w:vAlign w:val="bottom"/>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28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2023</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924,067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exercisable at June 30, 2024</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896,953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5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preceding table represents the total pre-tax intrinsic value, based on the Company’s closing stock price of $2.85 as of the last trading day of the reporting period, which would have been received by the option holders had all option holders exercised their options as of that date. The aggregate intrinsic value of options exercised during the six months ended June 30, 2024, was not significant.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determination of the annual effective tax rate is based upon a number of significant estimates and judgments, including the estimated annual pretax income in each tax jurisdiction in which the Company operates and the development of tax planning strategies during the year. In addition, as a global commercial enterprise, the Company’s tax expense can be impacted by changes in tax rates or laws, the finalization of tax audits and reviews and other factors that cannot be predicted with certainty. As such, there can be significant volatility in interim tax provisions.</w:t>
      </w:r>
    </w:p>
    <w:p>
      <w:pPr>
        <w:spacing w:after="0" w:line="180"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The income tax benefit was $0.4 million and $1.1 million for the three months ended June 30, 2024 and 2023, respectively, and was $0.1 million and $0.5 million for the six months ended June 30, 2024 and 2023, respectively. The Company’s effective tax rates of 10.8% and 1.8% for the three and six months ended June 30, 2024, respectively, were lower than the U.S. statutory rate primarily due to the inclusion of non-deductible executive compensation and changes in valuation allowances associated with the Company’s assessment of the likelihood of the recoverability of deferred tax assets. The Company’s effective tax rates of 53.3% and 59.8% for the three and six months ended June 30, 2023 were higher than the U.S. statutory rate primarily due to a Global Intangible Low-Taxed Income (“GILTI”) inclusion to taxable income and changes in valuation allowances. The Company has valuation allowances against substantially all of its tax credit carryforwards.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Contingent Liabilities</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183"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its directors and officers. It is not possible to determine the maximum potential liability amount under these indemnification agreements due to the limited history of prior indemnification claims and the unique facts and circumstances involved in each particular agreement. The Company has not recorded any liability for costs related to contingent indemnification obligations as of June 30, 2024.</w:t>
      </w:r>
    </w:p>
    <w:p>
      <w:pPr>
        <w:spacing w:after="0" w:line="18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Company is subject to unclaimed property laws in the ordinary course of its business.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The Company recorded a credit of $(0.1) million and an expense of $0.3 million during the three and six months ended June 30, 2024, respectively, related to unclaimed property audits which have been included in other operating expenses in the consolidated statement of operations.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Product Line Disposition</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February 2023, the Company sold its Hoefer product line for $0.5 million. The carrying value of assets sold was $0.1 million resulting in a gain on disposition of $0.4 million which was recorded in other income, net in the consolidated statement of operations for the six months ended June 30, 2023. Revenue and gross profit of this disposed product line included in the condensed consolidated statement of operations for the six months ended June 30, 2023 were not significant.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and Other Exit Costs</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 xml:space="preserve">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activities from time to time to transform its business. A portion of these transformation activities are considered restructuring costs under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and are discussed below.</w:t>
      </w:r>
    </w:p>
    <w:p>
      <w:pPr>
        <w:spacing w:after="0" w:line="180"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completed a restructuring and incurred expenses of $0.4 million, primarily consisting of severance incurred in connection with headcount reductions in Europe and North America. The changes in the accrued liability for restructuring and other charges for the six months ended June 30, 2024 were as follows: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20" w:type="dxa"/>
            <w:vAlign w:val="bottom"/>
          </w:tcPr>
          <w:p>
            <w:pPr>
              <w:spacing w:after="0"/>
              <w:rPr>
                <w:sz w:val="20"/>
                <w:szCs w:val="20"/>
                <w:color w:val="auto"/>
              </w:rPr>
            </w:pPr>
          </w:p>
        </w:tc>
        <w:tc>
          <w:tcPr>
            <w:tcW w:w="1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Inventory-Related</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30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2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exit costs</w:t>
            </w: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charges</w:t>
            </w:r>
          </w:p>
        </w:tc>
        <w:tc>
          <w:tcPr>
            <w:tcW w:w="1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6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6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The inventory-related costs are included in cost of revenues and the severance costs have been included as a component of other operating expenses (see Note 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August 6, 2024, the Company entered into the August 2024 Amendment to the Credit Agreement as described in Note 8 – Long-Term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firstLine="39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The forward-looking statements are principally, but not exclusively, contained in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Item 2: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confidence or expectations, and our plans, objectives, expectations, and intentions that are not historical facts. In some cases, you can identify forward-looking statements by terms such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will,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should,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seek,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expects,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plans,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aim,</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anticipates,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believes,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estimates,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predicts,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intends,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think,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potential,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objectives,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optimistic,</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strategy,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goals,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sees,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new,</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guidance,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future,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continue,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drive,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growth,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long-term,</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develop,</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possible,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emerging,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opportunity,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pursue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similar expressions intended to identify forward-looking statements. These statements reflect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the year ended December 31, 2023 and our other filings with the SEC.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Company.</w:t>
      </w:r>
      <w:r>
        <w:rPr>
          <w:rFonts w:ascii="Times New Roman" w:cs="Times New Roman" w:eastAsia="Times New Roman" w:hAnsi="Times New Roman"/>
          <w:sz w:val="17"/>
          <w:szCs w:val="17"/>
          <w:color w:val="auto"/>
        </w:rPr>
        <w: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Harvard Bioscience, Inc., a Delaware corporation,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(“CROs”). With operations in the United States, Europe and China, we sell through a combination of direct and distribution channels to customers around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Developments</w:t>
      </w:r>
    </w:p>
    <w:p>
      <w:pPr>
        <w:spacing w:after="0" w:line="229"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Our business is affected by global and regional economic trends and uncertainties. The global economy has recently experienced increasing uncertainty as a result of developments including inflationary pressure, higher interest rates, fluctuations in exchange rates, economic conditions in China, and the events in Ukraine and the Middle East. Our business has also been affected by the softening of certain international markets, especially in China and the Asia-Pacific region, as well as by delays in government funding for certain customers. Our business has been affected by a reduced demand from our biotechnology and pharmaceutical company customers, due principally to the increased cost of capital and a reduction in spending following the COVID-19 pandemic.</w:t>
      </w:r>
    </w:p>
    <w:p>
      <w:pPr>
        <w:spacing w:after="0" w:line="187"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If these trends are prolonged or are more severe, or if the recovery is less robust or takes longer than anticipated, our business, results of operations, and cash flow may be materially impacted.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three months ended June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23,097</w:t>
            </w:r>
          </w:p>
        </w:tc>
        <w:tc>
          <w:tcPr>
            <w:tcW w:w="1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equity securities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Revenues decreased $5.7 million, or 19.7%, to $23.1 million for the three months ended June 30, 2024, compared to $28.8 million for the three months ended June 30, 2023. The decrease in revenue was primarily due to softening of worldwide demand compared to a strong second quarter in 2023 as well as decreased sales of preclinical products from contract research organizations (CRO’s).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firstLine="396"/>
        <w:spacing w:after="0" w:line="261" w:lineRule="auto"/>
        <w:rPr>
          <w:sz w:val="20"/>
          <w:szCs w:val="20"/>
          <w:color w:val="auto"/>
        </w:rPr>
      </w:pPr>
      <w:r>
        <w:rPr>
          <w:rFonts w:ascii="Times New Roman" w:cs="Times New Roman" w:eastAsia="Times New Roman" w:hAnsi="Times New Roman"/>
          <w:sz w:val="18"/>
          <w:szCs w:val="18"/>
          <w:color w:val="auto"/>
        </w:rPr>
        <w:t>Gross profit decreased $3.5 million, or 20.7%, to $13.2 million for the three months ended June 30, 2024, compared with $16.7 million for the three months ended June 30, 2023, primarily due to the decrease in revenues. Gross margin decreased to 57.2% for the three months ended June 30, 2024, compared with 58.0% for the three months ended June 30, 2023. The decrease in gross margin was primarily the result of under-absorption of fixed manufacturing overhead costs due to the decrease in revenues and lower mix of high margin products.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$0.8 million, or 12.7%, to $5.4 million for the three months ended June 30, 2024, compared with $6.2 million for the three months ended June 30, 2023. The decrease was primarily due to lower compensation and travel costs.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$0.3 million, or 6.2%, to $5.7 million for the three months ended June 30, 2024, compared with $5.4 million for the three months ended June 30, 2023. The increase was primarily due to higher stock-based compensation expense as a result of forfeitures during the prior year period.</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$0.4 million, or 11.2%, to $2.6 million for the three months ended June 30, 2024, compared with $3.0 million for the three months ended June 30, 2023. The decrease was primarily due to lower compensation costs.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included in operating expenses was $1.3 million for the three months ended June 30, 2024, compared with $1.4 million for the three months ended June 30, 2023.</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29" w:lineRule="exact"/>
        <w:rPr>
          <w:sz w:val="20"/>
          <w:szCs w:val="20"/>
          <w:color w:val="auto"/>
        </w:rPr>
      </w:pPr>
    </w:p>
    <w:p>
      <w:pPr>
        <w:ind w:right="140" w:firstLine="396"/>
        <w:spacing w:after="0" w:line="266" w:lineRule="auto"/>
        <w:rPr>
          <w:sz w:val="20"/>
          <w:szCs w:val="20"/>
          <w:color w:val="auto"/>
        </w:rPr>
      </w:pPr>
      <w:r>
        <w:rPr>
          <w:rFonts w:ascii="Times New Roman" w:cs="Times New Roman" w:eastAsia="Times New Roman" w:hAnsi="Times New Roman"/>
          <w:sz w:val="18"/>
          <w:szCs w:val="18"/>
          <w:color w:val="auto"/>
        </w:rPr>
        <w:t>Other operating expenses for the three months ended June 30, 2024 was $0.2 million and included $0.4 million of restructuring costs in connection with headcount reductions in Europe and North America, which was partially offset by a credit of $0.1 million related to closure of an unclaimed property audit.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Interest expense decreased $0.2 million, or 20.4%, to $0.7 million for the three months ended June 30, 2024, compared with $0.9 million for the three months ended June 30, 2023. The decrease was primarily due to lower average borrowings during the period.</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Loss on equity securities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2024, we held shares of common stock of HRGN with an estimated fair value of $1.7 million. These shares were received in April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connection with settlement of indemnification obligations related to litigation which was resolved during the year ended December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2024, we sold all of our remaining HRGN shares for $1.4 million and recorded a loss of $0.3 million.</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income tax benefit was $0.4 million and $1.1 million for the three months ended June 30, 2024 and 2023, respectively. The effective tax rates for the three months ended June 30, 2024 and 2023 were 10.8% and 53.3%, respectively. The lower effective tax rate during the three months ended June 30, 2024 compared to the three months ended June 30, 2023 was related to a decrease in the Global Intangible Low Tax Income (“GILTI”) inclusion. The effective tax rate for both the second quarters of 2024 and 2023 differed from the U.S. statutory rate primarily due to the inclusion of non-deductible executive compensation and changes in valuation allowances associated with our assessment of the likelihood of the recoverability of deferred tax assets.</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47,609</w:t>
            </w:r>
          </w:p>
        </w:tc>
        <w:tc>
          <w:tcPr>
            <w:tcW w:w="1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58,734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27,990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11,299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12,156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equity securities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bl>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Revenues decreased $11.1 million, or 18.9%, to $47.6 million for the six months ended June 30, 2024, compared to $58.7 million for the six months ended June 30, 2023. The decrease in revenue was primarily due to softening worldwide demand compared to a strong first half in 2023 as well as decreased sales of preclinical products from CRO’s.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Gross profit decreased $7.0 million, or 20.1%, to $28.0 million for the six months ended June 30, 2024 compared with $35.0 million for the six months ended June 30, 2023, primarily due to the decrease in revenues. Gross margin decreased to 58.8% for the six months ended June 30, 2024, compared with 59.6% for the six months ended June 30, 2023. The decrease in gross margin was primarily the result of under-absorption of manufacturing overhead costs due to the decrease in revenues.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$0.9 million, or 7.1%, to $11.3 million for the six months ended June 30, 2024, compared with $12.2 million for the six months ended June 30, 2023. The decrease was primarily due to lower compensation and travel costs.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remained relatively unchanged and were $11.6 million for the six months ended June 30, 2024, compared with $11.7 million for the six months ended June 30, 2023. Decreases in compensation during the period were partially offset by increases in professional fees.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$0.4 million, or 5.9%, to $5.5 million for the six months ended June 30, 2024, compared with $5.9 million for the six months ended June 30, 2023. The decrease was primarily due to lower compensation costs.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included in operating expenses remained relatively unchanged and were $2.7 million for the six months ended June 30, 2024, compared with $2.8 million for the six months ended June 30, 2023.</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Other operating expenses for the six months ended June 30, 2024, were $1.2 million and included a fee of $0.5 million in connection with the receipt of employee retention credits, $0.3 million related to settlement of an unclaimed property audit, and restructuring costs of $0.4 million in connection with headcount reductions in Europe and North America.</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Interest expense decreased $0.4 million, or 21.7%, to $1.5 million for the six months ended June 30, 2024, compared with $1.9 million for the six months ended June 30, 2023. The decrease was primarily due to lower average borrowings during the period.</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Loss on equity securities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As of December 31, 2023, we held shares of common stock of HRGN with an estimated fair value of $3.5 million. These shares were received in April 2023 in connection with settlement of indemnification obligations related to litigation which was resolved during the year ended December 31, 2022. During the six months ended June 30, 2024, we sold all of our remaining HRGN shares for $1.9 million and recorded a loss of $1.6 million.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income tax benefit was $0.1 million and $0.5 million for the six months ended June 30, 2024 and 2023, respectively. The effective tax rates for the six months ended June 30, 2024 and 2023 were 1.8% and 59.8%, respectively. The lower effective tax rate during the six months ended June 30, 2024, compared to the six months ended June 30, 2023 related to a decrease in the GILTI inclusion and changes to reserves for uncertain tax positions. The effective tax rate for both the second quarters of 2024 and 2023 differed from the U.S. statutory rate primarily due to the inclusion of non-deductible executive compensation and changes in valuation allowances associated with our assessment of the likelihood of the recoverability of deferred tax assets.</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salaries, inventory, and capital expenditures.</w:t>
      </w:r>
    </w:p>
    <w:p>
      <w:pPr>
        <w:spacing w:after="0" w:line="176"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We held cash and cash equivalents of $4.0 million and $4.3 million as of June 30, 2024 and December 31, 2023, respectively. Borrowings outstanding were $36.1 million and $37.1 million as of June 30, 2024 and December 31, 2023, respectively.</w:t>
      </w:r>
    </w:p>
    <w:p>
      <w:pPr>
        <w:spacing w:after="0" w:line="162"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We maintain a Credit Agreement which provides for a term loan of $40.0 million and a $25.0 million senior revolving credit facility both maturing on December 22, 2025. On March 28, 2024, we entered into an amendment to the Credit Agreement pursuant to which the Lenders and administrative agent modified the definition of Consolidated EBITDA used in the calculation of certain financial covenants to adjust for charges related to the ongoing abandoned property audit and commission fees expected to be paid in connection with our employee retention credit filings.</w:t>
      </w:r>
    </w:p>
    <w:p>
      <w:pPr>
        <w:spacing w:after="0" w:line="18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On August 6, 2024, we entered into an amendment to the Credit Agreement that, among other things, modifies the financial covenants relating to the consolidated net leverage ratio and consolidated fixed charge coverage ratio through the period ended December 31, 2024. The amendment also adds a net leverage ratio requirement with respect to additional borrowing under our revolving credit facility and restrictions on certain additional indebtedness and investments, in each case until we deliver to the Lenders our financial statements for the fiscal year ending December 31, 2024. In addition, until delivery of the financial statements, the applicable interest rate margin will be increased by 50bps during such time as the consolidated net leverage ratio is greater than 3.0. We paid fees of $0.2 million to the Lenders in connection with the amendment. As a result of the August 2024 Amendment, we are in compliance with the financial covenants of the Credit Agreement (see Note 8 to the Consolidated Condensed Financial Statements included in Part I, Item 1. of this report).</w:t>
      </w:r>
    </w:p>
    <w:p>
      <w:pPr>
        <w:spacing w:after="0" w:line="192"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As of June 30, 2024, the weighted average interest rate on our borrowings, net of the effect of the interest rate swaps, was 7.7%, and the available and unused borrowing capacity was $5.4 million. Total revolver borrowing capacity is limited by our consolidated net leverage ratio as defined under the Credit Agreement, as amended on August 6, 2024.</w:t>
      </w:r>
    </w:p>
    <w:p>
      <w:pPr>
        <w:spacing w:after="0" w:line="176"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plans, we expect that our available cash, cash generated from current operations and debt capacity will be sufficient to finance current operations and capital expenditures for at least the next 12 months. This assessment includes consideration of our best estimates of the impact of macroeconomic conditions on our financial results described above. Our forecast of the period of time through which our financial resources will be adequate to support our operations is a forward-looking statement that involves risks and uncertainties, and actual results could vary as a result of a number of factors.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CASH FLOW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used in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5,364</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$0.6 million and $5.4 million for the six months ended June 30, 2024 and 2023, respectively. Cash flow from operations for the six months ended June 31, 2024 was negatively impacted as a result of the decline in net income for the period adjusted for non-cash items and was positively impacted by the receipt of $3.2 million of employee retention credits.</w:t>
      </w:r>
    </w:p>
    <w:p>
      <w:pPr>
        <w:spacing w:after="0" w:line="176"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Cash provided by investing activities was $0.2 million for the six months ended June 30, 2024, and consisted of $1.9 million in proceeds from the sale of marketable equity securities, offset by $1.7 million of capital expenditures in manufacturing and information technology infrastructure, and software development. Cash used in investing activities was $0.3 million for the six months ended June 30, 2023, and consisted of $0.8 million of capital expenditures in manufacturing, information technology infrastructure, and software development, partially offset by $0.5 million from proceeds of the sale our Hoefer product line.</w:t>
      </w:r>
    </w:p>
    <w:p>
      <w:pPr>
        <w:spacing w:after="0" w:line="183"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was $0.9 million and $5.3 million for the six months ended June 30, 2024 and 2023, respectively. During the six months ended June 30, 2024, debt outstanding under our credit facility decreased by $1.0 million, consisting of net borrowings under our revolver of $3.0 million, and payments of $4.0 million against the term loan. We also received proceeds of $0.2 million from the exercise of stock options and employee stock purchases and paid $0.1 million for taxes related to net share settlement of equity awards. During the six months ended June 30, 2023, debt outstanding under our credit facility decreased by $5.5 million, consisting of net payments against our revolver of $2.9 million and payments of $2.6 million against the term loan. During the six months ended June 30, 2023, we also received proceeds of $0.7 million from the exercise of stock options and employee stock purchases and paid $0.5 million for taxes related to net share settlement of equity awards.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Impact of Foreign Currencies</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Our international operations in some instances operate in a natural hedge, as we sell our products in many countries and a substantial portion of our revenues, costs and expenses are denominated in foreign currencies, primarily the euro and British pound.</w:t>
      </w:r>
    </w:p>
    <w:p>
      <w:pPr>
        <w:spacing w:after="0" w:line="162"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changes in foreign currency exchange rates had an insignificant effect on our revenues and expenses. During the six months ended June 30, 2024, changes in foreign currency exchange rates resulted in an unfavorable effect on our revenue of approximately $0.1 million and a favorable effect on expenses of approximately $0.1 million.</w:t>
      </w:r>
    </w:p>
    <w:p>
      <w:pPr>
        <w:spacing w:after="0" w:line="176"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gain (loss) associated with the translation of our foreign equity into U.S. dollars included as a component of other comprehensive income (loss) was $(0.1) million and $0.2 million for the three months ended June 30, 2024 and June 30, 2023, respectively, and $(0.9) million and $1.0 million for the six months ended June 30, 2024 and 2023, respectively.</w:t>
      </w:r>
    </w:p>
    <w:p>
      <w:pPr>
        <w:spacing w:after="0" w:line="176"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Currency exchange rate fluctuations included as a component of net loss resulted in currency losses of $(0.1) million for both the three months ended June 30, 2024 and 2023, respectively, and $(0.1) million for both the six months ended June 30, 2024 and 2023, respectively.</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underlying the accompanying unaudited consolidated financial statements and as set forth in Part II, Item 7 included in our Annual Report on Form 10-K for the fiscal year ended December 31, 2023.</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impacting our business, see “Recently Issued Accounting Pronouncements Yet to Be Adopted” included in Note 1 to our Condensed Consolidated Financial Statements included in Part I, Item 1. of this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As of June 30, 2024,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second quarter of fiscal 2024 that have materially affected, or are reasonably likely to materially affect, our internal control over financial reporting.</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227"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The information included in Note 13 to the Condensed Consolidated Financial Statements (Unaudited) included in Part I, Item 1 of this quarterly report is incorporated herein by reference.</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Annual Report on Form 10-K for the fiscal year ended December 31, 2023, which could materially affect our business, financial position, or future results of operations. The risks described in our Annual Report on Form 10-K are not the only risks we face. Additional risks and uncertainties not currently known to us or that we currently deem to be immaterial may also materially adversely affect our business, financial position, or future results of operations.</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On May 13, 2024, Bertrand Loy, a member of our Board of Directors, adopted a trading plan intended to satisfy the affirmative defense available under Rule 10b5-1(c) (the “Trading Plan”) in connection with the exercise of options to purchase shares of our common stock expiring on November 13, 2024 and the sale of the underlying shares. The maximum number of shares of our common stock that may be sold under the Trading Plan is 55,300 shares.</w:t>
      </w:r>
    </w:p>
    <w:p>
      <w:pPr>
        <w:spacing w:after="0" w:line="176"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description of the August 2024 Amendment to the Credit Agreement included in Note 8 to the Condensed Consolidated Financial Statements (Unaudited) included in Part I, Item 1 of this quarterly report is incorporated herein by reference. The foregoing description of the August 2024 Amendment does not purport to be complete and is qualified in its entirety by reference to the full text of the August 2024 Amendment, which is filed as Exhibit 10.1 to this quarterly report.</w:t>
      </w:r>
    </w:p>
    <w:p>
      <w:pPr>
        <w:spacing w:after="0" w:line="200" w:lineRule="exact"/>
        <w:rPr>
          <w:sz w:val="20"/>
          <w:szCs w:val="20"/>
          <w:color w:val="auto"/>
        </w:rPr>
      </w:pPr>
    </w:p>
    <w:p>
      <w:pPr>
        <w:spacing w:after="0" w:line="21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10.2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10.3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10.4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32.2*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0000EE"/>
        </w:rPr>
        <w:t>Fourth Amendment to Credit Agreement dated August 6, 2024, among Harvard Bioscience, Inc., Citizen Bank, N. A., as the administrative agent, and the lenders party thereto. (filed with this report).</w:t>
      </w:r>
    </w:p>
    <w:p>
      <w:pPr>
        <w:spacing w:after="0"/>
        <w:rPr>
          <w:sz w:val="20"/>
          <w:szCs w:val="20"/>
          <w:color w:val="auto"/>
        </w:rPr>
      </w:pPr>
      <w:r>
        <w:rPr>
          <w:rFonts w:ascii="Times New Roman" w:cs="Times New Roman" w:eastAsia="Times New Roman" w:hAnsi="Times New Roman"/>
          <w:sz w:val="18"/>
          <w:szCs w:val="18"/>
          <w:u w:val="single" w:color="auto"/>
          <w:color w:val="0000EE"/>
        </w:rPr>
        <w:t>Form of Director and Officer Indemnification Agreement (filed with this report)</w:t>
      </w:r>
    </w:p>
    <w:p>
      <w:pPr>
        <w:spacing w:after="0" w:line="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u w:val="single" w:color="auto"/>
          <w:color w:val="0000EE"/>
        </w:rPr>
        <w:t>Form of Time-Based Restricted Stock Unit Award Agreement -2021 Incentive Plan (for awards granted on or after March 5, 2024) (filed with this report)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Form of Performance-Based Restricted Stock Unit Award Agreement -2021 Incentive Plan (for awards granted on or after March 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(filed with this report)</w:t>
      </w:r>
    </w:p>
    <w:p>
      <w:pPr>
        <w:spacing w:after="0" w:line="9"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of Harvard Bioscience, Inc., pursuant to Rules 13a-14(a) and 15d-14(a), as adopted pursuant to Section 302 of the Sarbanes-Oxley Act of 2002..</w:t>
      </w:r>
    </w:p>
    <w:p>
      <w:pPr>
        <w:spacing w:after="0" w:line="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of Harvard Bioscience, Inc., pursuant to Rules 13a-14(a) and 15d-14(a), as adopted pursuant to Section 302 of the Sarbanes-Oxley Act of 2002.</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of Harvard Bioscience, Inc., pursuant to 18 U.S.C. Section 1350, as adopted pursuant to Section 906 of the Sarbanes-Oxley Act of 2002.</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of Harvard Bioscience, Inc., pursuant to 18 U.S.C. Section 1350, as adopted pursuant to Section 906 of the Sarbanes-Oxley Act of 2002</w:t>
      </w:r>
    </w:p>
    <w:p>
      <w:pPr>
        <w:spacing w:after="0" w:line="1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20" w:space="720"/>
            <w:col w:w="1010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Cover Page Interactive Data File (formatted in Inline XBRL and contained in Exhibit 101)</w:t>
            </w:r>
          </w:p>
        </w:tc>
      </w:tr>
    </w:tbl>
    <w:p>
      <w:pPr>
        <w:spacing w:after="0" w:line="198" w:lineRule="exact"/>
        <w:rPr>
          <w:sz w:val="20"/>
          <w:szCs w:val="20"/>
          <w:color w:val="auto"/>
        </w:rPr>
      </w:pPr>
    </w:p>
    <w:p>
      <w:pPr>
        <w:jc w:val="both"/>
        <w:ind w:left="1260" w:hanging="1252"/>
        <w:spacing w:after="0" w:line="266"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undersigned thereunto duly authorized.</w:t>
      </w:r>
    </w:p>
    <w:p>
      <w:pPr>
        <w:spacing w:after="0" w:line="16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9" w:lineRule="exact"/>
        <w:rPr>
          <w:sz w:val="20"/>
          <w:szCs w:val="20"/>
          <w:color w:val="auto"/>
        </w:rPr>
      </w:pPr>
    </w:p>
    <w:tbl>
      <w:tblPr>
        <w:tblLayout w:type="fixed"/>
        <w:tblInd w:w="606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GREEN</w:t>
            </w:r>
          </w:p>
        </w:tc>
      </w:tr>
      <w:tr>
        <w:trPr>
          <w:trHeight w:val="191"/>
        </w:trPr>
        <w:tc>
          <w:tcPr>
            <w:tcW w:w="680" w:type="dxa"/>
            <w:vAlign w:val="bottom"/>
          </w:tcPr>
          <w:p>
            <w:pPr>
              <w:spacing w:after="0"/>
              <w:rPr>
                <w:sz w:val="16"/>
                <w:szCs w:val="16"/>
                <w:color w:val="auto"/>
              </w:rPr>
            </w:pPr>
          </w:p>
        </w:tc>
        <w:tc>
          <w:tcPr>
            <w:tcW w:w="3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James Green</w:t>
            </w:r>
          </w:p>
        </w:tc>
      </w:tr>
      <w:tr>
        <w:trPr>
          <w:trHeight w:val="234"/>
        </w:trPr>
        <w:tc>
          <w:tcPr>
            <w:tcW w:w="68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 JENNIFER COTE</w:t>
            </w:r>
          </w:p>
        </w:tc>
      </w:tr>
      <w:tr>
        <w:trPr>
          <w:trHeight w:val="191"/>
        </w:trPr>
        <w:tc>
          <w:tcPr>
            <w:tcW w:w="680" w:type="dxa"/>
            <w:vAlign w:val="bottom"/>
          </w:tcPr>
          <w:p>
            <w:pPr>
              <w:spacing w:after="0"/>
              <w:rPr>
                <w:sz w:val="16"/>
                <w:szCs w:val="16"/>
                <w:color w:val="auto"/>
              </w:rPr>
            </w:pPr>
          </w:p>
        </w:tc>
        <w:tc>
          <w:tcPr>
            <w:tcW w:w="3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Jennifer Cote</w:t>
            </w:r>
          </w:p>
        </w:tc>
      </w:tr>
      <w:tr>
        <w:trPr>
          <w:trHeight w:val="234"/>
        </w:trPr>
        <w:tc>
          <w:tcPr>
            <w:tcW w:w="68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6" w:name="page27"/>
    <w:bookmarkEnd w:id="26"/>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FOURTH AMENDMENT TO CREDIT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FOURTH AMENDMENT TO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August 6, 2024, by and among HARVARD BIOSCIENCE,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CITIZENS BANK, N.A., in its capacity as the Administrative Agent (in such capacity,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Lenders party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 the other Loan Parties party thereto, the Administrative Agent and the Lenders are parties to the Credit Agreement, dated as of December 22, 2020 (as in effect on the date hereof immediately before giving effect to this Amendment,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further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Loan Parties have requested that the Administrative Agent and the Required Lenders agree to make certain amendments to the Existing Credit Agreement, and the Administrative Agent and the Required Lenders have agreed to such amendments, subject to the terms and conditions hereof;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each Loan Party expects to realize substantial direct and indirect benefits as a result of this Amendment becoming effective, and agrees to reaffirm its obligations under the Existing Credit Agreement and the other Loan Documents to which it is a party.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herein, and other valuable consideration, the receipt and sufficiency of all of which are hereby acknowledged, the parties agree as follows: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Capitalized terms used but not defined herein (including in the recitals hereto) shall have the meanings assigned to them in the Credit Agreement.</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the satisfaction of the conditions set forth herein, effective as of the Fourth Amendment Effective Date (as defined below), the Existing Credit Agreement is hereby amended (a) to delete the red or green stricken text (indicated textually in the same manner as the following examples: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38761D"/>
          <w:strike w:val="1"/>
        </w:rPr>
        <w:t>stricken text</w:t>
      </w:r>
      <w:r>
        <w:rPr>
          <w:rFonts w:ascii="Times New Roman" w:cs="Times New Roman" w:eastAsia="Times New Roman" w:hAnsi="Times New Roman"/>
          <w:sz w:val="18"/>
          <w:szCs w:val="18"/>
          <w:color w:val="auto"/>
        </w:rPr>
        <w:t xml:space="preserve">) and (b) to add the blue or green double-underlined text (indicated textually in the same manner as the following examples: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38761D"/>
        </w:rPr>
        <w:t>double-underlined text</w:t>
      </w:r>
      <w:r>
        <w:rPr>
          <w:rFonts w:ascii="Times New Roman" w:cs="Times New Roman" w:eastAsia="Times New Roman" w:hAnsi="Times New Roman"/>
          <w:sz w:val="18"/>
          <w:szCs w:val="18"/>
          <w:color w:val="auto"/>
        </w:rPr>
        <w:t xml:space="preserve">), in each case, as set forth in the marked copy of the Credit Agreement (and to the extent provided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 exhibits, schedules and appendices to the Credit Agreement)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made a part hereof for all purposes.</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Amendment shall be effective as of the date of the satisfaction of each of the following conditions, and in case of any documentation to be delivered to the Administrative Agent, such documentation shall be in form and substance reasonably satisfactory to the Administrative Agent (such date, the “</w:t>
      </w:r>
      <w:r>
        <w:rPr>
          <w:rFonts w:ascii="Times New Roman" w:cs="Times New Roman" w:eastAsia="Times New Roman" w:hAnsi="Times New Roman"/>
          <w:sz w:val="18"/>
          <w:szCs w:val="18"/>
          <w:u w:val="single" w:color="auto"/>
          <w:color w:val="auto"/>
        </w:rPr>
        <w:t>Fourth Amendment Effective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This Amendment shall have been duly executed and delivered by the Borrower, the Administrative Agent and the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ind w:right="20" w:firstLine="1304"/>
        <w:spacing w:after="0" w:line="258" w:lineRule="auto"/>
        <w:tabs>
          <w:tab w:leader="none" w:pos="16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to the Administrative Agent (i) for the account of each Lender party hereto, an amendment fee equal to 0.25% of the aggregate of such Lender’s Revolving Commitment and such Lender’s pro rata portion of the outstanding principal amount of the Term Loan (the “</w:t>
      </w:r>
      <w:r>
        <w:rPr>
          <w:rFonts w:ascii="Times New Roman" w:cs="Times New Roman" w:eastAsia="Times New Roman" w:hAnsi="Times New Roman"/>
          <w:sz w:val="18"/>
          <w:szCs w:val="18"/>
          <w:u w:val="single" w:color="auto"/>
          <w:color w:val="auto"/>
        </w:rPr>
        <w:t>Amendment Fee</w:t>
      </w:r>
      <w:r>
        <w:rPr>
          <w:rFonts w:ascii="Times New Roman" w:cs="Times New Roman" w:eastAsia="Times New Roman" w:hAnsi="Times New Roman"/>
          <w:sz w:val="18"/>
          <w:szCs w:val="18"/>
          <w:color w:val="auto"/>
        </w:rPr>
        <w:t xml:space="preserve">”), and such Amendment Fee shall be (A) deemed fully earned and due and payable upon satisfaction of all other conditions to effectiveness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(B) nonrefundable and (ii) all other costs, fees, and expenses owed by the Borrower to the Administrative agent, including, without limitations, all reimbursable Attorney’s Costs as provided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 Credit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ind w:left="-40" w:right="260" w:firstLine="1304"/>
        <w:spacing w:after="0" w:line="258" w:lineRule="auto"/>
        <w:tabs>
          <w:tab w:leader="none" w:pos="16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 accounts receivable aging reports and account payable aging reports, (ii) a certification from a Responsible Officer of the Borrower as to the amount of cash and Cash Equivalents of the Borrower at such time, detailed by region and currency of such cash and Cash Equivalents, (iii) a certification from a Responsible Officer of the Borrower as to the accounts receivable of the Borrower at such time, detailed by region of such accounts receivable and (iv) a certification from a Responsible Officer as to the inventory of the Borrower at such time, detailed by region of such inventory, pursuant to Section 6.1(g) of the Credit Agreement.</w:t>
      </w:r>
    </w:p>
    <w:p>
      <w:pPr>
        <w:spacing w:after="0" w:line="183" w:lineRule="exact"/>
        <w:rPr>
          <w:sz w:val="20"/>
          <w:szCs w:val="20"/>
          <w:color w:val="auto"/>
        </w:rPr>
      </w:pPr>
    </w:p>
    <w:p>
      <w:pPr>
        <w:ind w:left="62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 xml:space="preserve">Representations and Warranties. </w:t>
      </w:r>
      <w:r>
        <w:rPr>
          <w:rFonts w:ascii="Times New Roman" w:cs="Times New Roman" w:eastAsia="Times New Roman" w:hAnsi="Times New Roman"/>
          <w:sz w:val="17"/>
          <w:szCs w:val="17"/>
          <w:color w:val="auto"/>
        </w:rPr>
        <w:t>The Borrower represents and warrants to the Lenders as follows:</w:t>
      </w:r>
    </w:p>
    <w:p>
      <w:pPr>
        <w:spacing w:after="0" w:line="225" w:lineRule="exact"/>
        <w:rPr>
          <w:sz w:val="20"/>
          <w:szCs w:val="20"/>
          <w:color w:val="auto"/>
        </w:rPr>
      </w:pPr>
    </w:p>
    <w:p>
      <w:pPr>
        <w:ind w:left="-40" w:right="120" w:firstLine="656"/>
        <w:spacing w:after="0" w:line="261" w:lineRule="auto"/>
        <w:tabs>
          <w:tab w:leader="none" w:pos="9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all requisite power and authority to execute, deliver and perform this Amendment and all documents and instruments delivered in connection herewith, the Borrower has taken all necessary organizational action to authorize the execution, delivery and performance of this Amendment and all documents and instruments delivered in connection herewith, and this Amendment has been duly executed and delivered on behalf of the Borrower.</w:t>
      </w:r>
    </w:p>
    <w:p>
      <w:pPr>
        <w:spacing w:after="0" w:line="179" w:lineRule="exact"/>
        <w:rPr>
          <w:rFonts w:ascii="Times New Roman" w:cs="Times New Roman" w:eastAsia="Times New Roman" w:hAnsi="Times New Roman"/>
          <w:sz w:val="18"/>
          <w:szCs w:val="18"/>
          <w:color w:val="auto"/>
        </w:rPr>
      </w:pPr>
    </w:p>
    <w:p>
      <w:pPr>
        <w:ind w:left="-40" w:firstLine="656"/>
        <w:spacing w:after="0" w:line="266" w:lineRule="auto"/>
        <w:tabs>
          <w:tab w:leader="none" w:pos="9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constitutes a legal, valid and binding obligation of the Borrower and the other Loan Parties, enforceable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75" w:lineRule="exact"/>
        <w:rPr>
          <w:rFonts w:ascii="Times New Roman" w:cs="Times New Roman" w:eastAsia="Times New Roman" w:hAnsi="Times New Roman"/>
          <w:sz w:val="18"/>
          <w:szCs w:val="18"/>
          <w:color w:val="auto"/>
        </w:rPr>
      </w:pPr>
    </w:p>
    <w:p>
      <w:pPr>
        <w:ind w:left="-40" w:right="520" w:firstLine="656"/>
        <w:spacing w:after="0" w:line="266" w:lineRule="auto"/>
        <w:tabs>
          <w:tab w:leader="none" w:pos="9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by the Loan Parties in the Loan Documents to which they are party is true and correct in all material respects (or, if qualified as to materiality or as to a Material Adverse Effect, in all respects) as of the date hereof (or, to the extent any such representation or warranty refers specifically to an earlier date, as of such earlier date) and before and after giving effect to this Amendment.</w:t>
      </w:r>
    </w:p>
    <w:p>
      <w:pPr>
        <w:spacing w:after="0" w:line="176" w:lineRule="exact"/>
        <w:rPr>
          <w:sz w:val="20"/>
          <w:szCs w:val="20"/>
          <w:color w:val="auto"/>
        </w:rPr>
      </w:pPr>
    </w:p>
    <w:p>
      <w:pPr>
        <w:ind w:left="62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Effect of this Amendment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0" w:right="320" w:firstLine="656"/>
        <w:spacing w:after="0" w:line="261" w:lineRule="auto"/>
        <w:tabs>
          <w:tab w:leader="none" w:pos="9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hereby, all terms, conditions, covenants, representations and warranties contained in the Existing Credit Agreement and the other Loan Documents, all rights of the Lender and all of the Obligations shall remain in full force and effect. The Borrower hereby confirms that the Loan Documents previously executed by the Loan Parties are in full force and effect and that the Loan Parties have no right of setoff, recoupment or other offset or any defense as of the date hereof with respect to any of the Obligations or any such Loan Document.</w:t>
      </w:r>
    </w:p>
    <w:p>
      <w:pPr>
        <w:spacing w:after="0" w:line="179" w:lineRule="exact"/>
        <w:rPr>
          <w:rFonts w:ascii="Times New Roman" w:cs="Times New Roman" w:eastAsia="Times New Roman" w:hAnsi="Times New Roman"/>
          <w:sz w:val="18"/>
          <w:szCs w:val="18"/>
          <w:color w:val="auto"/>
        </w:rPr>
      </w:pPr>
    </w:p>
    <w:p>
      <w:pPr>
        <w:ind w:left="-40" w:right="240" w:firstLine="656"/>
        <w:spacing w:after="0" w:line="261" w:lineRule="auto"/>
        <w:tabs>
          <w:tab w:leader="none" w:pos="9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directly or indirectly constitute (i) a novation of any of the Obligations under the Existing Credit Agreement, the Credit Agreement or the other Loan Documents or (ii) constitute a course of dealing or, except as expressly amended hereby, other basis for altering any Obligations or any other contract or instrument (including, without limitation, the Existing Credit Agreement, the Credit Agreement and the other Loan Documents).</w:t>
      </w:r>
    </w:p>
    <w:p>
      <w:pPr>
        <w:spacing w:after="0" w:line="179" w:lineRule="exact"/>
        <w:rPr>
          <w:rFonts w:ascii="Times New Roman" w:cs="Times New Roman" w:eastAsia="Times New Roman" w:hAnsi="Times New Roman"/>
          <w:sz w:val="18"/>
          <w:szCs w:val="18"/>
          <w:color w:val="auto"/>
        </w:rPr>
      </w:pPr>
    </w:p>
    <w:p>
      <w:pPr>
        <w:jc w:val="both"/>
        <w:ind w:left="-40" w:right="260" w:firstLine="656"/>
        <w:spacing w:after="0" w:line="261" w:lineRule="auto"/>
        <w:tabs>
          <w:tab w:leader="none" w:pos="9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(i) the term “Agreement” in the Credit Agreement, and all references to the Credit Agreement in any other Loan Document, shall mean the Credit Agreement as amended hereby, and (ii) the term “Loan Documents” in the Credit Agreement and the other Loan Documents shall include, without limitation, this Amendment and any agreements, instruments and other documents executed and/or delivered in connection herewith. This Amendment is a Loan Document.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0" w:right="359" w:bottom="1440" w:gutter="0" w:footer="0" w:header="0"/>
        </w:sectPr>
      </w:pPr>
    </w:p>
    <w:bookmarkStart w:id="28" w:name="page29"/>
    <w:bookmarkEnd w:id="28"/>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in electronic (e.g., “pdf” or “tif”) format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the electronic association of signatures and records on electronic platforms,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any other similar state laws based on the Uniform Electronic Transactions Act or the Uniform Commercial Code, each as amended, and the parties hereto hereby waive any objection to the contrary.</w:t>
      </w:r>
    </w:p>
    <w:p>
      <w:pPr>
        <w:spacing w:after="0" w:line="19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Subject to any limitations on its obligations expressly stated in the Loan Documents to which it is a party, each Loan Party (a) acknowledges and agrees, as of the effectiveness of this Amendment, that all of its obligations under the Loan Documents to which it is a party are reaffirmed and remain in full force and effect on a continuous basis, and (b) reaffirms each Lien granted by each Loan Party pursuant to the Collateral Documents, all of which obligations and Liens remain in full force and effect after giving effect to this Amendment.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 Actions, Claims, Etc.</w:t>
      </w:r>
      <w:r>
        <w:rPr>
          <w:rFonts w:ascii="Times New Roman" w:cs="Times New Roman" w:eastAsia="Times New Roman" w:hAnsi="Times New Roman"/>
          <w:sz w:val="18"/>
          <w:szCs w:val="18"/>
          <w:color w:val="auto"/>
        </w:rPr>
        <w:t>. As of the date hereof, each of the Loan Parties hereby acknowledges and confirms that it has no knowledge of any actions, causes of action, claims, demands, damages and liabilities of whatever kind or nature, in law or in equity, against the Lender, any participant, or any of their respective officers, employees, representatives, agents, advisors, consultants, counsel or directors arising from any action by such Persons, or failure of such Persons to act on or prior to the date hereof.</w:t>
      </w:r>
    </w:p>
    <w:p>
      <w:pPr>
        <w:spacing w:after="0" w:line="18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Governing Law; Jurisdiction; Service of Process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040" w:hanging="384"/>
        <w:spacing w:after="0"/>
        <w:tabs>
          <w:tab w:leader="none" w:pos="1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ind w:right="20" w:firstLine="656"/>
        <w:spacing w:after="0" w:line="254" w:lineRule="auto"/>
        <w:tabs>
          <w:tab w:leader="none" w:pos="103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and unconditionally submits, for itself and its property, to the non-exclusive jurisdiction of the courts of the State of New York sitting in New York County and of the United States District Court of the for the Southern District of New York and any appellate court from any thereof, in any action or proceeding arising out of or relating to this Amendment,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Amendment shall affect any right that Lender may otherwise have to bring any action or proceeding relating to this Amendment or any other Loan Document against any Loan Party or its properties in the courts of any jurisdiction.</w:t>
      </w:r>
    </w:p>
    <w:p>
      <w:pPr>
        <w:spacing w:after="0" w:line="191" w:lineRule="exact"/>
        <w:rPr>
          <w:rFonts w:ascii="Times New Roman" w:cs="Times New Roman" w:eastAsia="Times New Roman" w:hAnsi="Times New Roman"/>
          <w:sz w:val="18"/>
          <w:szCs w:val="18"/>
          <w:color w:val="auto"/>
        </w:rPr>
      </w:pPr>
    </w:p>
    <w:p>
      <w:pPr>
        <w:ind w:right="80" w:firstLine="656"/>
        <w:spacing w:after="0" w:line="276" w:lineRule="auto"/>
        <w:tabs>
          <w:tab w:leader="none" w:pos="1028"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hereto irrevocably and unconditionally waives, to the fullest extent permitted by applicable law, any objection that it may now or hereafter have to the laying of venue of any action or proceeding arising out of or relating to this Amendment in any court referred to in paragraph</w:t>
      </w:r>
    </w:p>
    <w:p>
      <w:pPr>
        <w:ind w:right="260" w:firstLine="8"/>
        <w:spacing w:after="0" w:line="260"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Each of the parties hereto hereby irrevocably waives, to the fullest extent permitted by applicable law, the defense of an inconvenient forum to the maintenance of such action or proceeding in any such court.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ind w:firstLine="656"/>
        <w:spacing w:after="0" w:line="282" w:lineRule="auto"/>
        <w:tabs>
          <w:tab w:leader="none" w:pos="10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consents to service of process in the manner provided for notices in the Credit Agreement. Nothing in this Amendment will affect the right of any party to this Amendment to serve process in any other manner permitted by law.</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AMENDMENT OR THE TRANSACTIONS CONTEMPLATED HEREBY (WHETHER BASED ON CONTRACT, TORT OR ANY OTHER THEORY). EACH PARTY HERETO HEREBY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9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used herein are for convenience of reference only, are not part of this Amendment and shall not affect the construction of, or be taken into consideration in interpreting, this Amendment.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30" w:name="page31"/>
    <w:bookmarkEnd w:id="30"/>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by their respective authorized officers as of the day and year first above written.</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216" w:lineRule="exact"/>
        <w:rPr>
          <w:sz w:val="20"/>
          <w:szCs w:val="20"/>
          <w:color w:val="auto"/>
        </w:rPr>
      </w:pPr>
    </w:p>
    <w:tbl>
      <w:tblPr>
        <w:tblLayout w:type="fixed"/>
        <w:tblInd w:w="618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GREEN</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James Green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200" w:lineRule="exact"/>
        <w:rPr>
          <w:sz w:val="20"/>
          <w:szCs w:val="20"/>
          <w:color w:val="auto"/>
        </w:rPr>
      </w:pPr>
    </w:p>
    <w:p>
      <w:pPr>
        <w:spacing w:after="0" w:line="21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CITIZENS BANK, N.A.</w:t>
      </w:r>
      <w:r>
        <w:rPr>
          <w:rFonts w:ascii="Times New Roman" w:cs="Times New Roman" w:eastAsia="Times New Roman" w:hAnsi="Times New Roman"/>
          <w:sz w:val="18"/>
          <w:szCs w:val="18"/>
          <w:color w:val="auto"/>
        </w:rPr>
        <w:t>, as the Administrative Agent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A. YOUNG</w:t>
            </w:r>
          </w:p>
        </w:tc>
        <w:tc>
          <w:tcPr>
            <w:tcW w:w="1980" w:type="dxa"/>
            <w:vAlign w:val="bottom"/>
          </w:tcPr>
          <w:p>
            <w:pPr>
              <w:spacing w:after="0"/>
              <w:rPr>
                <w:sz w:val="17"/>
                <w:szCs w:val="17"/>
                <w:color w:val="auto"/>
              </w:rPr>
            </w:pPr>
          </w:p>
        </w:tc>
      </w:tr>
      <w:tr>
        <w:trPr>
          <w:trHeight w:val="218"/>
        </w:trPr>
        <w:tc>
          <w:tcPr>
            <w:tcW w:w="676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A. Young</w:t>
            </w:r>
          </w:p>
        </w:tc>
      </w:tr>
      <w:tr>
        <w:trPr>
          <w:trHeight w:val="234"/>
        </w:trPr>
        <w:tc>
          <w:tcPr>
            <w:tcW w:w="676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4246"/>
        </w:trPr>
        <w:tc>
          <w:tcPr>
            <w:tcW w:w="67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07" w:right="339" w:bottom="1440" w:gutter="0" w:footer="0" w:header="0"/>
        </w:sectPr>
      </w:pPr>
    </w:p>
    <w:bookmarkStart w:id="31" w:name="page32"/>
    <w:bookmarkEnd w:id="31"/>
    <w:p>
      <w:pPr>
        <w:ind w:left="6660"/>
        <w:spacing w:after="0"/>
        <w:rPr>
          <w:sz w:val="20"/>
          <w:szCs w:val="20"/>
          <w:color w:val="auto"/>
        </w:rPr>
      </w:pPr>
      <w:r>
        <w:rPr>
          <w:rFonts w:ascii="Times New Roman" w:cs="Times New Roman" w:eastAsia="Times New Roman" w:hAnsi="Times New Roman"/>
          <w:sz w:val="18"/>
          <w:szCs w:val="18"/>
          <w:b w:val="1"/>
          <w:bCs w:val="1"/>
          <w:color w:val="auto"/>
        </w:rPr>
        <w:t>Consented and agreed to:</w:t>
      </w:r>
    </w:p>
    <w:p>
      <w:pPr>
        <w:spacing w:after="0" w:line="22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CITIZENS BANK, N.A.</w:t>
      </w:r>
      <w:r>
        <w:rPr>
          <w:rFonts w:ascii="Times New Roman" w:cs="Times New Roman" w:eastAsia="Times New Roman" w:hAnsi="Times New Roman"/>
          <w:sz w:val="18"/>
          <w:szCs w:val="18"/>
          <w:color w:val="auto"/>
        </w:rPr>
        <w:t>, as a Lender</w:t>
      </w:r>
    </w:p>
    <w:p>
      <w:pPr>
        <w:spacing w:after="0" w:line="216" w:lineRule="exact"/>
        <w:rPr>
          <w:sz w:val="20"/>
          <w:szCs w:val="20"/>
          <w:color w:val="auto"/>
        </w:rPr>
      </w:pPr>
    </w:p>
    <w:tbl>
      <w:tblPr>
        <w:tblLayout w:type="fixed"/>
        <w:tblInd w:w="666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17"/>
                <w:szCs w:val="17"/>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A. YOUNG</w:t>
            </w: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Scott A. Young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1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b w:val="1"/>
          <w:bCs w:val="1"/>
          <w:color w:val="auto"/>
        </w:rPr>
        <w:t>WELLS FARGO BANK, NATIONAL ASSOCIATION</w:t>
      </w:r>
      <w:r>
        <w:rPr>
          <w:rFonts w:ascii="Times New Roman" w:cs="Times New Roman" w:eastAsia="Times New Roman" w:hAnsi="Times New Roman"/>
          <w:sz w:val="17"/>
          <w:szCs w:val="17"/>
          <w:color w:val="auto"/>
        </w:rPr>
        <w:t>, as a</w:t>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Lender</w:t>
      </w:r>
    </w:p>
    <w:p>
      <w:pPr>
        <w:spacing w:after="0" w:line="194" w:lineRule="exact"/>
        <w:rPr>
          <w:sz w:val="20"/>
          <w:szCs w:val="20"/>
          <w:color w:val="auto"/>
        </w:rPr>
      </w:pPr>
    </w:p>
    <w:tbl>
      <w:tblPr>
        <w:tblLayout w:type="fixed"/>
        <w:tblInd w:w="666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17"/>
                <w:szCs w:val="17"/>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MOSS</w:t>
            </w: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Brandon Moss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1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FIRST-CITIZENS BANK &amp; TRUST COMPANY</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Lender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17"/>
                <w:szCs w:val="17"/>
                <w:color w:val="auto"/>
              </w:rPr>
            </w:pP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JUSTIN ROBERTS</w:t>
            </w:r>
          </w:p>
        </w:tc>
        <w:tc>
          <w:tcPr>
            <w:tcW w:w="1860" w:type="dxa"/>
            <w:vAlign w:val="bottom"/>
          </w:tcPr>
          <w:p>
            <w:pPr>
              <w:spacing w:after="0"/>
              <w:rPr>
                <w:sz w:val="17"/>
                <w:szCs w:val="17"/>
                <w:color w:val="auto"/>
              </w:rPr>
            </w:pPr>
          </w:p>
        </w:tc>
      </w:tr>
      <w:tr>
        <w:trPr>
          <w:trHeight w:val="218"/>
        </w:trPr>
        <w:tc>
          <w:tcPr>
            <w:tcW w:w="722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Justin Roberts</w:t>
            </w:r>
          </w:p>
        </w:tc>
      </w:tr>
      <w:tr>
        <w:trPr>
          <w:trHeight w:val="234"/>
        </w:trPr>
        <w:tc>
          <w:tcPr>
            <w:tcW w:w="7220" w:type="dxa"/>
            <w:vAlign w:val="bottom"/>
          </w:tcPr>
          <w:p>
            <w:pPr>
              <w:ind w:left="666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1654"/>
        </w:trPr>
        <w:tc>
          <w:tcPr>
            <w:tcW w:w="7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2" w:name="page33"/>
    <w:bookmarkEnd w:id="32"/>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156845</wp:posOffset>
            </wp:positionV>
            <wp:extent cx="2023110" cy="231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2311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dated as of December 22, 2020</w:t>
      </w:r>
      <w:r>
        <w:rPr>
          <w:rFonts w:ascii="Times New Roman" w:cs="Times New Roman" w:eastAsia="Times New Roman" w:hAnsi="Times New Roman"/>
          <w:sz w:val="29"/>
          <w:szCs w:val="29"/>
          <w:b w:val="1"/>
          <w:bCs w:val="1"/>
          <w:color w:val="auto"/>
          <w:vertAlign w:val="superscript"/>
        </w:rPr>
        <w:t>*</w:t>
      </w:r>
    </w:p>
    <w:p>
      <w:pPr>
        <w:spacing w:after="0" w:line="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as the Borrower,</w:t>
      </w:r>
    </w:p>
    <w:p>
      <w:pPr>
        <w:spacing w:after="0" w:line="2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LENDERS PARTY HERETO,</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CITIZENS BANK, N.A.,</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pacing w:after="0" w:line="2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SILICON VALLEY BANK</w:t>
      </w:r>
      <w:r>
        <w:rPr>
          <w:rFonts w:ascii="Times New Roman" w:cs="Times New Roman" w:eastAsia="Times New Roman" w:hAnsi="Times New Roman"/>
          <w:sz w:val="18"/>
          <w:szCs w:val="18"/>
          <w:b w:val="1"/>
          <w:bCs w:val="1"/>
          <w:u w:val="single" w:color="auto"/>
          <w:color w:val="0000FF"/>
        </w:rPr>
        <w:t>, a division of First-Citizens Bank &amp; Trust Company</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as Joint Bookrunners, Joint Lead Arrangers and Syndication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firstLine="8"/>
        <w:spacing w:after="0" w:line="204" w:lineRule="auto"/>
        <w:tabs>
          <w:tab w:leader="none" w:pos="12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amended by the First Amendment to Credit Agreement and Amendment to Pledge and Security Agreement, dated as of April 15, 2022, the Second Amendment to Credit Agreement, dated as of November 8, 2022,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the Third Amendment to Credit Agreement, dated as of March 28, 2024</w:t>
      </w:r>
      <w:r>
        <w:rPr>
          <w:rFonts w:ascii="Times New Roman" w:cs="Times New Roman" w:eastAsia="Times New Roman" w:hAnsi="Times New Roman"/>
          <w:sz w:val="18"/>
          <w:szCs w:val="18"/>
          <w:u w:val="single" w:color="auto"/>
          <w:color w:val="0000FF"/>
        </w:rPr>
        <w:t>,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Fourth Amendment to Credit Agreement, dated as of 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576" w:right="6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768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6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RULES OF CONSTRUCTION</w:t>
            </w:r>
          </w:p>
        </w:tc>
        <w:tc>
          <w:tcPr>
            <w:tcW w:w="2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Terms Generally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8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Section 1.4 Accounting Terms; GAAP</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1.5</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Rounding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1.6</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References to Time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1.7</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 of Drafting Ambiguities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1.8</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Status of Loan Document Obligations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1.9</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7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Rates..</w:t>
            </w:r>
          </w:p>
        </w:tc>
        <w:tc>
          <w:tcPr>
            <w:tcW w:w="2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26"/>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1.10</w:t>
            </w:r>
          </w:p>
        </w:tc>
        <w:tc>
          <w:tcPr>
            <w:tcW w:w="7680" w:type="dxa"/>
            <w:vAlign w:val="bottom"/>
            <w:vMerge w:val="continue"/>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76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7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Divisions.</w:t>
            </w:r>
          </w:p>
        </w:tc>
        <w:tc>
          <w:tcPr>
            <w:tcW w:w="2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26"/>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1.11</w:t>
            </w:r>
          </w:p>
        </w:tc>
        <w:tc>
          <w:tcPr>
            <w:tcW w:w="7680" w:type="dxa"/>
            <w:vAlign w:val="bottom"/>
            <w:vMerge w:val="continue"/>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76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CREDITS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Swingline Loans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2.4</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2.5</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2.6</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2.7</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2.8</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2.9</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Defaulting Lenders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7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Cash Collateral</w:t>
            </w:r>
          </w:p>
        </w:tc>
        <w:tc>
          <w:tcPr>
            <w:tcW w:w="2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26"/>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2.10</w:t>
            </w:r>
          </w:p>
        </w:tc>
        <w:tc>
          <w:tcPr>
            <w:tcW w:w="7680" w:type="dxa"/>
            <w:vAlign w:val="bottom"/>
            <w:vMerge w:val="continue"/>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76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7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Incremental Commitments</w:t>
            </w:r>
          </w:p>
        </w:tc>
        <w:tc>
          <w:tcPr>
            <w:tcW w:w="2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26"/>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2.11</w:t>
            </w:r>
          </w:p>
        </w:tc>
        <w:tc>
          <w:tcPr>
            <w:tcW w:w="7680" w:type="dxa"/>
            <w:vAlign w:val="bottom"/>
            <w:vMerge w:val="continue"/>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76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INTEREST, FEES, YIELD PROTECTION, ETC.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3.4</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Increased Costs; Illegality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3.5</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for Losses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3.6</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3.7</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3.8</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Benchmark Replacement Setting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CONDITIONS PRECEDENT TO CREDIT EXTENSIONS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Initial Credit Extensions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REPRESENTATIONS AND WARRANTIES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Existence, Qualification and Power; Compliance with Laws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5.4</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Binding Effect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5.5</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5.6</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5.7</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Environmental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34" w:name="page35"/>
    <w:bookmarkEnd w:id="34"/>
    <w:tbl>
      <w:tblPr>
        <w:tblLayout w:type="fixed"/>
        <w:tblInd w:w="1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 of Properties; Liens</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Casualty, Etc</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Investment Company Status, Etc</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5.10</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5.11</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ERISA</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5.12</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Subsidiaries; Equity Interests</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5.13</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5.14</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Federal Reserve Regulations, Etc</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5.15</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Collateral Documents</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5.16</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Solvency</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5.17</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Anti-Corruption Laws; Sanctions; Anti-Terrorism Laws</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5.18</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Material Owned Real Property</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5.19</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Accuracy of Information, Etc</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5.20</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Labor Matters</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5.21</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Absence of Certain Restrictions</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5.22</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No Default</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5.23</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Common Enterprise</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5.24</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Brokers’ Fees</w:t>
            </w:r>
          </w:p>
        </w:tc>
        <w:tc>
          <w:tcPr>
            <w:tcW w:w="0" w:type="dxa"/>
            <w:vAlign w:val="bottom"/>
          </w:tcPr>
          <w:p>
            <w:pPr>
              <w:spacing w:after="0"/>
              <w:rPr>
                <w:sz w:val="1"/>
                <w:szCs w:val="1"/>
                <w:color w:val="auto"/>
              </w:rPr>
            </w:pPr>
          </w:p>
        </w:tc>
      </w:tr>
      <w:tr>
        <w:trPr>
          <w:trHeight w:val="126"/>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5.25</w:t>
            </w:r>
          </w:p>
        </w:tc>
        <w:tc>
          <w:tcPr>
            <w:tcW w:w="4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0" w:type="dxa"/>
            <w:vAlign w:val="bottom"/>
          </w:tcPr>
          <w:p>
            <w:pPr>
              <w:spacing w:after="0"/>
              <w:rPr>
                <w:sz w:val="1"/>
                <w:szCs w:val="1"/>
                <w:color w:val="auto"/>
              </w:rPr>
            </w:pPr>
          </w:p>
        </w:tc>
      </w:tr>
      <w:tr>
        <w:trPr>
          <w:trHeight w:val="126"/>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5.26</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AFFIRMATIVE COVENANTS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6.1</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6.2</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6.3</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6.4</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and Performance of Obligations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6.5</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6.6</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Books and Records; Inspection Rights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6.7</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Laws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6.8</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Proceeds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6.9</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Concerning Collateral</w:t>
            </w:r>
          </w:p>
        </w:tc>
        <w:tc>
          <w:tcPr>
            <w:tcW w:w="0" w:type="dxa"/>
            <w:vAlign w:val="bottom"/>
          </w:tcPr>
          <w:p>
            <w:pPr>
              <w:spacing w:after="0"/>
              <w:rPr>
                <w:sz w:val="1"/>
                <w:szCs w:val="1"/>
                <w:color w:val="auto"/>
              </w:rPr>
            </w:pPr>
          </w:p>
        </w:tc>
      </w:tr>
      <w:tr>
        <w:trPr>
          <w:trHeight w:val="22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0" w:type="dxa"/>
            <w:vAlign w:val="bottom"/>
          </w:tcPr>
          <w:p>
            <w:pPr>
              <w:spacing w:after="0"/>
              <w:rPr>
                <w:sz w:val="1"/>
                <w:szCs w:val="1"/>
                <w:color w:val="auto"/>
              </w:rPr>
            </w:pPr>
          </w:p>
        </w:tc>
      </w:tr>
      <w:tr>
        <w:trPr>
          <w:trHeight w:val="126"/>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6.10</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Casualty Events; Extraordinary Receipts</w:t>
            </w:r>
          </w:p>
        </w:tc>
        <w:tc>
          <w:tcPr>
            <w:tcW w:w="0" w:type="dxa"/>
            <w:vAlign w:val="bottom"/>
          </w:tcPr>
          <w:p>
            <w:pPr>
              <w:spacing w:after="0"/>
              <w:rPr>
                <w:sz w:val="1"/>
                <w:szCs w:val="1"/>
                <w:color w:val="auto"/>
              </w:rPr>
            </w:pPr>
          </w:p>
        </w:tc>
      </w:tr>
      <w:tr>
        <w:trPr>
          <w:trHeight w:val="126"/>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6.11</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Covenant to Guarantee and Provide Security</w:t>
            </w:r>
          </w:p>
        </w:tc>
        <w:tc>
          <w:tcPr>
            <w:tcW w:w="0" w:type="dxa"/>
            <w:vAlign w:val="bottom"/>
          </w:tcPr>
          <w:p>
            <w:pPr>
              <w:spacing w:after="0"/>
              <w:rPr>
                <w:sz w:val="1"/>
                <w:szCs w:val="1"/>
                <w:color w:val="auto"/>
              </w:rPr>
            </w:pPr>
          </w:p>
        </w:tc>
      </w:tr>
      <w:tr>
        <w:trPr>
          <w:trHeight w:val="126"/>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6.12</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Environmental Matters</w:t>
            </w:r>
          </w:p>
        </w:tc>
        <w:tc>
          <w:tcPr>
            <w:tcW w:w="0" w:type="dxa"/>
            <w:vAlign w:val="bottom"/>
          </w:tcPr>
          <w:p>
            <w:pPr>
              <w:spacing w:after="0"/>
              <w:rPr>
                <w:sz w:val="1"/>
                <w:szCs w:val="1"/>
                <w:color w:val="auto"/>
              </w:rPr>
            </w:pPr>
          </w:p>
        </w:tc>
      </w:tr>
      <w:tr>
        <w:trPr>
          <w:trHeight w:val="126"/>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6.13</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Certain Post-Closing Obligations.</w:t>
            </w:r>
          </w:p>
        </w:tc>
        <w:tc>
          <w:tcPr>
            <w:tcW w:w="0" w:type="dxa"/>
            <w:vAlign w:val="bottom"/>
          </w:tcPr>
          <w:p>
            <w:pPr>
              <w:spacing w:after="0"/>
              <w:rPr>
                <w:sz w:val="1"/>
                <w:szCs w:val="1"/>
                <w:color w:val="auto"/>
              </w:rPr>
            </w:pPr>
          </w:p>
        </w:tc>
      </w:tr>
      <w:tr>
        <w:trPr>
          <w:trHeight w:val="126"/>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6.14</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NEGATIVE COVENANTS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7.1</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Indebtedness; Equity Interests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7.2</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Liens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7.3</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Fundamental Changes; Business; Fiscal Year</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7.4</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Investments, Loans, Advances, Guarantees and Acquisitions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7.5</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Dispositions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7.6</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 and Lease Back Transactions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7.7</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Swap Agreements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7.8</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Payments</w:t>
            </w:r>
          </w:p>
        </w:tc>
        <w:tc>
          <w:tcPr>
            <w:tcW w:w="0" w:type="dxa"/>
            <w:vAlign w:val="bottom"/>
          </w:tcPr>
          <w:p>
            <w:pPr>
              <w:spacing w:after="0"/>
              <w:rPr>
                <w:sz w:val="1"/>
                <w:szCs w:val="1"/>
                <w:color w:val="auto"/>
              </w:rPr>
            </w:pPr>
          </w:p>
        </w:tc>
      </w:tr>
      <w:tr>
        <w:trPr>
          <w:trHeight w:val="243"/>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7.9</w:t>
            </w:r>
          </w:p>
        </w:tc>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0" w:type="dxa"/>
            <w:vAlign w:val="bottom"/>
          </w:tcPr>
          <w:p>
            <w:pPr>
              <w:spacing w:after="0"/>
              <w:rPr>
                <w:sz w:val="1"/>
                <w:szCs w:val="1"/>
                <w:color w:val="auto"/>
              </w:rPr>
            </w:pPr>
          </w:p>
        </w:tc>
      </w:tr>
      <w:tr>
        <w:trPr>
          <w:trHeight w:val="22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Restrictive Agreements</w:t>
            </w:r>
          </w:p>
        </w:tc>
        <w:tc>
          <w:tcPr>
            <w:tcW w:w="0" w:type="dxa"/>
            <w:vAlign w:val="bottom"/>
          </w:tcPr>
          <w:p>
            <w:pPr>
              <w:spacing w:after="0"/>
              <w:rPr>
                <w:sz w:val="1"/>
                <w:szCs w:val="1"/>
                <w:color w:val="auto"/>
              </w:rPr>
            </w:pPr>
          </w:p>
        </w:tc>
      </w:tr>
      <w:tr>
        <w:trPr>
          <w:trHeight w:val="126"/>
        </w:trPr>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7.10</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87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87</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87</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88</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89</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89</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89</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89</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90</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90</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90</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90</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91</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96</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96</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97</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98</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98</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2">
            <w:col w:w="10220" w:space="720"/>
            <w:col w:w="260"/>
          </w:cols>
          <w:pgMar w:left="340" w:top="594" w:right="359" w:bottom="0" w:gutter="0" w:footer="0" w:header="0"/>
        </w:sectPr>
      </w:pPr>
    </w:p>
    <w:bookmarkStart w:id="35" w:name="page36"/>
    <w:bookmarkEnd w:id="35"/>
    <w:p>
      <w:pPr>
        <w:spacing w:after="0" w:line="267" w:lineRule="auto"/>
        <w:rPr>
          <w:sz w:val="20"/>
          <w:szCs w:val="20"/>
          <w:color w:val="auto"/>
        </w:rPr>
      </w:pPr>
      <w:r>
        <w:rPr>
          <w:rFonts w:ascii="Times New Roman" w:cs="Times New Roman" w:eastAsia="Times New Roman" w:hAnsi="Times New Roman"/>
          <w:sz w:val="18"/>
          <w:szCs w:val="18"/>
          <w:color w:val="auto"/>
        </w:rPr>
        <w:t>Section 7.11 Section 7.12 Section 7.13 Section 7.14 Section 7.15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Amendment of Material Documents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Covenants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on Subordinated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Regulation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Hazardous Materials</w:t>
      </w:r>
    </w:p>
    <w:p>
      <w:pPr>
        <w:spacing w:after="0" w:line="3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106</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3">
            <w:col w:w="540" w:space="360"/>
            <w:col w:w="9160" w:space="720"/>
            <w:col w:w="260"/>
          </w:cols>
          <w:pgMar w:left="50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ARTICLE 8 EVENTS OF DEFAULT</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Section 8.1 Events of Default</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Section 8.2 Remedies Upon Event of Default</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Section 8.3 Application of Funds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9 THE ADMINISTRATIVE AGENT</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Section 9.1 Appointment and Authority</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Section 9.2 Rights as a Lender</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Section 9.3 Exculpatory Provisions</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Section 9.4 Reliance by Administrative Agent</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Section 9.5 Delegation of Duties</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Section 9.6 Resignation of Administrative Agent</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Section 9.7 Non-Reliance on Administrative Agent and Other Lenders</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Section 9.8 No Other Duties, Etc</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Section 9.9 Administrative Agent May File Proofs of Claim</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Collateral and Guarantee Matters</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9.10</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Compliance with Flood Insurance Laws</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9.11</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Management Obligations and Swap Agreement Obligations</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9.12</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Erroneous Payments</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9.13</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MISCELLANEOUS</w:t>
            </w: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Waivers; Amendments</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Survival</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10.7</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Setoff</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10.8</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10.9</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Payments Set Aside</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Headings</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10.13</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Confidentiality</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10.14</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USA PATRIOT Act</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10.15</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 Fiduciary Duty</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10.16</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9"/>
              </w:rPr>
              <w:t>Acknowledgement and Consent to Bail-In of Affected Financial Institutions</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10.17</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Certain ERISA Matters</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10.18</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0" w:type="dxa"/>
            <w:vAlign w:val="bottom"/>
          </w:tcPr>
          <w:p>
            <w:pPr>
              <w:spacing w:after="0"/>
              <w:rPr>
                <w:sz w:val="1"/>
                <w:szCs w:val="1"/>
                <w:color w:val="auto"/>
              </w:rPr>
            </w:pPr>
          </w:p>
        </w:tc>
      </w:tr>
      <w:tr>
        <w:trPr>
          <w:trHeight w:val="126"/>
        </w:trPr>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10.19</w:t>
            </w:r>
          </w:p>
        </w:tc>
        <w:tc>
          <w:tcPr>
            <w:tcW w:w="5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7"/>
        </w:trPr>
        <w:tc>
          <w:tcPr>
            <w:tcW w:w="880" w:type="dxa"/>
            <w:vAlign w:val="bottom"/>
          </w:tcPr>
          <w:p>
            <w:pPr>
              <w:spacing w:after="0"/>
              <w:rPr>
                <w:sz w:val="24"/>
                <w:szCs w:val="24"/>
                <w:color w:val="auto"/>
              </w:rPr>
            </w:pPr>
          </w:p>
        </w:tc>
        <w:tc>
          <w:tcPr>
            <w:tcW w:w="566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107</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111</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111</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111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127</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128</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128</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128</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129</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129</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131</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2">
            <w:col w:w="10220" w:space="720"/>
            <w:col w:w="260"/>
          </w:cols>
          <w:pgMar w:left="340" w:top="594" w:right="359" w:bottom="609"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SCHEDULES:</w:t>
            </w:r>
          </w:p>
        </w:tc>
        <w:tc>
          <w:tcPr>
            <w:tcW w:w="3980" w:type="dxa"/>
            <w:vAlign w:val="bottom"/>
          </w:tcPr>
          <w:p>
            <w:pPr>
              <w:spacing w:after="0"/>
              <w:rPr>
                <w:sz w:val="17"/>
                <w:szCs w:val="17"/>
                <w:color w:val="auto"/>
              </w:rPr>
            </w:pPr>
          </w:p>
        </w:tc>
      </w:tr>
      <w:tr>
        <w:trPr>
          <w:trHeight w:val="434"/>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Schedule 2.1</w:t>
            </w:r>
          </w:p>
        </w:tc>
        <w:tc>
          <w:tcPr>
            <w:tcW w:w="640" w:type="dxa"/>
            <w:vAlign w:val="bottom"/>
          </w:tcPr>
          <w:p>
            <w:pPr>
              <w:spacing w:after="0"/>
              <w:rPr>
                <w:sz w:val="24"/>
                <w:szCs w:val="24"/>
                <w:color w:val="auto"/>
              </w:rPr>
            </w:pP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2.4</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Existing Letters of Credit</w:t>
            </w: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4.1(f)</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Collateral Documents and Related Requirements</w:t>
            </w: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5.6</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Disclosed Matters</w:t>
            </w: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5.13</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Subsidiaries; Equity Interests</w:t>
            </w: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5.14</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5.16(a)</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UCC Filing Offices</w:t>
            </w: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5.16(b)</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Mortgage Filing Offices</w:t>
            </w: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5.19</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Owned Real Property</w:t>
            </w: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7.1</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7.2</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7.4</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7.10</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Existing Restrictions</w:t>
            </w:r>
          </w:p>
        </w:tc>
      </w:t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10.1</w:t>
            </w: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Notice Information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9620" w:type="dxa"/>
            <w:vAlign w:val="bottom"/>
          </w:tcPr>
          <w:p>
            <w:pPr>
              <w:spacing w:after="0"/>
              <w:rPr>
                <w:sz w:val="17"/>
                <w:szCs w:val="17"/>
                <w:color w:val="auto"/>
              </w:rPr>
            </w:pPr>
          </w:p>
        </w:tc>
      </w:tr>
      <w:tr>
        <w:trPr>
          <w:trHeight w:val="434"/>
        </w:trPr>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A</w:t>
            </w:r>
          </w:p>
        </w:tc>
        <w:tc>
          <w:tcPr>
            <w:tcW w:w="700" w:type="dxa"/>
            <w:vAlign w:val="bottom"/>
          </w:tcPr>
          <w:p>
            <w:pPr>
              <w:spacing w:after="0"/>
              <w:rPr>
                <w:sz w:val="24"/>
                <w:szCs w:val="24"/>
                <w:color w:val="auto"/>
              </w:rPr>
            </w:pP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B-1</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Committed Loan Notice</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B-2</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Swingline Loan Notice</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C-1</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Revolving Loan Note</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C-2</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Term Loan Note</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C-3</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Swingline Loan Note</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D</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E</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Closing Certificate</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F</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Subsidiary Joinder Agreement</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G-1</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U.S. Tax Compliance Certificate For Foreign Lenders That Are Not Partnerships For U.S. Federal Income Tax</w:t>
            </w:r>
          </w:p>
        </w:tc>
      </w:tr>
      <w:tr>
        <w:trPr>
          <w:trHeight w:val="216"/>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G-2</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U.S. Tax Compliance Certificate For Foreign Participants That Are Not Partnerships For U.S. Federal Income Tax</w:t>
            </w:r>
          </w:p>
        </w:tc>
      </w:tr>
      <w:tr>
        <w:trPr>
          <w:trHeight w:val="216"/>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G-3</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U.S. Tax Compliance Certificate For Foreign Participants That Are Partnerships For U.S. Federal Income Tax</w:t>
            </w:r>
          </w:p>
        </w:tc>
      </w:tr>
      <w:tr>
        <w:trPr>
          <w:trHeight w:val="216"/>
        </w:trPr>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Purposes</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G-4</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Form of U.S. Tax Compliance Certificate For Foreign Lenders That Are Partnerships For U.S. Federal Income Tax Purposes</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H</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Master Intercompany Note</w:t>
            </w: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I</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34"/>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J</w:t>
            </w:r>
          </w:p>
        </w:tc>
        <w:tc>
          <w:tcPr>
            <w:tcW w:w="9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Secured Obligation Designation Notice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67" w:right="4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CREDIT AGREEMENT, dated as of December 22, 2020, among HARVARD BIOSCIENCE,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hereto and CITIZENS BANK, N.A., as Administrative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left="1280" w:hanging="624"/>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that the Lenders make loans and other financial accommodations to the Borrower as more fully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ind w:firstLine="656"/>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have indicated their willingness to lend and the L/C Issuer has indicated its willingness to issue Letters of Credit, in each case, on the terms and subject to the conditions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RULES OF CONSTRUCTION</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in this Credit Agreement, the following terms have the meanings specified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“2024 Covenant Relief Period” means the period beginning on the Fourth Amendment Effective Date and ending on the date the Administrative Agent receives the financial information and related Compliance Certificate for the Fiscal Year ending December 31, 2024, required to be delivered pursuant to Sections 6.1(a) and (c)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“ABR Borrowing</w:t>
      </w:r>
      <w:r>
        <w:rPr>
          <w:rFonts w:ascii="Times New Roman" w:cs="Times New Roman" w:eastAsia="Times New Roman" w:hAnsi="Times New Roman"/>
          <w:sz w:val="18"/>
          <w:szCs w:val="18"/>
          <w:color w:val="auto"/>
        </w:rPr>
        <w:t>” means, as to any Borrowing, the ABR Loans comprising such Borrowing.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“ABR Loan</w:t>
      </w:r>
      <w:r>
        <w:rPr>
          <w:rFonts w:ascii="Times New Roman" w:cs="Times New Roman" w:eastAsia="Times New Roman" w:hAnsi="Times New Roman"/>
          <w:sz w:val="18"/>
          <w:szCs w:val="18"/>
          <w:color w:val="auto"/>
        </w:rPr>
        <w:t>” means a Loan (other than a Swingline Loan) bearing interest based on the Alternate Base Rate.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xml:space="preserve">” means, with respect to any Acquired Entity or Business for any period, the historical Consolidated EBITDA of such Acquired Entity or Business for such period as certified by a Financial Officer of the Borrower, which historical Consolidated EBITDA shall be calculated in a manner consistent with the definition of Consolidated EBITDA herein and to be based on financial statements for such Acquired Entity or Business prepared in accordance with GAAP (subject to the absence of footnote disclosures and year-end audit adjustments with respect to financial statements that are not annual audited financial statements),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such Acquired EBITDA is included in Consolidated EBITDA it shall be on a Pro Forma Basis.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means, for any period, any Person, property, business or asset acquired by the Borrower or any of its Subsidiaries in a Permitted Acquisition, to the extent not subsequently sold, transferred or otherwise Disposed of during such period.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series of related transactions resulting, directly or indirectly, in: (a) the acquisition by any Person of (i) all or substantially all of the assets of another Person or (ii) all or substantially all of any business line, unit or division of another Person, (b) the acquisition by any Person (i) of in excess of 50% of the Equity Interests of any other Person, or (ii) otherwise causing any other Person to become a subsidiary of such Person, or (c) a merger, amalgamation consolidation, or any other combination of any Person with another Person (other than a Person that is a Loan Party or a Subsidiary of a Loan Party) in which a Loan Party or any of its Subsidiaries is the surviving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Citizens Bank, in its capacity as administrative agent for the Lenders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“Administrative Agent’s Payment Office</w:t>
      </w:r>
      <w:r>
        <w:rPr>
          <w:rFonts w:ascii="Times New Roman" w:cs="Times New Roman" w:eastAsia="Times New Roman" w:hAnsi="Times New Roman"/>
          <w:sz w:val="18"/>
          <w:szCs w:val="18"/>
          <w:color w:val="auto"/>
        </w:rPr>
        <w:t>” means the Administrative Agent’s office located at 28 State Street, Boston, MA 02109, or such other office as to which the Administrative Agent may from time to time notify the Borrower and the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“Agreement Date</w:t>
      </w:r>
      <w:r>
        <w:rPr>
          <w:rFonts w:ascii="Times New Roman" w:cs="Times New Roman" w:eastAsia="Times New Roman" w:hAnsi="Times New Roman"/>
          <w:sz w:val="18"/>
          <w:szCs w:val="18"/>
          <w:color w:val="auto"/>
        </w:rPr>
        <w:t>” means the first date appearing in this Credit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means, for any day, a rate per annum equal to the greatest of (a) the Prime Rate in effect on such day, (b) the Federal Funds Effective Rate in effect on such day plus 0.50% per annum and (c) the Daily SOFR Rate on such day plus 1.00% per annum, provided that the Alternate Base Rate shall at no time be less than the Floor. If the Administrative Agent shall have determined (which determination shall be conclusive absent clearly manifest error) that it is unable to ascertain the Federal Funds Effective Rate or the Daily SOFR Rate for any reason, including the inability or failure of the Administrative Agent to obtain sufficient quotations in accordance with the terms of the definition of the term Federal Funds Effective Rate, the Alternate Base Rate shall be determined without regard to clause (b) or (c), as applicable, of the preceding sentence until the circumstances giving rise to such inability no longer exist. Any change in the Alternate Base Rate due to a change in the Prime Rate, the Federal Funds Effective Rate or the Daily SOFR Rate, as applicable, shall be effective from and including the effective date of such change in the Prime Rate, the Federal Funds Effective Rate or the Daily SOFR Rate, as applicable, respectively.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Loan Parties or their respective Subsidiaries from time to time concerning or relating to bribery or corruption.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for any Lender, such Lender’s office, branch or affiliate designated for SOFR Loans, ABR Loans, Swingline Loans or Letters of Credit or participations therein, as applicable, as notified to the Administrative Agent, any of which offices may be changed by such Lender.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with respect to the Term Loans, Revolving Loans, the Swingline Loans, L/C Participation Fees and Commitment Fees, during the applicable periods set forth below: in the case of (i) ABR Revolving Borrowings, the percentage set forth in the following table under the heading “ABR Margin”, (ii) Swingline Loans, the percentage set forth in the following table under the heading “ABR Margin”, (iii) SOFR Revolving Borrowings and the L/C Participation Fees, the percentage set forth in the following table under the heading “SOFR Margin and L/C Participation Fee”, and (iv) Commitment Fees, the percentage set forth in the following table under the heading “Commitment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tbl>
      <w:tblPr>
        <w:tblLayout w:type="fixed"/>
        <w:tblInd w:w="10" w:type="dxa"/>
        <w:tblCellMar>
          <w:top w:w="0" w:type="dxa"/>
          <w:left w:w="0" w:type="dxa"/>
          <w:bottom w:w="0" w:type="dxa"/>
          <w:right w:w="0" w:type="dxa"/>
        </w:tblCellMar>
      </w:tblPr>
      <w:tr>
        <w:trPr>
          <w:trHeight w:val="278"/>
        </w:trPr>
        <w:tc>
          <w:tcPr>
            <w:tcW w:w="60" w:type="dxa"/>
            <w:vAlign w:val="bottom"/>
            <w:tcBorders>
              <w:top w:val="single" w:sz="8" w:color="auto"/>
              <w:left w:val="single" w:sz="8" w:color="auto"/>
              <w:right w:val="single" w:sz="8" w:color="auto"/>
            </w:tcBorders>
          </w:tcPr>
          <w:p>
            <w:pPr>
              <w:spacing w:after="0"/>
              <w:rPr>
                <w:sz w:val="24"/>
                <w:szCs w:val="24"/>
                <w:color w:val="auto"/>
              </w:rPr>
            </w:pPr>
          </w:p>
        </w:tc>
        <w:tc>
          <w:tcPr>
            <w:tcW w:w="1200" w:type="dxa"/>
            <w:vAlign w:val="bottom"/>
            <w:tcBorders>
              <w:top w:val="single" w:sz="8" w:color="auto"/>
              <w:right w:val="single" w:sz="8" w:color="auto"/>
            </w:tcBorders>
            <w:gridSpan w:val="7"/>
            <w:shd w:val="clear" w:color="auto" w:fill="CCCCCC"/>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40" w:type="dxa"/>
            <w:vAlign w:val="bottom"/>
            <w:tcBorders>
              <w:top w:val="single" w:sz="8" w:color="auto"/>
            </w:tcBorders>
            <w:shd w:val="clear" w:color="auto" w:fill="CCCCCC"/>
          </w:tcPr>
          <w:p>
            <w:pPr>
              <w:spacing w:after="0"/>
              <w:rPr>
                <w:sz w:val="24"/>
                <w:szCs w:val="24"/>
                <w:color w:val="auto"/>
              </w:rPr>
            </w:pPr>
          </w:p>
        </w:tc>
        <w:tc>
          <w:tcPr>
            <w:tcW w:w="520" w:type="dxa"/>
            <w:vAlign w:val="bottom"/>
            <w:tcBorders>
              <w:top w:val="single" w:sz="8" w:color="auto"/>
            </w:tcBorders>
            <w:shd w:val="clear" w:color="auto" w:fill="CCCCCC"/>
          </w:tcPr>
          <w:p>
            <w:pPr>
              <w:spacing w:after="0"/>
              <w:rPr>
                <w:sz w:val="24"/>
                <w:szCs w:val="24"/>
                <w:color w:val="auto"/>
              </w:rPr>
            </w:pPr>
          </w:p>
        </w:tc>
        <w:tc>
          <w:tcPr>
            <w:tcW w:w="4660" w:type="dxa"/>
            <w:vAlign w:val="bottom"/>
            <w:tcBorders>
              <w:top w:val="single" w:sz="8" w:color="auto"/>
              <w:right w:val="single" w:sz="8" w:color="auto"/>
            </w:tcBorders>
            <w:gridSpan w:val="3"/>
            <w:vMerge w:val="restart"/>
            <w:shd w:val="clear" w:color="auto" w:fill="CCCCCC"/>
          </w:tcPr>
          <w:p>
            <w:pPr>
              <w:ind w:left="760"/>
              <w:spacing w:after="0"/>
              <w:rPr>
                <w:sz w:val="20"/>
                <w:szCs w:val="20"/>
                <w:color w:val="auto"/>
              </w:rPr>
            </w:pPr>
            <w:r>
              <w:rPr>
                <w:rFonts w:ascii="Times New Roman" w:cs="Times New Roman" w:eastAsia="Times New Roman" w:hAnsi="Times New Roman"/>
                <w:sz w:val="18"/>
                <w:szCs w:val="18"/>
                <w:b w:val="1"/>
                <w:bCs w:val="1"/>
                <w:color w:val="auto"/>
              </w:rPr>
              <w:t>Consolidated Net Leverage Ratio</w:t>
            </w:r>
          </w:p>
        </w:tc>
        <w:tc>
          <w:tcPr>
            <w:tcW w:w="40" w:type="dxa"/>
            <w:vAlign w:val="bottom"/>
            <w:tcBorders>
              <w:top w:val="single" w:sz="8" w:color="auto"/>
            </w:tcBorders>
            <w:shd w:val="clear" w:color="auto" w:fill="CCCCCC"/>
          </w:tcPr>
          <w:p>
            <w:pPr>
              <w:spacing w:after="0"/>
              <w:rPr>
                <w:sz w:val="24"/>
                <w:szCs w:val="24"/>
                <w:color w:val="auto"/>
              </w:rPr>
            </w:pPr>
          </w:p>
        </w:tc>
        <w:tc>
          <w:tcPr>
            <w:tcW w:w="460" w:type="dxa"/>
            <w:vAlign w:val="bottom"/>
            <w:tcBorders>
              <w:top w:val="single" w:sz="8" w:color="auto"/>
            </w:tcBorders>
            <w:shd w:val="clear" w:color="auto" w:fill="CCCCCC"/>
          </w:tcPr>
          <w:p>
            <w:pPr>
              <w:spacing w:after="0"/>
              <w:rPr>
                <w:sz w:val="24"/>
                <w:szCs w:val="24"/>
                <w:color w:val="auto"/>
              </w:rPr>
            </w:pPr>
          </w:p>
        </w:tc>
        <w:tc>
          <w:tcPr>
            <w:tcW w:w="900" w:type="dxa"/>
            <w:vAlign w:val="bottom"/>
            <w:tcBorders>
              <w:top w:val="single" w:sz="8" w:color="auto"/>
              <w:right w:val="single" w:sz="8" w:color="auto"/>
            </w:tcBorders>
            <w:shd w:val="clear" w:color="auto" w:fill="CCCCCC"/>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ABR</w:t>
            </w:r>
          </w:p>
        </w:tc>
        <w:tc>
          <w:tcPr>
            <w:tcW w:w="40" w:type="dxa"/>
            <w:vAlign w:val="bottom"/>
            <w:tcBorders>
              <w:top w:val="single" w:sz="8" w:color="auto"/>
            </w:tcBorders>
            <w:shd w:val="clear" w:color="auto" w:fill="CCCCCC"/>
          </w:tcPr>
          <w:p>
            <w:pPr>
              <w:spacing w:after="0"/>
              <w:rPr>
                <w:sz w:val="24"/>
                <w:szCs w:val="24"/>
                <w:color w:val="auto"/>
              </w:rPr>
            </w:pPr>
          </w:p>
        </w:tc>
        <w:tc>
          <w:tcPr>
            <w:tcW w:w="460" w:type="dxa"/>
            <w:vAlign w:val="bottom"/>
            <w:tcBorders>
              <w:top w:val="single" w:sz="8" w:color="auto"/>
            </w:tcBorders>
            <w:shd w:val="clear" w:color="auto" w:fill="CCCCCC"/>
          </w:tcPr>
          <w:p>
            <w:pPr>
              <w:spacing w:after="0"/>
              <w:rPr>
                <w:sz w:val="24"/>
                <w:szCs w:val="24"/>
                <w:color w:val="auto"/>
              </w:rPr>
            </w:pPr>
          </w:p>
        </w:tc>
        <w:tc>
          <w:tcPr>
            <w:tcW w:w="1020" w:type="dxa"/>
            <w:vAlign w:val="bottom"/>
            <w:tcBorders>
              <w:top w:val="single" w:sz="8" w:color="auto"/>
              <w:right w:val="single" w:sz="8" w:color="auto"/>
            </w:tcBorders>
            <w:shd w:val="clear" w:color="auto" w:fill="CCCCC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5"/>
              </w:rPr>
              <w:t>SOFR</w:t>
            </w:r>
          </w:p>
        </w:tc>
        <w:tc>
          <w:tcPr>
            <w:tcW w:w="40" w:type="dxa"/>
            <w:vAlign w:val="bottom"/>
            <w:tcBorders>
              <w:top w:val="single" w:sz="8" w:color="auto"/>
            </w:tcBorders>
            <w:shd w:val="clear" w:color="auto" w:fill="CCCCCC"/>
          </w:tcPr>
          <w:p>
            <w:pPr>
              <w:spacing w:after="0"/>
              <w:rPr>
                <w:sz w:val="24"/>
                <w:szCs w:val="24"/>
                <w:color w:val="auto"/>
              </w:rPr>
            </w:pPr>
          </w:p>
        </w:tc>
        <w:tc>
          <w:tcPr>
            <w:tcW w:w="1800" w:type="dxa"/>
            <w:vAlign w:val="bottom"/>
            <w:tcBorders>
              <w:top w:val="single" w:sz="8" w:color="auto"/>
              <w:right w:val="single" w:sz="8" w:color="auto"/>
            </w:tcBorders>
            <w:gridSpan w:val="2"/>
            <w:vMerge w:val="restart"/>
            <w:shd w:val="clear" w:color="auto" w:fill="CCCC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Commitment Fees</w:t>
            </w:r>
          </w:p>
        </w:tc>
        <w:tc>
          <w:tcPr>
            <w:tcW w:w="0" w:type="dxa"/>
            <w:vAlign w:val="bottom"/>
          </w:tcPr>
          <w:p>
            <w:pPr>
              <w:spacing w:after="0"/>
              <w:rPr>
                <w:sz w:val="1"/>
                <w:szCs w:val="1"/>
                <w:color w:val="auto"/>
              </w:rPr>
            </w:pPr>
          </w:p>
        </w:tc>
      </w:tr>
      <w:tr>
        <w:trPr>
          <w:trHeight w:val="130"/>
        </w:trPr>
        <w:tc>
          <w:tcPr>
            <w:tcW w:w="6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gridSpan w:val="7"/>
            <w:vMerge w:val="restart"/>
            <w:shd w:val="clear" w:color="auto" w:fill="CCCCCC"/>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40" w:type="dxa"/>
            <w:vAlign w:val="bottom"/>
            <w:shd w:val="clear" w:color="auto" w:fill="CCCCCC"/>
          </w:tcPr>
          <w:p>
            <w:pPr>
              <w:spacing w:after="0"/>
              <w:rPr>
                <w:sz w:val="11"/>
                <w:szCs w:val="11"/>
                <w:color w:val="auto"/>
              </w:rPr>
            </w:pPr>
          </w:p>
        </w:tc>
        <w:tc>
          <w:tcPr>
            <w:tcW w:w="520" w:type="dxa"/>
            <w:vAlign w:val="bottom"/>
            <w:shd w:val="clear" w:color="auto" w:fill="CCCCCC"/>
          </w:tcPr>
          <w:p>
            <w:pPr>
              <w:spacing w:after="0"/>
              <w:rPr>
                <w:sz w:val="11"/>
                <w:szCs w:val="11"/>
                <w:color w:val="auto"/>
              </w:rPr>
            </w:pPr>
          </w:p>
        </w:tc>
        <w:tc>
          <w:tcPr>
            <w:tcW w:w="4660" w:type="dxa"/>
            <w:vAlign w:val="bottom"/>
            <w:tcBorders>
              <w:right w:val="single" w:sz="8" w:color="auto"/>
            </w:tcBorders>
            <w:gridSpan w:val="3"/>
            <w:vMerge w:val="continue"/>
            <w:shd w:val="clear" w:color="auto" w:fill="CCCCCC"/>
          </w:tcPr>
          <w:p>
            <w:pPr>
              <w:spacing w:after="0"/>
              <w:rPr>
                <w:sz w:val="11"/>
                <w:szCs w:val="11"/>
                <w:color w:val="auto"/>
              </w:rPr>
            </w:pPr>
          </w:p>
        </w:tc>
        <w:tc>
          <w:tcPr>
            <w:tcW w:w="40" w:type="dxa"/>
            <w:vAlign w:val="bottom"/>
            <w:shd w:val="clear" w:color="auto" w:fill="CCCCCC"/>
          </w:tcPr>
          <w:p>
            <w:pPr>
              <w:spacing w:after="0"/>
              <w:rPr>
                <w:sz w:val="11"/>
                <w:szCs w:val="11"/>
                <w:color w:val="auto"/>
              </w:rPr>
            </w:pPr>
          </w:p>
        </w:tc>
        <w:tc>
          <w:tcPr>
            <w:tcW w:w="1360" w:type="dxa"/>
            <w:vAlign w:val="bottom"/>
            <w:tcBorders>
              <w:right w:val="single" w:sz="8" w:color="auto"/>
            </w:tcBorders>
            <w:gridSpan w:val="2"/>
            <w:vMerge w:val="restart"/>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40" w:type="dxa"/>
            <w:vAlign w:val="bottom"/>
            <w:shd w:val="clear" w:color="auto" w:fill="CCCCCC"/>
          </w:tcPr>
          <w:p>
            <w:pPr>
              <w:spacing w:after="0"/>
              <w:rPr>
                <w:sz w:val="11"/>
                <w:szCs w:val="11"/>
                <w:color w:val="auto"/>
              </w:rPr>
            </w:pPr>
          </w:p>
        </w:tc>
        <w:tc>
          <w:tcPr>
            <w:tcW w:w="1480" w:type="dxa"/>
            <w:vAlign w:val="bottom"/>
            <w:tcBorders>
              <w:right w:val="single" w:sz="8" w:color="auto"/>
            </w:tcBorders>
            <w:gridSpan w:val="2"/>
            <w:vMerge w:val="restart"/>
            <w:shd w:val="clear" w:color="auto" w:fill="CCCCCC"/>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0" w:type="dxa"/>
            <w:vAlign w:val="bottom"/>
            <w:shd w:val="clear" w:color="auto" w:fill="CCCCCC"/>
          </w:tcPr>
          <w:p>
            <w:pPr>
              <w:spacing w:after="0"/>
              <w:rPr>
                <w:sz w:val="11"/>
                <w:szCs w:val="11"/>
                <w:color w:val="auto"/>
              </w:rPr>
            </w:pPr>
          </w:p>
        </w:tc>
        <w:tc>
          <w:tcPr>
            <w:tcW w:w="1800" w:type="dxa"/>
            <w:vAlign w:val="bottom"/>
            <w:tcBorders>
              <w:right w:val="single" w:sz="8" w:color="auto"/>
            </w:tcBorders>
            <w:gridSpan w:val="2"/>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tcBorders>
              <w:left w:val="single" w:sz="8" w:color="auto"/>
              <w:right w:val="single" w:sz="8" w:color="auto"/>
            </w:tcBorders>
          </w:tcPr>
          <w:p>
            <w:pPr>
              <w:spacing w:after="0"/>
              <w:rPr>
                <w:sz w:val="12"/>
                <w:szCs w:val="12"/>
                <w:color w:val="auto"/>
              </w:rPr>
            </w:pPr>
          </w:p>
        </w:tc>
        <w:tc>
          <w:tcPr>
            <w:tcW w:w="1200" w:type="dxa"/>
            <w:vAlign w:val="bottom"/>
            <w:tcBorders>
              <w:bottom w:val="single" w:sz="8" w:color="CCCCCC"/>
              <w:right w:val="single" w:sz="8" w:color="auto"/>
            </w:tcBorders>
            <w:gridSpan w:val="7"/>
            <w:vMerge w:val="continue"/>
            <w:shd w:val="clear" w:color="auto" w:fill="CCCCCC"/>
          </w:tcPr>
          <w:p>
            <w:pPr>
              <w:spacing w:after="0"/>
              <w:rPr>
                <w:sz w:val="12"/>
                <w:szCs w:val="12"/>
                <w:color w:val="auto"/>
              </w:rPr>
            </w:pPr>
          </w:p>
        </w:tc>
        <w:tc>
          <w:tcPr>
            <w:tcW w:w="40" w:type="dxa"/>
            <w:vAlign w:val="bottom"/>
            <w:tcBorders>
              <w:bottom w:val="single" w:sz="8" w:color="CCCCCC"/>
            </w:tcBorders>
            <w:shd w:val="clear" w:color="auto" w:fill="CCCCCC"/>
          </w:tcPr>
          <w:p>
            <w:pPr>
              <w:spacing w:after="0"/>
              <w:rPr>
                <w:sz w:val="12"/>
                <w:szCs w:val="12"/>
                <w:color w:val="auto"/>
              </w:rPr>
            </w:pPr>
          </w:p>
        </w:tc>
        <w:tc>
          <w:tcPr>
            <w:tcW w:w="520" w:type="dxa"/>
            <w:vAlign w:val="bottom"/>
            <w:tcBorders>
              <w:bottom w:val="single" w:sz="8" w:color="CCCCCC"/>
            </w:tcBorders>
            <w:shd w:val="clear" w:color="auto" w:fill="CCCCCC"/>
          </w:tcPr>
          <w:p>
            <w:pPr>
              <w:spacing w:after="0"/>
              <w:rPr>
                <w:sz w:val="12"/>
                <w:szCs w:val="12"/>
                <w:color w:val="auto"/>
              </w:rPr>
            </w:pPr>
          </w:p>
        </w:tc>
        <w:tc>
          <w:tcPr>
            <w:tcW w:w="4060" w:type="dxa"/>
            <w:vAlign w:val="bottom"/>
            <w:tcBorders>
              <w:bottom w:val="single" w:sz="8" w:color="CCCCCC"/>
            </w:tcBorders>
            <w:shd w:val="clear" w:color="auto" w:fill="CCCCCC"/>
          </w:tcPr>
          <w:p>
            <w:pPr>
              <w:spacing w:after="0"/>
              <w:rPr>
                <w:sz w:val="12"/>
                <w:szCs w:val="12"/>
                <w:color w:val="auto"/>
              </w:rPr>
            </w:pPr>
          </w:p>
        </w:tc>
        <w:tc>
          <w:tcPr>
            <w:tcW w:w="220" w:type="dxa"/>
            <w:vAlign w:val="bottom"/>
            <w:tcBorders>
              <w:bottom w:val="single" w:sz="8" w:color="CCCCCC"/>
            </w:tcBorders>
            <w:shd w:val="clear" w:color="auto" w:fill="CCCCCC"/>
          </w:tcPr>
          <w:p>
            <w:pPr>
              <w:spacing w:after="0"/>
              <w:rPr>
                <w:sz w:val="12"/>
                <w:szCs w:val="12"/>
                <w:color w:val="auto"/>
              </w:rPr>
            </w:pPr>
          </w:p>
        </w:tc>
        <w:tc>
          <w:tcPr>
            <w:tcW w:w="380" w:type="dxa"/>
            <w:vAlign w:val="bottom"/>
            <w:tcBorders>
              <w:bottom w:val="single" w:sz="8" w:color="CCCCCC"/>
              <w:right w:val="single" w:sz="8" w:color="auto"/>
            </w:tcBorders>
            <w:shd w:val="clear" w:color="auto" w:fill="CCCCCC"/>
          </w:tcPr>
          <w:p>
            <w:pPr>
              <w:spacing w:after="0"/>
              <w:rPr>
                <w:sz w:val="12"/>
                <w:szCs w:val="12"/>
                <w:color w:val="auto"/>
              </w:rPr>
            </w:pPr>
          </w:p>
        </w:tc>
        <w:tc>
          <w:tcPr>
            <w:tcW w:w="40" w:type="dxa"/>
            <w:vAlign w:val="bottom"/>
            <w:tcBorders>
              <w:bottom w:val="single" w:sz="8" w:color="CCCCCC"/>
            </w:tcBorders>
            <w:shd w:val="clear" w:color="auto" w:fill="CCCCCC"/>
          </w:tcPr>
          <w:p>
            <w:pPr>
              <w:spacing w:after="0"/>
              <w:rPr>
                <w:sz w:val="12"/>
                <w:szCs w:val="12"/>
                <w:color w:val="auto"/>
              </w:rPr>
            </w:pPr>
          </w:p>
        </w:tc>
        <w:tc>
          <w:tcPr>
            <w:tcW w:w="1360" w:type="dxa"/>
            <w:vAlign w:val="bottom"/>
            <w:tcBorders>
              <w:bottom w:val="single" w:sz="8" w:color="CCCCCC"/>
              <w:right w:val="single" w:sz="8" w:color="auto"/>
            </w:tcBorders>
            <w:gridSpan w:val="2"/>
            <w:vMerge w:val="continue"/>
            <w:shd w:val="clear" w:color="auto" w:fill="CCCCCC"/>
          </w:tcPr>
          <w:p>
            <w:pPr>
              <w:spacing w:after="0"/>
              <w:rPr>
                <w:sz w:val="12"/>
                <w:szCs w:val="12"/>
                <w:color w:val="auto"/>
              </w:rPr>
            </w:pPr>
          </w:p>
        </w:tc>
        <w:tc>
          <w:tcPr>
            <w:tcW w:w="40" w:type="dxa"/>
            <w:vAlign w:val="bottom"/>
            <w:tcBorders>
              <w:bottom w:val="single" w:sz="8" w:color="CCCCCC"/>
            </w:tcBorders>
            <w:shd w:val="clear" w:color="auto" w:fill="CCCCCC"/>
          </w:tcPr>
          <w:p>
            <w:pPr>
              <w:spacing w:after="0"/>
              <w:rPr>
                <w:sz w:val="12"/>
                <w:szCs w:val="12"/>
                <w:color w:val="auto"/>
              </w:rPr>
            </w:pPr>
          </w:p>
        </w:tc>
        <w:tc>
          <w:tcPr>
            <w:tcW w:w="1480" w:type="dxa"/>
            <w:vAlign w:val="bottom"/>
            <w:tcBorders>
              <w:bottom w:val="single" w:sz="8" w:color="CCCCCC"/>
              <w:right w:val="single" w:sz="8" w:color="auto"/>
            </w:tcBorders>
            <w:gridSpan w:val="2"/>
            <w:vMerge w:val="continue"/>
            <w:shd w:val="clear" w:color="auto" w:fill="CCCCCC"/>
          </w:tcPr>
          <w:p>
            <w:pPr>
              <w:spacing w:after="0"/>
              <w:rPr>
                <w:sz w:val="12"/>
                <w:szCs w:val="12"/>
                <w:color w:val="auto"/>
              </w:rPr>
            </w:pPr>
          </w:p>
        </w:tc>
        <w:tc>
          <w:tcPr>
            <w:tcW w:w="40" w:type="dxa"/>
            <w:vAlign w:val="bottom"/>
            <w:tcBorders>
              <w:bottom w:val="single" w:sz="8" w:color="CCCCCC"/>
            </w:tcBorders>
            <w:shd w:val="clear" w:color="auto" w:fill="CCCCCC"/>
          </w:tcPr>
          <w:p>
            <w:pPr>
              <w:spacing w:after="0"/>
              <w:rPr>
                <w:sz w:val="12"/>
                <w:szCs w:val="12"/>
                <w:color w:val="auto"/>
              </w:rPr>
            </w:pPr>
          </w:p>
        </w:tc>
        <w:tc>
          <w:tcPr>
            <w:tcW w:w="540" w:type="dxa"/>
            <w:vAlign w:val="bottom"/>
            <w:tcBorders>
              <w:bottom w:val="single" w:sz="8" w:color="CCCCCC"/>
            </w:tcBorders>
            <w:shd w:val="clear" w:color="auto" w:fill="CCCCCC"/>
          </w:tcPr>
          <w:p>
            <w:pPr>
              <w:spacing w:after="0"/>
              <w:rPr>
                <w:sz w:val="12"/>
                <w:szCs w:val="12"/>
                <w:color w:val="auto"/>
              </w:rPr>
            </w:pPr>
          </w:p>
        </w:tc>
        <w:tc>
          <w:tcPr>
            <w:tcW w:w="1260" w:type="dxa"/>
            <w:vAlign w:val="bottom"/>
            <w:tcBorders>
              <w:bottom w:val="single" w:sz="8" w:color="CCCCCC"/>
              <w:right w:val="single" w:sz="8" w:color="auto"/>
            </w:tcBorders>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40" w:type="dxa"/>
            <w:vAlign w:val="bottom"/>
            <w:tcBorders>
              <w:top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u w:val="single" w:color="auto"/>
                <w:color w:val="0000FF"/>
              </w:rPr>
              <w:t>I</w:t>
            </w:r>
          </w:p>
        </w:tc>
        <w:tc>
          <w:tcPr>
            <w:tcW w:w="5220" w:type="dxa"/>
            <w:vAlign w:val="bottom"/>
            <w:tcBorders>
              <w:top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0000FF"/>
              </w:rPr>
              <w:t>During the 2024 Covenant Relief Period, greater than 3.00:1.00</w:t>
            </w:r>
          </w:p>
        </w:tc>
        <w:tc>
          <w:tcPr>
            <w:tcW w:w="1400" w:type="dxa"/>
            <w:vAlign w:val="bottom"/>
            <w:tcBorders>
              <w:top w:val="single" w:sz="8" w:color="auto"/>
              <w:right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0000FF"/>
              </w:rPr>
              <w:t>3.50%</w:t>
            </w:r>
          </w:p>
        </w:tc>
        <w:tc>
          <w:tcPr>
            <w:tcW w:w="1520" w:type="dxa"/>
            <w:vAlign w:val="bottom"/>
            <w:tcBorders>
              <w:top w:val="single" w:sz="8" w:color="auto"/>
              <w:right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color w:val="0000FF"/>
              </w:rPr>
              <w:t>3.75%</w:t>
            </w:r>
          </w:p>
        </w:tc>
        <w:tc>
          <w:tcPr>
            <w:tcW w:w="1840" w:type="dxa"/>
            <w:vAlign w:val="bottom"/>
            <w:tcBorders>
              <w:top w:val="single" w:sz="8" w:color="auto"/>
              <w:right w:val="single" w:sz="8" w:color="auto"/>
            </w:tcBorders>
            <w:gridSpan w:val="3"/>
          </w:tcPr>
          <w:p>
            <w:pPr>
              <w:jc w:val="right"/>
              <w:ind w:right="1260"/>
              <w:spacing w:after="0"/>
              <w:rPr>
                <w:sz w:val="20"/>
                <w:szCs w:val="20"/>
                <w:color w:val="auto"/>
              </w:rPr>
            </w:pPr>
            <w:r>
              <w:rPr>
                <w:rFonts w:ascii="Times New Roman" w:cs="Times New Roman" w:eastAsia="Times New Roman" w:hAnsi="Times New Roman"/>
                <w:sz w:val="18"/>
                <w:szCs w:val="18"/>
                <w:color w:val="0000FF"/>
              </w:rPr>
              <w:t>0.500%</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406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8"/>
                <w:szCs w:val="18"/>
                <w:color w:val="FF0000"/>
                <w:strike w:val="1"/>
                <w:w w:val="99"/>
              </w:rPr>
              <w:t>I</w:t>
            </w:r>
            <w:r>
              <w:rPr>
                <w:rFonts w:ascii="Times New Roman" w:cs="Times New Roman" w:eastAsia="Times New Roman" w:hAnsi="Times New Roman"/>
                <w:sz w:val="18"/>
                <w:szCs w:val="18"/>
                <w:color w:val="0000FF"/>
                <w:w w:val="99"/>
              </w:rPr>
              <w:t>II</w:t>
            </w:r>
          </w:p>
        </w:tc>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2"/>
              </w:rPr>
              <w:t>Greater</w:t>
            </w:r>
          </w:p>
        </w:tc>
        <w:tc>
          <w:tcPr>
            <w:tcW w:w="46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Other than during the 2024 Covenant Relief Period, greater</w:t>
            </w:r>
          </w:p>
        </w:tc>
        <w:tc>
          <w:tcPr>
            <w:tcW w:w="1400" w:type="dxa"/>
            <w:vAlign w:val="bottom"/>
            <w:tcBorders>
              <w:right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3.00%</w:t>
            </w:r>
          </w:p>
        </w:tc>
        <w:tc>
          <w:tcPr>
            <w:tcW w:w="1520" w:type="dxa"/>
            <w:vAlign w:val="bottom"/>
            <w:tcBorders>
              <w:right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3.25%</w:t>
            </w:r>
          </w:p>
        </w:tc>
        <w:tc>
          <w:tcPr>
            <w:tcW w:w="1840" w:type="dxa"/>
            <w:vAlign w:val="bottom"/>
            <w:tcBorders>
              <w:right w:val="single" w:sz="8" w:color="auto"/>
            </w:tcBorders>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0.500%</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80" w:type="dxa"/>
            <w:vAlign w:val="bottom"/>
            <w:tcBorders>
              <w:top w:val="single" w:sz="8" w:color="0000FF"/>
              <w:bottom w:val="single" w:sz="8" w:color="0000FF"/>
            </w:tcBorders>
            <w:gridSpan w:val="2"/>
          </w:tcPr>
          <w:p>
            <w:pPr>
              <w:spacing w:after="0" w:line="20" w:lineRule="exact"/>
              <w:rPr>
                <w:sz w:val="1"/>
                <w:szCs w:val="1"/>
                <w:color w:val="auto"/>
              </w:rPr>
            </w:pPr>
          </w:p>
        </w:tc>
        <w:tc>
          <w:tcPr>
            <w:tcW w:w="380" w:type="dxa"/>
            <w:vAlign w:val="bottom"/>
            <w:tcBorders>
              <w:right w:val="single" w:sz="8" w:color="auto"/>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8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than 3.00:1.00</w:t>
            </w:r>
          </w:p>
        </w:tc>
        <w:tc>
          <w:tcPr>
            <w:tcW w:w="380" w:type="dxa"/>
            <w:vAlign w:val="bottom"/>
            <w:tcBorders>
              <w:right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6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5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FF0000"/>
                <w:strike w:val="1"/>
                <w:w w:val="99"/>
              </w:rPr>
              <w:t>II</w:t>
            </w:r>
          </w:p>
        </w:tc>
        <w:tc>
          <w:tcPr>
            <w:tcW w:w="6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FF"/>
              </w:rPr>
              <w:t>III</w:t>
            </w:r>
          </w:p>
        </w:tc>
        <w:tc>
          <w:tcPr>
            <w:tcW w:w="52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Greater than 2.50:1.00 but less than or equal to 3.00:1.00</w:t>
            </w:r>
          </w:p>
        </w:tc>
        <w:tc>
          <w:tcPr>
            <w:tcW w:w="1400" w:type="dxa"/>
            <w:vAlign w:val="bottom"/>
            <w:tcBorders>
              <w:right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2.50%</w:t>
            </w:r>
          </w:p>
        </w:tc>
        <w:tc>
          <w:tcPr>
            <w:tcW w:w="1520" w:type="dxa"/>
            <w:vAlign w:val="bottom"/>
            <w:tcBorders>
              <w:right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2.75%</w:t>
            </w:r>
          </w:p>
        </w:tc>
        <w:tc>
          <w:tcPr>
            <w:tcW w:w="1840" w:type="dxa"/>
            <w:vAlign w:val="bottom"/>
            <w:tcBorders>
              <w:right w:val="single" w:sz="8" w:color="auto"/>
            </w:tcBorders>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0.375%</w:t>
            </w:r>
          </w:p>
        </w:tc>
        <w:tc>
          <w:tcPr>
            <w:tcW w:w="0" w:type="dxa"/>
            <w:vAlign w:val="bottom"/>
          </w:tcPr>
          <w:p>
            <w:pPr>
              <w:spacing w:after="0"/>
              <w:rPr>
                <w:sz w:val="1"/>
                <w:szCs w:val="1"/>
                <w:color w:val="auto"/>
              </w:rPr>
            </w:pPr>
          </w:p>
        </w:tc>
      </w:tr>
      <w:tr>
        <w:trPr>
          <w:trHeight w:val="40"/>
        </w:trPr>
        <w:tc>
          <w:tcPr>
            <w:tcW w:w="60" w:type="dxa"/>
            <w:vAlign w:val="bottom"/>
            <w:tcBorders>
              <w:left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top w:val="single" w:sz="8" w:color="0000FF"/>
              <w:bottom w:val="single" w:sz="8" w:color="auto"/>
            </w:tcBorders>
          </w:tcPr>
          <w:p>
            <w:pPr>
              <w:spacing w:after="0"/>
              <w:rPr>
                <w:sz w:val="3"/>
                <w:szCs w:val="3"/>
                <w:color w:val="auto"/>
              </w:rPr>
            </w:pPr>
          </w:p>
        </w:tc>
        <w:tc>
          <w:tcPr>
            <w:tcW w:w="40" w:type="dxa"/>
            <w:vAlign w:val="bottom"/>
            <w:tcBorders>
              <w:top w:val="single" w:sz="8" w:color="0000FF"/>
              <w:bottom w:val="single" w:sz="8" w:color="auto"/>
            </w:tcBorders>
          </w:tcPr>
          <w:p>
            <w:pPr>
              <w:spacing w:after="0"/>
              <w:rPr>
                <w:sz w:val="3"/>
                <w:szCs w:val="3"/>
                <w:color w:val="auto"/>
              </w:rPr>
            </w:pPr>
          </w:p>
        </w:tc>
        <w:tc>
          <w:tcPr>
            <w:tcW w:w="60" w:type="dxa"/>
            <w:vAlign w:val="bottom"/>
            <w:tcBorders>
              <w:top w:val="single" w:sz="8" w:color="0000FF"/>
              <w:bottom w:val="single" w:sz="8" w:color="auto"/>
            </w:tcBorders>
          </w:tcPr>
          <w:p>
            <w:pPr>
              <w:spacing w:after="0"/>
              <w:rPr>
                <w:sz w:val="3"/>
                <w:szCs w:val="3"/>
                <w:color w:val="auto"/>
              </w:rPr>
            </w:pPr>
          </w:p>
        </w:tc>
        <w:tc>
          <w:tcPr>
            <w:tcW w:w="60" w:type="dxa"/>
            <w:vAlign w:val="bottom"/>
            <w:tcBorders>
              <w:top w:val="single" w:sz="8" w:color="0000FF"/>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FF0000"/>
                <w:strike w:val="1"/>
                <w:w w:val="99"/>
              </w:rPr>
              <w:t>III</w:t>
            </w:r>
          </w:p>
        </w:tc>
        <w:tc>
          <w:tcPr>
            <w:tcW w:w="62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FF"/>
              </w:rPr>
              <w:t>IV</w:t>
            </w:r>
          </w:p>
        </w:tc>
        <w:tc>
          <w:tcPr>
            <w:tcW w:w="52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Greater than 2.00:1.00 but less than or equal to 2.50:1.00</w:t>
            </w:r>
          </w:p>
        </w:tc>
        <w:tc>
          <w:tcPr>
            <w:tcW w:w="1400" w:type="dxa"/>
            <w:vAlign w:val="bottom"/>
            <w:tcBorders>
              <w:right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2.00%</w:t>
            </w:r>
          </w:p>
        </w:tc>
        <w:tc>
          <w:tcPr>
            <w:tcW w:w="1520" w:type="dxa"/>
            <w:vAlign w:val="bottom"/>
            <w:tcBorders>
              <w:right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2.50%</w:t>
            </w:r>
          </w:p>
        </w:tc>
        <w:tc>
          <w:tcPr>
            <w:tcW w:w="1840" w:type="dxa"/>
            <w:vAlign w:val="bottom"/>
            <w:tcBorders>
              <w:right w:val="single" w:sz="8" w:color="auto"/>
            </w:tcBorders>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0.350%</w:t>
            </w:r>
          </w:p>
        </w:tc>
        <w:tc>
          <w:tcPr>
            <w:tcW w:w="0" w:type="dxa"/>
            <w:vAlign w:val="bottom"/>
          </w:tcPr>
          <w:p>
            <w:pPr>
              <w:spacing w:after="0"/>
              <w:rPr>
                <w:sz w:val="1"/>
                <w:szCs w:val="1"/>
                <w:color w:val="auto"/>
              </w:rPr>
            </w:pPr>
          </w:p>
        </w:tc>
      </w:tr>
      <w:tr>
        <w:trPr>
          <w:trHeight w:val="41"/>
        </w:trPr>
        <w:tc>
          <w:tcPr>
            <w:tcW w:w="60" w:type="dxa"/>
            <w:vAlign w:val="bottom"/>
            <w:tcBorders>
              <w:left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top w:val="single" w:sz="8" w:color="0000FF"/>
              <w:bottom w:val="single" w:sz="8" w:color="auto"/>
            </w:tcBorders>
          </w:tcPr>
          <w:p>
            <w:pPr>
              <w:spacing w:after="0"/>
              <w:rPr>
                <w:sz w:val="3"/>
                <w:szCs w:val="3"/>
                <w:color w:val="auto"/>
              </w:rPr>
            </w:pPr>
          </w:p>
        </w:tc>
        <w:tc>
          <w:tcPr>
            <w:tcW w:w="60" w:type="dxa"/>
            <w:vAlign w:val="bottom"/>
            <w:tcBorders>
              <w:top w:val="single" w:sz="8" w:color="0000FF"/>
              <w:bottom w:val="single" w:sz="8" w:color="auto"/>
            </w:tcBorders>
          </w:tcPr>
          <w:p>
            <w:pPr>
              <w:spacing w:after="0"/>
              <w:rPr>
                <w:sz w:val="3"/>
                <w:szCs w:val="3"/>
                <w:color w:val="auto"/>
              </w:rPr>
            </w:pPr>
          </w:p>
        </w:tc>
        <w:tc>
          <w:tcPr>
            <w:tcW w:w="60" w:type="dxa"/>
            <w:vAlign w:val="bottom"/>
            <w:tcBorders>
              <w:top w:val="single" w:sz="8" w:color="0000FF"/>
              <w:bottom w:val="single" w:sz="8" w:color="auto"/>
            </w:tcBorders>
          </w:tcPr>
          <w:p>
            <w:pPr>
              <w:spacing w:after="0"/>
              <w:rPr>
                <w:sz w:val="3"/>
                <w:szCs w:val="3"/>
                <w:color w:val="auto"/>
              </w:rPr>
            </w:pPr>
          </w:p>
        </w:tc>
        <w:tc>
          <w:tcPr>
            <w:tcW w:w="20" w:type="dxa"/>
            <w:vAlign w:val="bottom"/>
            <w:tcBorders>
              <w:top w:val="single" w:sz="8" w:color="0000FF"/>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6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FF0000"/>
                <w:strike w:val="1"/>
              </w:rPr>
              <w:t>IV</w:t>
            </w:r>
          </w:p>
        </w:tc>
        <w:tc>
          <w:tcPr>
            <w:tcW w:w="5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FF"/>
              </w:rPr>
              <w:t>V</w:t>
            </w:r>
          </w:p>
        </w:tc>
        <w:tc>
          <w:tcPr>
            <w:tcW w:w="52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Greater than 1.50:1.00 but less than or equal to 2.00:1.00</w:t>
            </w:r>
          </w:p>
        </w:tc>
        <w:tc>
          <w:tcPr>
            <w:tcW w:w="1400" w:type="dxa"/>
            <w:vAlign w:val="bottom"/>
            <w:tcBorders>
              <w:right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1.75%</w:t>
            </w:r>
          </w:p>
        </w:tc>
        <w:tc>
          <w:tcPr>
            <w:tcW w:w="1520" w:type="dxa"/>
            <w:vAlign w:val="bottom"/>
            <w:tcBorders>
              <w:right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2.25%</w:t>
            </w:r>
          </w:p>
        </w:tc>
        <w:tc>
          <w:tcPr>
            <w:tcW w:w="1840" w:type="dxa"/>
            <w:vAlign w:val="bottom"/>
            <w:tcBorders>
              <w:right w:val="single" w:sz="8" w:color="auto"/>
            </w:tcBorders>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0.300%</w:t>
            </w:r>
          </w:p>
        </w:tc>
        <w:tc>
          <w:tcPr>
            <w:tcW w:w="0" w:type="dxa"/>
            <w:vAlign w:val="bottom"/>
          </w:tcPr>
          <w:p>
            <w:pPr>
              <w:spacing w:after="0"/>
              <w:rPr>
                <w:sz w:val="1"/>
                <w:szCs w:val="1"/>
                <w:color w:val="auto"/>
              </w:rPr>
            </w:pPr>
          </w:p>
        </w:tc>
      </w:tr>
      <w:tr>
        <w:trPr>
          <w:trHeight w:val="40"/>
        </w:trPr>
        <w:tc>
          <w:tcPr>
            <w:tcW w:w="60" w:type="dxa"/>
            <w:vAlign w:val="bottom"/>
            <w:tcBorders>
              <w:left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top w:val="single" w:sz="8" w:color="0000FF"/>
              <w:bottom w:val="single" w:sz="8" w:color="auto"/>
            </w:tcBorders>
          </w:tcPr>
          <w:p>
            <w:pPr>
              <w:spacing w:after="0"/>
              <w:rPr>
                <w:sz w:val="3"/>
                <w:szCs w:val="3"/>
                <w:color w:val="auto"/>
              </w:rPr>
            </w:pPr>
          </w:p>
        </w:tc>
        <w:tc>
          <w:tcPr>
            <w:tcW w:w="60" w:type="dxa"/>
            <w:vAlign w:val="bottom"/>
            <w:tcBorders>
              <w:top w:val="single" w:sz="8" w:color="0000FF"/>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5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FF0000"/>
                <w:strike w:val="1"/>
              </w:rPr>
              <w:t>V</w:t>
            </w:r>
          </w:p>
        </w:tc>
        <w:tc>
          <w:tcPr>
            <w:tcW w:w="6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FF"/>
              </w:rPr>
              <w:t>VI</w:t>
            </w:r>
          </w:p>
        </w:tc>
        <w:tc>
          <w:tcPr>
            <w:tcW w:w="52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Less than or equal to 1.50:1.00</w:t>
            </w:r>
          </w:p>
        </w:tc>
        <w:tc>
          <w:tcPr>
            <w:tcW w:w="1400" w:type="dxa"/>
            <w:vAlign w:val="bottom"/>
            <w:tcBorders>
              <w:right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1.50%</w:t>
            </w:r>
          </w:p>
        </w:tc>
        <w:tc>
          <w:tcPr>
            <w:tcW w:w="1520" w:type="dxa"/>
            <w:vAlign w:val="bottom"/>
            <w:tcBorders>
              <w:right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2.00%</w:t>
            </w:r>
          </w:p>
        </w:tc>
        <w:tc>
          <w:tcPr>
            <w:tcW w:w="1840" w:type="dxa"/>
            <w:vAlign w:val="bottom"/>
            <w:tcBorders>
              <w:right w:val="single" w:sz="8" w:color="auto"/>
            </w:tcBorders>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64"/>
        </w:trPr>
        <w:tc>
          <w:tcPr>
            <w:tcW w:w="60" w:type="dxa"/>
            <w:vAlign w:val="bottom"/>
            <w:tcBorders>
              <w:left w:val="single" w:sz="8" w:color="auto"/>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Applicable Margin shall be determined and adjusted quarterly on the date (each a “</w:t>
      </w:r>
      <w:r>
        <w:rPr>
          <w:rFonts w:ascii="Times New Roman" w:cs="Times New Roman" w:eastAsia="Times New Roman" w:hAnsi="Times New Roman"/>
          <w:sz w:val="18"/>
          <w:szCs w:val="18"/>
          <w:u w:val="single" w:color="auto"/>
          <w:color w:val="auto"/>
        </w:rPr>
        <w:t>Margin Determination Date</w:t>
      </w:r>
      <w:r>
        <w:rPr>
          <w:rFonts w:ascii="Times New Roman" w:cs="Times New Roman" w:eastAsia="Times New Roman" w:hAnsi="Times New Roman"/>
          <w:sz w:val="18"/>
          <w:szCs w:val="18"/>
          <w:color w:val="auto"/>
        </w:rPr>
        <w:t xml:space="preserve">”) that is five Business Days after receipt by the Administrative Agent of the Compliance Certificate pursuant to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for the most recently ended fiscal quarter of the Borrower (but in any event, not later than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end of each of the first three quarterly periods of each Fiscal Year or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end of each Fiscal Year,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Applicable Margin shall be based on Pricing Level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auto"/>
        </w:rPr>
        <w:t xml:space="preserve"> until the Margin Determination Date for the first fiscal quarter ending after the Closing Date, (b) if the Borrower fails to deliver the Compliance Certificate as required by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for the most recently ended fiscal quarter preceding the applicable Margin Determination Date, the Applicable Margin from such Margin Determination Date shall be based on Pricing Level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auto"/>
        </w:rPr>
        <w:t xml:space="preserve"> until </w:t>
      </w:r>
      <w:r>
        <w:rPr>
          <w:rFonts w:ascii="Times New Roman" w:cs="Times New Roman" w:eastAsia="Times New Roman" w:hAnsi="Times New Roman"/>
          <w:sz w:val="18"/>
          <w:szCs w:val="18"/>
          <w:u w:val="single" w:color="auto"/>
          <w:color w:val="0000FF"/>
        </w:rPr>
        <w:t>the fifth Business Day after an appropriate Compliance Certificate is delivered, at which time the Pricing Level shall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determined by reference to the Consolidated Net Leverage Ratio as of the last day of the most recently ended fiscal quarter of the Borrower preceding such Margin Determination Date, (c) if, after the Fourth Amendment Effective Date and during the 2024 Covenant Relief Period, any Compliance Certificate delivered by the Borrower to the Administrative Agent demonstrates that the Borrower is not in compliance with the financial covenants contained in Section 7.12 herein, then the Applicable Margin from such Margin Determination Date shall be based on Pricing Level I until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fifth Business Day after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an appropriate Compliance Certificate is delivered that demonstrates compliance with such financial covenants, at which time the Pricing Level shall be determined by reference to the Consolidated Net Leverage Ratio as of the last day of the most recently ended fiscal quarter of the Borrower preceding such Margin Determination Date and (d) if, during the 2024 Covenant Relief Period, the Borrower fails to deliver the Compliance Certificate as required by Section 6.1(c) for the most recently ended fiscal quarter preceding the applicable Margin Determination Date, the Applicable Margin from such Margin Determination Date shall be based on Pricing Level I until the fifth Business Day after an appropriate Compliance Certificate is delivered, at which time the Pricing Level shall be determined by reference to the Consolidated Net Leverage Ratio as of the last day of the most recently ended fiscal quarter of the Borrower preceding such Margin Determination Date. The Applicable Margin shall be effective from one Margin Determination Date until the next Margin Determination Date. Any adjustment in the Applicable Margin shall be applicable to all Loans then existing or subsequently made during the applicable period for which the relevant Applicable Margin applies. Notwithstanding the foregoing, in the event that any financial statement delivered pursuant to </w:t>
      </w:r>
      <w:r>
        <w:rPr>
          <w:rFonts w:ascii="Times New Roman" w:cs="Times New Roman" w:eastAsia="Times New Roman" w:hAnsi="Times New Roman"/>
          <w:sz w:val="18"/>
          <w:szCs w:val="18"/>
          <w:u w:val="single" w:color="auto"/>
          <w:color w:val="000000"/>
        </w:rPr>
        <w:t>Section 6.1(a)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or any Compliance Certificate delivered pursuant to </w:t>
      </w:r>
      <w:r>
        <w:rPr>
          <w:rFonts w:ascii="Times New Roman" w:cs="Times New Roman" w:eastAsia="Times New Roman" w:hAnsi="Times New Roman"/>
          <w:sz w:val="18"/>
          <w:szCs w:val="18"/>
          <w:u w:val="single" w:color="auto"/>
          <w:color w:val="000000"/>
        </w:rPr>
        <w:t>Section 6.1(c)</w:t>
      </w:r>
      <w:r>
        <w:rPr>
          <w:rFonts w:ascii="Times New Roman" w:cs="Times New Roman" w:eastAsia="Times New Roman" w:hAnsi="Times New Roman"/>
          <w:sz w:val="18"/>
          <w:szCs w:val="18"/>
          <w:color w:val="000000"/>
        </w:rPr>
        <w:t xml:space="preserve"> is inaccurate (regardless of whether (i) this Credit Agreement is in effect, or (ii) any of the Commitments are in effect, or (iii) any Loans or Letters of Credit are outstanding when such inaccuracy is discovered or such financial statement or Compliance Certificate was delivered), and such inaccuracy, if corrected, would have led to the application of a higher Applicable Margin for any period (an “</w:t>
      </w:r>
      <w:r>
        <w:rPr>
          <w:rFonts w:ascii="Times New Roman" w:cs="Times New Roman" w:eastAsia="Times New Roman" w:hAnsi="Times New Roman"/>
          <w:sz w:val="18"/>
          <w:szCs w:val="18"/>
          <w:u w:val="single" w:color="auto"/>
          <w:color w:val="000000"/>
        </w:rPr>
        <w:t>Applicable Period</w:t>
      </w:r>
      <w:r>
        <w:rPr>
          <w:rFonts w:ascii="Times New Roman" w:cs="Times New Roman" w:eastAsia="Times New Roman" w:hAnsi="Times New Roman"/>
          <w:sz w:val="18"/>
          <w:szCs w:val="18"/>
          <w:color w:val="000000"/>
        </w:rPr>
        <w:t xml:space="preserve">”) than the Applicable Margin applied for such Applicable Period, then (A) the Borrower shall immediately deliver to the Administrative Agent a corrected Compliance Certificate for such Applicable Period, (B) the Applicable Margin for such Applicable Period shall be determined as if the Consolidated Net Leverage Ratio in the corrected Compliance Certificate were applicable for such Applicable Period, and (C) the Borrower shall immediately pay to the Administrative Agent the accrued additional interest and fees owing as a result of such increased Applicable Margin for such Applicable Period, which payment shall be promptly applied by the Administrative Agent in accordance with </w:t>
      </w:r>
      <w:r>
        <w:rPr>
          <w:rFonts w:ascii="Times New Roman" w:cs="Times New Roman" w:eastAsia="Times New Roman" w:hAnsi="Times New Roman"/>
          <w:sz w:val="18"/>
          <w:szCs w:val="18"/>
          <w:u w:val="single" w:color="auto"/>
          <w:color w:val="000000"/>
        </w:rPr>
        <w:t>Section 2.8</w:t>
      </w:r>
      <w:r>
        <w:rPr>
          <w:rFonts w:ascii="Times New Roman" w:cs="Times New Roman" w:eastAsia="Times New Roman" w:hAnsi="Times New Roman"/>
          <w:sz w:val="18"/>
          <w:szCs w:val="18"/>
          <w:color w:val="000000"/>
        </w:rPr>
        <w:t xml:space="preserve">. Nothing in this paragraph shall limit the rights of the Administrative Agent and Lenders with respect to </w:t>
      </w:r>
      <w:r>
        <w:rPr>
          <w:rFonts w:ascii="Times New Roman" w:cs="Times New Roman" w:eastAsia="Times New Roman" w:hAnsi="Times New Roman"/>
          <w:sz w:val="18"/>
          <w:szCs w:val="18"/>
          <w:u w:val="single" w:color="auto"/>
          <w:color w:val="000000"/>
        </w:rPr>
        <w:t>Section 3.1</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8.1</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2" w:name="page43"/>
    <w:bookmarkEnd w:id="42"/>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at any time (a) with respect to any Lender with a Commitment of any Class, the percentage equal to a fraction the numerator of which is the amount of such Lender’s Commitment of such Class and the denominator of which is the aggregate amount of all Commitments of such Class of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Commitments under the Revolving Facility have terminated or expired, the Applicable Percentages of the Lenders under the Revolving Facility shall be determined based upon the Revolving Exposure at such time of the determination pursuant to clause (b) below) and (b) with respect to the Loans of any Class, a percentage equal to a fraction the numerator of which is such Lender’s Outstanding Amount of the Loans of such Class and the denominator of which is the aggregate Outstanding Amount of all Loans of such Class.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“Appropriate Lenders</w:t>
      </w:r>
      <w:r>
        <w:rPr>
          <w:rFonts w:ascii="Times New Roman" w:cs="Times New Roman" w:eastAsia="Times New Roman" w:hAnsi="Times New Roman"/>
          <w:sz w:val="18"/>
          <w:szCs w:val="18"/>
          <w:color w:val="auto"/>
        </w:rPr>
        <w:t>” means, at any time, (a) with respect to the Revolving Facility, the Revolving Lenders, (b) with respect to any Letters of Credit, the L/C Issuer and the Revolving Lenders, (c) with respect to any Swingline Loans, the Swingline Lender and the Revolving Lenders, (d) with respect to the Term Facility, the Term Lenders, and (e) with respect to any Incremental Term Facility, the applicable Incremental Term Lenders.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“Approved Line of Business</w:t>
      </w:r>
      <w:r>
        <w:rPr>
          <w:rFonts w:ascii="Times New Roman" w:cs="Times New Roman" w:eastAsia="Times New Roman" w:hAnsi="Times New Roman"/>
          <w:sz w:val="18"/>
          <w:szCs w:val="18"/>
          <w:color w:val="auto"/>
        </w:rPr>
        <w:t>” means, collectively, (a) those lines of business in which the Borrower and its Subsidiaries operate on the Closing Date (after giving effect to the Transactions occurring on the Closing Date) and (b) any business or activity that is the same, similar or otherwise reasonably related, ancillary, complementary or incidental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“Attorney Costs</w:t>
      </w:r>
      <w:r>
        <w:rPr>
          <w:rFonts w:ascii="Times New Roman" w:cs="Times New Roman" w:eastAsia="Times New Roman" w:hAnsi="Times New Roman"/>
          <w:sz w:val="18"/>
          <w:szCs w:val="18"/>
          <w:color w:val="auto"/>
        </w:rPr>
        <w:t>” means when referring to the Attorney Costs of (a) the Administrative Agent, all reasonable and documented fees and reasonable and documented out-of-pocket expenses, charges, disbursements and other charges of one law firm (and one local counsel in each relevant jurisdiction and one special or regulatory counsel for each relevant subject matter to the extent reasonably necessary) and (b) each Credit Party other than the Administrative Agent, all reasonable and documented fees and reasonable and documented out-of-pocket expenses, charges, disbursements and other charges of one counsel to each such Credit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at any date, (a) in respect of any Finance Lease of any Person, the capitalized amount thereof that would appear on a balance sheet of such Person prepared as of such date in accordance with GAAP, (b) in respect of any Synthetic Lease Obligation of any Person, the capitalized or principal amount of the remaining lease payments under the relevant lease that would appear on a balance sheet of such Person prepared as of such date in accordance with GAAP if such lease or other agreement were accounted for as a Finance Lease, and (c) all Synthetic Debt of such Person.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Form 10-K containing the audited consolidated balance sheet of the Borrower and its Subsidiaries as of the last day of each of the two most recent Fiscal Years ended at least 90 days prior to the Closing Date and the related audited consolidated statements of income, comprehensive income, cash flows and shareholders’ equity of the Borrower and its Subsidiaries for each of the two most recent Fiscal Years ended at least 90 days prior to the Closing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“Auto-Renewal Letter of Credit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2.4(b)(iii)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with respect to the Revolving Facility, the period from and including the Closing Date to but excluding the earlier of the Maturity Date with respect to the Revolving Facility and, if different, the date of the termination of the Revolving Commitments in accordance with the provisions of this Credit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Credit Agreement or (y) otherwise, any payment period for interest calculated with reference to such Benchmark (or component thereof), as applicable, that is or may be used for determining any frequency of making payments of interest calculated with reference to such Benchmark pursuant to this Credit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“Back-to-Back Letter of Credit</w:t>
      </w:r>
      <w:r>
        <w:rPr>
          <w:rFonts w:ascii="Times New Roman" w:cs="Times New Roman" w:eastAsia="Times New Roman" w:hAnsi="Times New Roman"/>
          <w:sz w:val="18"/>
          <w:szCs w:val="18"/>
          <w:color w:val="auto"/>
        </w:rPr>
        <w:t>” means a letter of credit, in form and substance reasonably satisfactory to the L/C Issuer and issued by an issuer reasonably satisfactory to the L/C Issuer.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“Backstopped</w:t>
      </w:r>
      <w:r>
        <w:rPr>
          <w:rFonts w:ascii="Times New Roman" w:cs="Times New Roman" w:eastAsia="Times New Roman" w:hAnsi="Times New Roman"/>
          <w:sz w:val="18"/>
          <w:szCs w:val="18"/>
          <w:color w:val="auto"/>
        </w:rPr>
        <w:t xml:space="preserve">” means, in respect of any Letter of Credit that remains outstanding on the applicable date, that the L/C Issuer shall have received (a) a Back-to-Back Letter of Credit and/or (b) cash or 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sum of the maximum drawable amount of such Back-to-Back Letter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of such cash and Cash Equivalents shall not be less than the Minimum Collateral Amount of the maximum drawable amount of such Letter of Credit, (ii) the arrangements with respect to such cash, Cash Equivalents and drawings on any Back-to-Back Letter of Credit allow the L/C Issuer to apply the same to reimburse itself with respect to drawings on, and other sums owing with respect to, such Letter of Credit, and (iii) the requirements under clauses (i) and (ii) of this defined term are in all respects satisfactory to the L/C Issuer.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or any similar federal or state law for the relief of debtors.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its related Benchmark Replacement Date have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Any reference to “Benchmark” shall include, as applicable, the published component used in the calculation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207" w:lineRule="exact"/>
        <w:rPr>
          <w:sz w:val="20"/>
          <w:szCs w:val="20"/>
          <w:color w:val="auto"/>
        </w:rPr>
      </w:pPr>
    </w:p>
    <w:p>
      <w:pPr>
        <w:ind w:left="1820" w:hanging="516"/>
        <w:spacing w:after="0"/>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Simple SOFR; or</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and an adjustment as a replacement to the then-current Benchmark for Dollar-denominated syndicated credit facilities at such time and (ii) the related Benchmark Replacement Adjustment;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Benchmark Replacement shall be administratively feasible as determined by the Administrative Agent in its sole discretion.</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(a) or (b) above would be less than the Floor, such Benchmark Replacement will be deemed to be the Floor for the purposes of this Credit Agreement and the other Loan Documents.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a date and time determined by Administrative Agent, which date shall be no later than the earliest to occur of the following events with respect to the then-current Benchmark:</w:t>
      </w:r>
    </w:p>
    <w:p>
      <w:pPr>
        <w:spacing w:after="0" w:line="162" w:lineRule="exact"/>
        <w:rPr>
          <w:sz w:val="20"/>
          <w:szCs w:val="20"/>
          <w:color w:val="auto"/>
        </w:rPr>
      </w:pPr>
    </w:p>
    <w:p>
      <w:pPr>
        <w:jc w:val="both"/>
        <w:ind w:firstLine="1304"/>
        <w:spacing w:after="0" w:line="266" w:lineRule="auto"/>
        <w:tabs>
          <w:tab w:leader="none" w:pos="18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both"/>
        <w:ind w:firstLine="1304"/>
        <w:spacing w:after="0" w:line="258" w:lineRule="auto"/>
        <w:tabs>
          <w:tab w:leader="none" w:pos="19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5" w:lineRule="exact"/>
        <w:rPr>
          <w:sz w:val="20"/>
          <w:szCs w:val="20"/>
          <w:color w:val="auto"/>
        </w:rPr>
      </w:pPr>
    </w:p>
    <w:p>
      <w:pPr>
        <w:jc w:val="both"/>
        <w:ind w:firstLine="1304"/>
        <w:spacing w:after="0" w:line="261" w:lineRule="auto"/>
        <w:tabs>
          <w:tab w:leader="none" w:pos="19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with respect to the Borrower, a certification regarding beneficial ownership as required by the Beneficial Ownership Regulation, which certification shall be substantially in the form provided by Administrative Agent or such other form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“Biostage Litigation</w:t>
      </w:r>
      <w:r>
        <w:rPr>
          <w:rFonts w:ascii="Times New Roman" w:cs="Times New Roman" w:eastAsia="Times New Roman" w:hAnsi="Times New Roman"/>
          <w:sz w:val="18"/>
          <w:szCs w:val="18"/>
          <w:color w:val="auto"/>
        </w:rPr>
        <w:t>” means the wrongful death complaint filed on behalf of an individual plaintiff related to an injury purported to have been caused by a product produced by a subsidiary of the Borrower, as disclosed to the Administrative Agent and the Lenders prior to the First Amendment Effective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Class, Type and currency made, converted or continued on the same date and, in the case of SOFR Loans, as to which a single Interest Period is in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means (a) in the case of a SOFR Borrowing, $1,000,000 (b) in the case of an ABR Borrowing, $100,000, and (c) in the case of a Swingline Loan, $100,000.</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(a) in the case of a SOFR Borrowing, $500,000, (b) in the case of an ABR Borrowing, $100,000, and (c) in the case of a Swingline Loan, $100,000.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day on which banks in New York City, New York are authorized or required by law to close.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“Calculation Date</w:t>
      </w:r>
      <w:r>
        <w:rPr>
          <w:rFonts w:ascii="Times New Roman" w:cs="Times New Roman" w:eastAsia="Times New Roman" w:hAnsi="Times New Roman"/>
          <w:sz w:val="18"/>
          <w:szCs w:val="18"/>
          <w:color w:val="auto"/>
        </w:rPr>
        <w:t>” means (a) the date of delivery of each Committed Loan Notice, (b) the date of issuance, extension or renewal of any Letter of Credit (other than an Auto-Renewal Letter of Credit) or (c) such additional dates as the Administrative Agent or the Required Lenders with respect to the Revolving Facility shall specify.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for any period, with respect to any Person, the aggregate of all expenditures (whether paid in cash or other consideration or accrued as a liability) by such Person and its subsidiaries for the acquisition or leasing (pursuant to a Finance Lease) of fixed or capital assets or additions to equipment (including replacements, capitalized repairs and improvements during such period) that in accordance with GAAP are or should be included in “property, plant and equipment” or in a similar fixed asset account on its balance sheet (including all capitalized lease obligations that are paid or due and payable during such period, and it being understood that “Capital Expenditures” shall not include any portion of the purchase price of a Permitted Acquisition that is required to be capitalized under GAAP)</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provided that for purposes of calculating the Consolidated Fixed Charge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Coverage Ratio, the expenditures related to the US Systems and Legal Entity Consolidation Project in an amount not to exceed around $2,300,000 shall not constitute “Capital Expenditures”.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deposit in a Controlled Account or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each of the Administrative Agent and the L/C Issuer shall agree in its sole discretion, other credit support, in each case pursuant to documentation in form and substance reasonably satisfactory to the Administrative Agent and the L/C Issuer. “</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Cash Collateralized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shall have a meaning analogous to the foregoing and shall include the proceeds of such cash collateral and other credit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each of the following to the extent, except with respect to items described in clause (f) below, denominated in Dollars:</w:t>
      </w:r>
    </w:p>
    <w:p>
      <w:pPr>
        <w:spacing w:after="0" w:line="225" w:lineRule="exact"/>
        <w:rPr>
          <w:sz w:val="20"/>
          <w:szCs w:val="20"/>
          <w:color w:val="auto"/>
        </w:rPr>
      </w:pPr>
    </w:p>
    <w:p>
      <w:pPr>
        <w:ind w:firstLine="1304"/>
        <w:spacing w:after="0" w:line="282" w:lineRule="auto"/>
        <w:tabs>
          <w:tab w:leader="none" w:pos="19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maturing within one year from the date of acquisition thereof to the extent the principal thereof and interest thereon is backed by the full faith and credit of the United States;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maturing within 270 days from the date of acquisition thereof and having, at such date of acquisition, the highest credit rating obtainable from S&amp;P or Moody’s;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banker’s acceptances and time deposits maturing within 270 days from the date of acquisition thereof issued or guaranteed by or placed with, and money market deposit accounts issued or offered by, any domestic office of any commercial bank organized under the laws of the United States or any state, commonwealth or other political subdivision thereof that has a combined capital and surplus and undivided profits of not less than $500,000,000 or, to the extent not otherwise included, any Lender, and which is rated at least A-2 by S&amp;P and P-2 by Moody’s in the note or commercial paper rating category;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with a term of not more than 30 days for securities described in clause (a) of this definition and entered into with a financial institution satisfying the criteria described in clause (c) of this definition;</w:t>
      </w:r>
    </w:p>
    <w:p>
      <w:pPr>
        <w:spacing w:after="0" w:line="16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mutual funds, substantially all of the investments of which are in cash or investments contemplated by clauses (a),</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of this definition; and</w:t>
      </w:r>
    </w:p>
    <w:p>
      <w:pPr>
        <w:spacing w:after="0" w:line="206"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0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Foreign Subsidiary, (i) obligations of the national government of the country in which such Foreign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and whose short term commercial paper rating from S&amp;P is at least “A-1” or the equivalent thereof or from Moody’s is at least “P-1”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in each case with maturities of not more than 270 days from the date of acquisition and (iii) the equivalent of demand deposit accounts which are maintained with an Approved Foreign Bank.</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xml:space="preserve">” means all obligations of the Loan Parties in respect of any Cash Management Services provided to any Loan Party or its Subsidiaries (whether absolute or contingent and howsoever and whenever created, arising, evidenced or acquired (including all renewals, extensions and modifications thereof and substitutions therefor)) that are (a) owed to the Administrative Agent or any of its Affiliates, (b) owed on the Closing Date to a Person that is a Lender or an Affiliate of a Lender as of the Closing Date or (c) owed to a Person that is a Lender or an Affiliate of a Lender at the time such obligations are incurred or becomes a Lender or an Affiliate of a Lender after it has incurred such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provider of Cash Management Services (other than the Administrative Agent or its Affiliates) executes and delivers a Secured Obligation Designation Notice to the Administrative Agent.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means, collectively, (a) commercial debit or credit cards, merchant card processing and other services, purchase or debit cards, including non-card e-payables services, (b) treasury management services (including cash pooling arrangements, controlled disbursement, netting, overdraft, lockbox and electronic or automatic clearing house fund transfer services, return items, sweep and interstate depository network services, foreign check clearing services), and (c) any other demand deposit or operating account relationships or other cash management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(a) gives rise to the receipt by any Loan Party or any of its Subsidiaries of any insurance proceeds or condemnation awards arising from any damage to, destruction of, or other casualty or loss involving, or any seizure, condemnation, confiscation or taking under power of eminent domain of, or requisition of title or use of or relating to or in respect of any equipment, fixed assets or Real Property (including any improvements thereon) of such Loan Party or any of its Subsidiaries, and (b) provides Net Cash Proceeds in the aggregate in excess of $5,000,000 received by the Loan Parties and their Subsidiaries on or after the Closing Date.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“CEA 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Agreement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or the compliance therewith by any Credit Party (or, for purposes of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by any Applicable Lending Office of such Credit Party or such Credit Party’s holding company,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(i) the Dodd-Frank Wall Street Reform and Consumer Protection Act and all requests, rules, guidelines and directives thereunder or issued in connection therewith and (ii) all requests, rules, guidelines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 (a) any Person or group (within the meaning of Rule 13d-5 of the Securities Exchange Act of 1934 as in effect on the Agreement Date) shall own directly or indirectly, beneficially or of record, shares representing more than 40% of the aggregate ordinary voting power or economic interests represented by the issued and outstanding Equity Interests of the Borrower on a fully diluted basis, (b) a majority of the seats (other than vacant seats) on the board of directors (or equivalent governing body) of the Borrower shall at any time be occupied by Persons who were neither (i) nominated, approved or appointed by the board of directors (or equivalent governing body) of the Borrower nor</w:t>
      </w:r>
    </w:p>
    <w:p>
      <w:pPr>
        <w:spacing w:after="0" w:line="3" w:lineRule="exact"/>
        <w:rPr>
          <w:sz w:val="20"/>
          <w:szCs w:val="20"/>
          <w:color w:val="auto"/>
        </w:rPr>
      </w:pPr>
    </w:p>
    <w:p>
      <w:pPr>
        <w:jc w:val="both"/>
        <w:ind w:firstLine="8"/>
        <w:spacing w:after="0" w:line="252" w:lineRule="auto"/>
        <w:tabs>
          <w:tab w:leader="none" w:pos="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nominated, approved or appointed by individuals so nominated, approved, or appointed, (c) the Borrower shall fail to own, directly or indirectly, free and clear of all Liens or other encumbrances (other than Liens created pursuant to any Loan Document or Liens otherwise permitted pursuant to any Loan Document), 100% of the aggregate ordinary voting power and economic interests represented by the issued and outstanding Equity Interests of each of its Subsidiaries (or such lesser percentage as may be owned, directly or indirectly, as of the Closing Date or the later acquisition thereof) except where such failure is as a result of a transaction permitted by the Loan Documents or (d) any change in control (or similar event, however denominated) with respect to any Loan Party or any of its Subsidiaries shall occur under and as defined in any indenture or agreement in respect of Indebtedness in an outstanding principal amount in excess of the Threshold Amount to which any Loan Party or any of its Subsidiaries is a party.</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“CHIPs Program</w:t>
      </w:r>
      <w:r>
        <w:rPr>
          <w:rFonts w:ascii="Times New Roman" w:cs="Times New Roman" w:eastAsia="Times New Roman" w:hAnsi="Times New Roman"/>
          <w:sz w:val="18"/>
          <w:szCs w:val="18"/>
          <w:color w:val="auto"/>
        </w:rPr>
        <w:t>” means a program to discontinue certain non-strategic products and services that were identified in connection with a review of the Borrower’s product portfolio commenced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u w:val="single" w:color="auto"/>
          <w:color w:val="auto"/>
        </w:rPr>
        <w:t>“Citizens Bank</w:t>
      </w:r>
      <w:r>
        <w:rPr>
          <w:rFonts w:ascii="Times New Roman" w:cs="Times New Roman" w:eastAsia="Times New Roman" w:hAnsi="Times New Roman"/>
          <w:sz w:val="18"/>
          <w:szCs w:val="18"/>
          <w:color w:val="auto"/>
        </w:rPr>
        <w:t>” means Citizens Bank, N.A., a national banking association.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Term Loans, or Swingline Loans or Incremental Term Loans, and, when used in reference to any Commitment, refers to whether such Commitment is a Revolving Commitment, Term Loan Commitment or Incremental Term Loan Commitment.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and the rules and regulations issued thereunder.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the “Collateral” as defined in the Collateral Documents and all other property of whatever kind and nature pledged or charged, or purported to be pledged or charged, as collateral under any Collateral Document. For the avoidance of doubt, the assets of Excluded Subsidiaries shall not constitute “Collateral”; provided that the term Collateral shall exclude any Voting Equity Interests in any Foreign Subsidiary, Controlled Foreign Corporation or Foreign Subsidiary Holdco, in each case in excess of 65% of the total combined voting power of such Foreign Subsidiary, such Controlled Foreign Corporation or such Foreign Subsidiary Holdco.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“Collateral Access Agreement</w:t>
      </w:r>
      <w:r>
        <w:rPr>
          <w:rFonts w:ascii="Times New Roman" w:cs="Times New Roman" w:eastAsia="Times New Roman" w:hAnsi="Times New Roman"/>
          <w:sz w:val="18"/>
          <w:szCs w:val="18"/>
          <w:color w:val="auto"/>
        </w:rPr>
        <w:t>” means each landlord waiver, bailee waiver or other agreement, in form and substance reasonably satisfactory to the Administrative Agent, between the Administrative Agent and any third party (including any bailee, assignee, consignee, customs broker, or other similar Person) in possession of any Collateral or any landlord of any Loan Party for any Real Property subject to a Mortgage or where any Collateral is located.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time, the requirement that:</w:t>
      </w:r>
    </w:p>
    <w:p>
      <w:pPr>
        <w:spacing w:after="0" w:line="225" w:lineRule="exact"/>
        <w:rPr>
          <w:sz w:val="20"/>
          <w:szCs w:val="20"/>
          <w:color w:val="auto"/>
        </w:rPr>
      </w:pPr>
    </w:p>
    <w:p>
      <w:pPr>
        <w:jc w:val="both"/>
        <w:ind w:firstLine="1304"/>
        <w:spacing w:after="0" w:line="266" w:lineRule="auto"/>
        <w:tabs>
          <w:tab w:leader="none" w:pos="18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each Collateral Document required to be delivered on the Closing Date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following the Closing Date, pursuant to pursuant to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(to the extent not delivered on the Closing Date) or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duly executed by each Loan Party that is a party thereto;</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Secured Obligations shall have been unconditionally guaranteed jointly and severally on a senior basis by the Guarantors;</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0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otherwise provided hereunder or under any Collateral Document, the Secured Obligations shall have been secured by a perfected first priority (subject to Liens expressly permitted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security interest in substantially all tangible and intangible assets of each Loan Party (including (i) accounts receivable, (ii) deposit accounts, commodity accounts and security accounts which shall be Controlled Accounts except that no Excluded Account (as such term is defined in the Security Agreement) shall be required to be a Controlled Account,</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(iv) machinery and equipment, (v) investment property, (vi) cash, (vii) Intellectual Property, (viii) other general intangibles, (ix) Owned Real Property, (x) Pledged Debt, Pledged Debt Securities and Pledged Equity Interests (as such terms are defined in the Security Agreement), (xi) motor vehicles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action shall be required to be taken to perfect the security interest therein other than the filing of a UCC financing statement)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6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the foregoing), it being understood that in the case of the pledge of Equity Interests, the Administrative Agent shall have received all stock certificates or other instruments (if any) representing such Equity Interests, together with stock powers or other instruments of transfer with respect thereto endorsed in blank;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pledge of any shares in respect of any Subsidiaries that are not Wholly-Owned Subsidiaries shall be limited to the shares actually owned by the applicable pledgor;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both"/>
        <w:ind w:firstLine="1304"/>
        <w:spacing w:after="0" w:line="258" w:lineRule="auto"/>
        <w:tabs>
          <w:tab w:leader="none" w:pos="19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Obligations shall have been secured by a first priority security interest in (i) all Indebtedness of the Borrower and each of its Subsidiaries that is owing to any Loan Party which shall be evidenced by the Master Intercompany Note and (ii) all other Indebtedness owed to a Loan Party, which if evidenced by a promissory note or other instrument, shall have been pledged to the Administrative Agent, and in each case under clauses (i) and (ii), the Administrative Agent shall have received the Master Intercompany Note and such other promissory notes and other instruments together with note powers or other instruments of transfer with respect thereto endorsed in blank;</w:t>
      </w:r>
    </w:p>
    <w:p>
      <w:pPr>
        <w:spacing w:after="0" w:line="183"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Collateral shall be subject to any Lien other than Liens expressly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Perfection Certificate from the Borrower with respect to each Loan Party.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definition shall not require the creation or perfection of pledges of or security interests in particular assets if and for so long as the Administrative Agent agrees in writing that the cost of creating or perfecting such pledges or security interests in such assets shall be excessive in view of the benefits to be obtained by the Lenders therefrom.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Administrative Agent may grant extensions of time for the perfection of security interests in and the other requirements pursuant to this definition with respect to particular assets (including extensions beyond the Closing Date for the perfection of security interests in the assets of the Loan Parties on such date) where it reasonably determines (and without the consent of any other Secured Party), that, except as may be required by law, perfection or other requirements cannot be accomplished without undue effort or expense by the time or times at which it would otherwise be required by this Credit Agreement or the Collateral Documents.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Notwithstanding the foregoing provisions of this definition or anything in this Credit Agreement or any other Loan Document to the contrary, (a) Liens required to be granted from time to time pursuant to the Collateral and Guarantee Requirement shall be subject to exceptions and limitations set forth herein and in the Collateral Documents and, to the extent appropriate in the applicable jurisdiction, as agreed between the Administrative Agent and the Borrower,</w:t>
      </w:r>
    </w:p>
    <w:p>
      <w:pPr>
        <w:spacing w:after="0" w:line="1" w:lineRule="exact"/>
        <w:rPr>
          <w:sz w:val="20"/>
          <w:szCs w:val="20"/>
          <w:color w:val="auto"/>
        </w:rPr>
      </w:pPr>
    </w:p>
    <w:p>
      <w:pPr>
        <w:jc w:val="both"/>
        <w:ind w:firstLine="8"/>
        <w:spacing w:after="0" w:line="255" w:lineRule="auto"/>
        <w:tabs>
          <w:tab w:leader="none" w:pos="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the Collateral include any Excluded Assets (as such term is defined in the Security Agreement), and (c) notwithstanding anything to the contrary included in this definition, delivery of only the Collateral Documents required to be delivered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a condition precedent to the Credit Extensions on the Closing Date.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collectively, the Security Agreement, each account control agreement, each Foreign Pledge Agreement, each Mortgage, each Collateral Access Agreement, each Copyright Security Agreement, each Patent Security Agreement, each Trademark Security Agreement, each Perfection Certificate, each agreement creating or perfecting rights in Cash Collateral and each other security agreement, instrument or other document executed or delivered pursuant to the Collateral and Guarantee Requirement,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or the Security Agreement to secure any of the Secured Obligations.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with respect to any Lender, such Lender’s Revolving Commitment, Term Loan Commitment and Incremental Term Loan Commitment (if 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xml:space="preserve">” means a notice of a Borrowing (other than a Swingline Borrowing), a conversion of Loans from one Type to the other, or a continuation of SOFR Loans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and any successor statute.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means, collectively, any notice, demand, communication, information, document or other material provided by or on behalf of any Loan Party pursuant to any Loan Document or the transactions contemplated therein which is distributed to the Administrative Agent, any Lender or any L/C Issuer by means of electronic communications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including through the Platform.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either the use or administration of the Benchmark, or the use, administration, adoption or implementation of any Benchmark Replacement, any technical, administrative or operational changes (including, for example and not by way of limitation or prescription, changes to the definition of “Alternate Base Rate,” the definition of “Business Day,” the definition of “Interest Period” or any similar or analogous definition, the definition of “Government Securities Business Day,”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and other technical, administrative or operational matters) that the Administrative Agent decides may be appropriate in connection with the use or administration of the Benchmark or to reflect the adoption and implementation of any Benchmark Replacement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Credit Agreement and the other Loan Documents).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“Consolidated Current Assets</w:t>
      </w:r>
      <w:r>
        <w:rPr>
          <w:rFonts w:ascii="Times New Roman" w:cs="Times New Roman" w:eastAsia="Times New Roman" w:hAnsi="Times New Roman"/>
          <w:sz w:val="18"/>
          <w:szCs w:val="18"/>
          <w:color w:val="auto"/>
        </w:rPr>
        <w:t>” means, with respect to the Borrower and its Subsidiaries on a consolidated basis at any date of determination, all assets (other than cash and Cash Equivalents) that would, in accordance with GAAP, be classified on a consolidated balance sheet of the Borrower and its Subsidiaries as current assets (or any like caption) at such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“Consolidated Current Liabilities</w:t>
      </w:r>
      <w:r>
        <w:rPr>
          <w:rFonts w:ascii="Times New Roman" w:cs="Times New Roman" w:eastAsia="Times New Roman" w:hAnsi="Times New Roman"/>
          <w:sz w:val="18"/>
          <w:szCs w:val="18"/>
          <w:color w:val="auto"/>
        </w:rPr>
        <w:t>” means, with respect to the Borrower and its Subsidiaries on a consolidated basis at any date of determination, all liabilities that would, in accordance with GAAP, be classified on a consolidated balance sheet of the Borrower and its Subsidiaries as current liabilities (or any like caption) at such date, other than current liabilities in respect of any Indebtedness (excluding liabilities associated with customer prepayments and deposits).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“Consolidated Depreciation and Amortization Expense</w:t>
      </w:r>
      <w:r>
        <w:rPr>
          <w:rFonts w:ascii="Times New Roman" w:cs="Times New Roman" w:eastAsia="Times New Roman" w:hAnsi="Times New Roman"/>
          <w:sz w:val="18"/>
          <w:szCs w:val="18"/>
          <w:color w:val="auto"/>
        </w:rPr>
        <w:t>” 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the amortization of original issue discount and amortization of favorable or unfavorable lease assets or liabilities, of such Person and its Subsidiaries for such period on a consolidated basis and otherwise determined in accordance with GAAP.</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with respect to any Person for any period, the Consolidated Net Income of such Person and its Subsidiaries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ind w:left="-656" w:firstLine="1304"/>
        <w:spacing w:after="0" w:line="282" w:lineRule="auto"/>
        <w:tabs>
          <w:tab w:leader="none" w:pos="136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(without duplication) by the following, in each case, to the extent deducted (and not added back) in computing Consolidated Net Income for such Person for such period:</w:t>
      </w:r>
    </w:p>
    <w:p>
      <w:pPr>
        <w:spacing w:after="0" w:line="161" w:lineRule="exact"/>
        <w:rPr>
          <w:rFonts w:ascii="Times New Roman" w:cs="Times New Roman" w:eastAsia="Times New Roman" w:hAnsi="Times New Roman"/>
          <w:sz w:val="18"/>
          <w:szCs w:val="18"/>
          <w:color w:val="auto"/>
        </w:rPr>
      </w:pPr>
    </w:p>
    <w:p>
      <w:pPr>
        <w:ind w:left="1904" w:hanging="608"/>
        <w:spacing w:after="0"/>
        <w:tabs>
          <w:tab w:leader="none" w:pos="190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and foreign income or franchise taxes of such Person and its Subsidiaries paid or payable in cash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such period; </w:t>
      </w:r>
      <w:r>
        <w:rPr>
          <w:rFonts w:ascii="Times New Roman" w:cs="Times New Roman" w:eastAsia="Times New Roman" w:hAnsi="Times New Roman"/>
          <w:sz w:val="18"/>
          <w:szCs w:val="18"/>
          <w:u w:val="single" w:color="auto"/>
          <w:color w:val="auto"/>
        </w:rPr>
        <w:t>plus</w:t>
      </w:r>
    </w:p>
    <w:p>
      <w:pPr>
        <w:spacing w:after="0" w:line="206" w:lineRule="exact"/>
        <w:rPr>
          <w:rFonts w:ascii="Times New Roman" w:cs="Times New Roman" w:eastAsia="Times New Roman" w:hAnsi="Times New Roman"/>
          <w:sz w:val="18"/>
          <w:szCs w:val="18"/>
          <w:color w:val="auto"/>
        </w:rPr>
      </w:pPr>
    </w:p>
    <w:p>
      <w:pPr>
        <w:ind w:left="1824" w:hanging="528"/>
        <w:spacing w:after="0"/>
        <w:tabs>
          <w:tab w:leader="none" w:pos="182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Expense of such Person and its Subsidiaries to the extent paid or payable in cash or otherwise;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1884" w:hanging="588"/>
        <w:spacing w:after="0"/>
        <w:tabs>
          <w:tab w:leader="none" w:pos="188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Depreciation and Amortization Expense of such Person and its Subsidiaries;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4" w:firstLine="1292"/>
        <w:spacing w:after="0" w:line="282" w:lineRule="auto"/>
        <w:tabs>
          <w:tab w:leader="none" w:pos="1997"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losses and non-cash charges (excluding any non-cash charges that constitute an accrual of or a reserve for future cash charges or are reasonably likely to result in a cash outlay in a future period);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899"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Borrower, reasonable and customary one-time, non-recurring fees, expenses and costs relating to the Transactions incurred within six months of the Closing Date;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jc w:val="both"/>
        <w:ind w:left="4" w:firstLine="1292"/>
        <w:spacing w:after="0" w:line="252" w:lineRule="auto"/>
        <w:tabs>
          <w:tab w:leader="none" w:pos="195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any addbacks provided in the definition of Pro Forma Basis, to the extent not already reflected pursuant to another provision of this subsection (a), non-recurring losses, non-recurring charges or non-recurring expenses, including integration costs incurred in connection with Permitted Acquisitions and the Transactions after the Closing Date, restructuring charges, retention charges, recruiting, relocation, severance and signing bonuses and expenses, systems establishment costs, conversion costs, consulting fees and any one time expense relating to enhanced accounting function, or any other costs incurred in connection with any of the foregoing, in each case, reasonably acceptable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this clause (vi) shall not exceed in any period 10% of Consolidated EBITDA determined before giving effect to this clause (vi);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the amount of this clause (vi) may exceed the 10% threshold for the twelve-month period ending (A) September 30, 2022 so long as such amount does not exceed $4,600,000, (B) December 31, 2022 so long as such amount does not exceed $4,750,000, (C) March 31, 2023 so long as such amount does not exceed $3,500,000, (D) June 30, 2023 so long as such amount does not exceed $2,750,000, (E) September 30, 2023 so long as such amount does not exceed $2,500,000, and</w:t>
      </w:r>
    </w:p>
    <w:p>
      <w:pPr>
        <w:spacing w:after="0" w:line="5"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December 31, 2023 so long as such amount does not exceed $2,250,000;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amount of this clause (vi) may exceed the 10% threshold for (I) the commission fee relating to the Employee Retention Credit in an amount equal to or around $1,000,000 expected to be paid on or before December 31, 2024 and (II) reserves and expenses related to finalizing an escheatment audit with the State of Delaware in a total amount equal to or around $600,000 expected to be paid during the second quarter of 2024; </w:t>
      </w:r>
      <w:r>
        <w:rPr>
          <w:rFonts w:ascii="Times New Roman" w:cs="Times New Roman" w:eastAsia="Times New Roman" w:hAnsi="Times New Roman"/>
          <w:sz w:val="18"/>
          <w:szCs w:val="18"/>
          <w:u w:val="single" w:color="auto"/>
          <w:color w:val="auto"/>
        </w:rPr>
        <w:t>plus</w:t>
      </w:r>
    </w:p>
    <w:p>
      <w:pPr>
        <w:spacing w:after="0" w:line="188"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2097"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any addbacks provided in the definition of Pro Forma Basis, losses, charges and expenses attributed to asset Dispositions (including Dispositions pursuant to Sale and Leaseback transactions) or the sale or other Disposition of any Equity Interests of any Person other than in the ordinary course of business or the Disposition of any securities or the extinguishment of any Indebtedness; </w:t>
      </w:r>
      <w:r>
        <w:rPr>
          <w:rFonts w:ascii="Times New Roman" w:cs="Times New Roman" w:eastAsia="Times New Roman" w:hAnsi="Times New Roman"/>
          <w:sz w:val="18"/>
          <w:szCs w:val="18"/>
          <w:u w:val="single" w:color="auto"/>
          <w:color w:val="auto"/>
        </w:rPr>
        <w:t>plus</w:t>
      </w:r>
    </w:p>
    <w:p>
      <w:pPr>
        <w:spacing w:after="0" w:line="179" w:lineRule="exact"/>
        <w:rPr>
          <w:rFonts w:ascii="Times New Roman" w:cs="Times New Roman" w:eastAsia="Times New Roman" w:hAnsi="Times New Roman"/>
          <w:sz w:val="18"/>
          <w:szCs w:val="18"/>
          <w:color w:val="auto"/>
        </w:rPr>
      </w:pPr>
    </w:p>
    <w:p>
      <w:pPr>
        <w:jc w:val="both"/>
        <w:ind w:left="4" w:firstLine="1292"/>
        <w:spacing w:after="0" w:line="266" w:lineRule="auto"/>
        <w:tabs>
          <w:tab w:leader="none" w:pos="2185"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realized or unrealized loss during such period resulting from currency transaction or translation losses, including those related to currency remeasurements of indebtedness (including any losses resulting from swaps and intercompany indebtedness);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346075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53" w:name="page54"/>
    <w:bookmarkEnd w:id="53"/>
    <w:p>
      <w:pPr>
        <w:ind w:left="2520" w:hanging="568"/>
        <w:spacing w:after="0"/>
        <w:tabs>
          <w:tab w:leader="none" w:pos="25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non-cash impairment losses resulting from any reappraisal, revaluation or write-up or write-down of assets;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hedging losses pursuant to hedging agreements; plus</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55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non-cash expenditure, charge or loss for such period (other than any non-cash expenditure, charge or loss relating to write-offs, write-downs or reserves with respect to accounts receivable and inventory);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one-time non-recurring costs associated with the settlement of the Biostage Litigation;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58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inventory write-downs with respect to the CHIPs Program in an amount not to exceed (a) $1,300,000 for the fiscal quarter ending September 30, 2022 and (b) $400,000 for the fiscal quarter ending December 31, 2022;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(without duplication) by the following, in each case, to the extent taken into account (or added back) in computing Consolidated Net Income for such Person for such period:</w:t>
      </w:r>
    </w:p>
    <w:p>
      <w:pPr>
        <w:spacing w:after="0" w:line="161"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income to the extent received in cash or otherwise during such period;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gain realized in connection with the sale or Disposition of assets (including Dispositions pursuant to Sale and Leaseback transactions) other than in the ordinary course of business or the Disposition of any securities or the extinguishment of any Indebtedness; </w:t>
      </w:r>
      <w:r>
        <w:rPr>
          <w:rFonts w:ascii="Times New Roman" w:cs="Times New Roman" w:eastAsia="Times New Roman" w:hAnsi="Times New Roman"/>
          <w:sz w:val="18"/>
          <w:szCs w:val="18"/>
          <w:u w:val="single" w:color="auto"/>
          <w:color w:val="auto"/>
        </w:rPr>
        <w:t>plus</w:t>
      </w:r>
    </w:p>
    <w:p>
      <w:pPr>
        <w:spacing w:after="0" w:line="17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realized in connection with the Employee Retention Credit received in the Fiscal Year ending on or before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2024.</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determining the Consolidated Net Leverage Ratio, (a) there shall be included in determining Consolidated EBITDA of the Borrower and its Subsidiaries for any period, without duplication, (i) the Acquired EBITDA of any Acquired Entity or Business on a Pro Forma Basis and (b) there shall be excluded in determining Consolidated EBITDA of the Borrower and its Subsidiaries for any period, the Disposed EBITDA of any Sold Entity or Business on a Pro Forma Basis. Notwithstanding the foregoing, but subject to any adjustment set forth above with respect to any transactions occurring after the Closing Date, Consolidated EBITDA shall be $5,865,812, $903,374, $4,562,934 and $3,984,713 for the fiscal quarters ended December 31, 2019, March 31, 2020, June 30, 2020 and September 30, 2020,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means, with respect to any Measurement Period, for the Borrower and its Subsidiaries, the ratio of</w:t>
      </w:r>
    </w:p>
    <w:p>
      <w:pPr>
        <w:spacing w:after="0" w:line="27" w:lineRule="exact"/>
        <w:rPr>
          <w:sz w:val="20"/>
          <w:szCs w:val="20"/>
          <w:color w:val="auto"/>
        </w:rPr>
      </w:pPr>
    </w:p>
    <w:p>
      <w:pPr>
        <w:jc w:val="both"/>
        <w:ind w:firstLine="8"/>
        <w:spacing w:after="0" w:line="255"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Consolidated EBITDA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unfunded Capital Expenditures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cash taxes paid or payable during the applicable Measurement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(iv) the aggregate amount of all Restricted Payments paid in cash for such Measurement Period to (b) Consolidated Fixed Charges of the Borrower and its Subsidiaries.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“Consolidated Fixed Charges</w:t>
      </w:r>
      <w:r>
        <w:rPr>
          <w:rFonts w:ascii="Times New Roman" w:cs="Times New Roman" w:eastAsia="Times New Roman" w:hAnsi="Times New Roman"/>
          <w:sz w:val="18"/>
          <w:szCs w:val="18"/>
          <w:color w:val="auto"/>
        </w:rPr>
        <w:t>” means, for any Person for any period, the sum, without duplication, of each of the following with respect to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determined on a consolidated basis in accordance with GAAP:</w:t>
      </w:r>
    </w:p>
    <w:p>
      <w:pPr>
        <w:spacing w:after="0" w:line="207" w:lineRule="exact"/>
        <w:rPr>
          <w:sz w:val="20"/>
          <w:szCs w:val="20"/>
          <w:color w:val="auto"/>
        </w:rPr>
      </w:pPr>
    </w:p>
    <w:p>
      <w:pPr>
        <w:ind w:left="1820" w:hanging="516"/>
        <w:spacing w:after="0"/>
        <w:tabs>
          <w:tab w:leader="none" w:pos="1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Expense of such Person for such period,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Borrower, the aggregate of all scheduled principal amounts that become payable during such period in respect of Indebtedness (excluding (i) any prepayment under </w:t>
      </w:r>
      <w:r>
        <w:rPr>
          <w:rFonts w:ascii="Times New Roman" w:cs="Times New Roman" w:eastAsia="Times New Roman" w:hAnsi="Times New Roman"/>
          <w:sz w:val="18"/>
          <w:szCs w:val="18"/>
          <w:u w:val="single" w:color="auto"/>
          <w:color w:val="auto"/>
        </w:rPr>
        <w:t>Section 2.7(b)(ii)</w:t>
      </w:r>
      <w:r>
        <w:rPr>
          <w:rFonts w:ascii="Times New Roman" w:cs="Times New Roman" w:eastAsia="Times New Roman" w:hAnsi="Times New Roman"/>
          <w:sz w:val="18"/>
          <w:szCs w:val="18"/>
          <w:color w:val="auto"/>
        </w:rPr>
        <w:t xml:space="preserve"> and (ii) the repayment of loans in connection with the Existing Credit Agreement Refinancing made on the Closing Date, but including the principal portion of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xml:space="preserve">” means, with respect to any Person and its Subsidiaries for any period, the sum of (a) consolidated total interest expense of such Person and its Subsidiaries for such period, whether paid or accrued and whether or not capitalized (including (without duplication), amortization of debt issuance costs and original issue discount, premiums paid to obtain payment, financial assurance or similar bonds, interest capitalized during construction, non-cash interest payments, the interest component of any deferred payment obligations, the interest component of all payments under Finance Leases and the implied interest component of Synthetic Lease Obligations (regardless of whether accounted for as interest expense under GAAP), all commissions, discounts and other fees and charges owed with respect to letters of credit and bankers’ acceptances and net costs in respect of any obligations under any Swap Agreements constituting interest rate swaps, collars, caps or other arrangements requiring payments contingent upon interest rates of such Person and its Subsidiaries),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all mandatory cash dividends paid or payable on preferred stock during such period other than to such Person or a Loan Party, plus or minus, as applicable, to the extent they would otherwise be included in interest expense under GAAP, unrealized gains and losses arising from derivative financial instruments issued by such Person for the benefit of such Person or its Subsidiaries, in each case determined on a consolidated basis for such period.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Person (the “first Person”) for any period, the sum of net income (or loss) for such period of such first Person and its subsidiaries determined on a consolidated basis in accordance with GAAP, excluding, without duplication, to the extent included in determining such net income (or loss) for such period: (a) any income (or loss) of any other Person (the “second Person”) if such second Person is not a subsidiary of such first Person, except that such first Person’s equity in the net income of any second Person for such period shall be included in the determination of Consolidated Net Income up to the aggregate amount of cash actually distributed by such second Person during such period to such first Person or any of its subsidiaries as a dividend or other distribution, (b) the income (or loss) of any second Person accrued prior to the date it became a subsidiary of such first Person or is merged into or consolidated with such first person or any of its subsidiaries or such second Person’s assets are acquired by such first person or any of its subsidiaries, (c) non-recurring gains (or losses), (d) the income of any subsidiary of such first Person to the extent that the declaration or payment of dividends or similar distributions by such subsidiary of that income is prohibited by operation of the terms of its charter or any agreement, instrument, judgment, decree, statute, rule or governmental regulation applicable to such subsidiary, and (e) all non-cash adjustments made to translate foreign assets and liabilities for changes in foreign exchange rates made in accordance with ASC 830.</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xml:space="preserve">” means, with respect to any Measurement Period, the ratio of (a) (i) Consolidated Total Debt of the Borrower and its Subsidiaries as of the last day of such Measurement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up to $5,000,000 of unencumbered and unrestricted cash of the Borrower and its Subsidiaries to (b) Consolidated EBITDA of the Borrower and its Subsidiaries for such Measurement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“Consolidated Total Debt</w:t>
      </w:r>
      <w:r>
        <w:rPr>
          <w:rFonts w:ascii="Times New Roman" w:cs="Times New Roman" w:eastAsia="Times New Roman" w:hAnsi="Times New Roman"/>
          <w:sz w:val="18"/>
          <w:szCs w:val="18"/>
          <w:color w:val="auto"/>
        </w:rPr>
        <w:t>” means, with respect to any Person and its Subsidiaries at any time and as determined on a consolidated basis and without duplication, an amount equal to the sum of Indebtedness of the type set forth in clauses (a), (b), (c), (e), (g), (h) and (k) of the definition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“Consolidated Working Capital</w:t>
      </w:r>
      <w:r>
        <w:rPr>
          <w:rFonts w:ascii="Times New Roman" w:cs="Times New Roman" w:eastAsia="Times New Roman" w:hAnsi="Times New Roman"/>
          <w:sz w:val="18"/>
          <w:szCs w:val="18"/>
          <w:color w:val="auto"/>
        </w:rPr>
        <w:t xml:space="preserve">” means, with respect to the Borrower and its Subsidiaries on a consolidated basis at any date of determination, Consolidated Current Assets at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Consolidated Current Liabilities at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“Contested in Good Faith</w:t>
      </w:r>
      <w:r>
        <w:rPr>
          <w:rFonts w:ascii="Times New Roman" w:cs="Times New Roman" w:eastAsia="Times New Roman" w:hAnsi="Times New Roman"/>
          <w:sz w:val="18"/>
          <w:szCs w:val="18"/>
          <w:color w:val="auto"/>
        </w:rPr>
        <w:t>” means, with respect to any matter, that such matter is being contested in good faith by appropriate proceedings diligently conducted and for which adequate reserves have been provided in accordance with GAAP.</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analogous thereto. Without limiting the generality of the foregoing, a Person shall be deemed to be Controlled by another Person if such other Person possesses, directly or indirectly, power to vote ten percent (10%) or more of the securities having ordinary voting power for the election of directors, managing general partners or any equivalent thereof.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“Controlled Account</w:t>
      </w:r>
      <w:r>
        <w:rPr>
          <w:rFonts w:ascii="Times New Roman" w:cs="Times New Roman" w:eastAsia="Times New Roman" w:hAnsi="Times New Roman"/>
          <w:sz w:val="18"/>
          <w:szCs w:val="18"/>
          <w:color w:val="auto"/>
        </w:rPr>
        <w:t>” means, as the context may require, a commodities account, deposit account and/or securities account that is subject to a Control Agreement (as defined in the Security Agreement) in form and substance satisfactory to the Administrative Agent and, with respect to Cash Collateral, the L/C Issuer.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“Controlled Foreign Corporation</w:t>
      </w:r>
      <w:r>
        <w:rPr>
          <w:rFonts w:ascii="Times New Roman" w:cs="Times New Roman" w:eastAsia="Times New Roman" w:hAnsi="Times New Roman"/>
          <w:sz w:val="18"/>
          <w:szCs w:val="18"/>
          <w:color w:val="auto"/>
        </w:rPr>
        <w:t>” means a controlled foreign corporation within the meaning of Section 957(a)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“Copyright Security Agreement</w:t>
      </w:r>
      <w:r>
        <w:rPr>
          <w:rFonts w:ascii="Times New Roman" w:cs="Times New Roman" w:eastAsia="Times New Roman" w:hAnsi="Times New Roman"/>
          <w:sz w:val="18"/>
          <w:szCs w:val="18"/>
          <w:color w:val="auto"/>
        </w:rPr>
        <w: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this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the making of a Loan or a L/C Credit Extension.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means the Revolving Facility, the Term Facility and any Incremental Term Facility; each, a “</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“Credit Parties</w:t>
      </w:r>
      <w:r>
        <w:rPr>
          <w:rFonts w:ascii="Times New Roman" w:cs="Times New Roman" w:eastAsia="Times New Roman" w:hAnsi="Times New Roman"/>
          <w:sz w:val="18"/>
          <w:szCs w:val="18"/>
          <w:color w:val="auto"/>
        </w:rPr>
        <w:t>” means the Administrative Agent, the Swingline Lender, the L/C Issuer and the Lenders.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xml:space="preserve">” means, for any day, a rate per annum equal to the greater of (a) the sum of (i)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decides that any such convention is not administratively feasible for the Administrative Agent, then the Administrative Agent may establish another convention in its reasonable discretion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Daily Simple SOFR Adjustment, and (b) the Floor.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“Daily Simple SOFR Adjustment</w:t>
      </w:r>
      <w:r>
        <w:rPr>
          <w:rFonts w:ascii="Times New Roman" w:cs="Times New Roman" w:eastAsia="Times New Roman" w:hAnsi="Times New Roman"/>
          <w:sz w:val="18"/>
          <w:szCs w:val="18"/>
          <w:color w:val="auto"/>
        </w:rPr>
        <w:t>” means 0.10%.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“Daily SOFR Rate</w:t>
      </w:r>
      <w:r>
        <w:rPr>
          <w:rFonts w:ascii="Times New Roman" w:cs="Times New Roman" w:eastAsia="Times New Roman" w:hAnsi="Times New Roman"/>
          <w:sz w:val="18"/>
          <w:szCs w:val="18"/>
          <w:color w:val="auto"/>
        </w:rPr>
        <w:t>” means, for any day, a rate per annum equal to Term SOFR in effect on such day for a one-month Interest Period (subject to the Floor referred to in the definition of “Term SOFR”).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“Debt Incurrence</w:t>
      </w:r>
      <w:r>
        <w:rPr>
          <w:rFonts w:ascii="Times New Roman" w:cs="Times New Roman" w:eastAsia="Times New Roman" w:hAnsi="Times New Roman"/>
          <w:sz w:val="18"/>
          <w:szCs w:val="18"/>
          <w:color w:val="auto"/>
        </w:rPr>
        <w:t xml:space="preserve">” means the incurrence of any Indebtedness by any Loan Party or any of its Subsidiaries (other than Indebtedness permitted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that upon notice, lapse of time or both would, unless cured or waived, become an Event of Default.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when used with respect to the outstanding principal balance of any Loan, the sum of (i) the rate of interest otherwise applicable thereto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2.00% per annum, and (b) when used with respect to any L/C Borrowing or any interest, fee or other amount payable under the Loan Documents which shall not have been paid when due, the sum of (i)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Margin applicable to ABR Revolving Borrowings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2.00% per annum.</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 xml:space="preserve">,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Business Days of the date when due, (b) has notified the Borrower, the Administrative Agent or the L/C Issuer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 (d) has, or has a direct or indirect holding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holding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 upon delivery of written notice of such determination to the Borrower, the L/C Issuer, the Swingline Lender and each Lender.</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“Disclosed Matters</w:t>
      </w:r>
      <w:r>
        <w:rPr>
          <w:rFonts w:ascii="Times New Roman" w:cs="Times New Roman" w:eastAsia="Times New Roman" w:hAnsi="Times New Roman"/>
          <w:sz w:val="18"/>
          <w:szCs w:val="18"/>
          <w:color w:val="auto"/>
        </w:rPr>
        <w:t xml:space="preserve">” means the actions, suits, proceedings and environmental matters disclosed in </w:t>
      </w:r>
      <w:r>
        <w:rPr>
          <w:rFonts w:ascii="Times New Roman" w:cs="Times New Roman" w:eastAsia="Times New Roman" w:hAnsi="Times New Roman"/>
          <w:sz w:val="18"/>
          <w:szCs w:val="18"/>
          <w:u w:val="single" w:color="auto"/>
          <w:color w:val="auto"/>
        </w:rPr>
        <w:t>Schedule 5.6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“Disposed EBITDA</w:t>
      </w:r>
      <w:r>
        <w:rPr>
          <w:rFonts w:ascii="Times New Roman" w:cs="Times New Roman" w:eastAsia="Times New Roman" w:hAnsi="Times New Roman"/>
          <w:sz w:val="18"/>
          <w:szCs w:val="18"/>
          <w:color w:val="auto"/>
        </w:rPr>
        <w:t xml:space="preserve">” means, with respect to any Sold Entity or Business for any period, the historical Consolidated EBITDA of such Sold Entity or Business for such period as certified by a Financial Officer of the Borrower, which historical Consolidated EBITDA shall be calculated in a manner consistent with the definition of Consolidated EBITDA herein and to be based on financial statements for such Sold Entity or Business prepared in accordance with GAAP (subject to the absence of footnote disclosures and year-end audit adjustments with respect to financial statements that are not annual audited financial statements),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such Disposed EBITDA is excluded from Consolidated EBITDA it shall be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means, with respect to any Person, the sale, transfer, license, lease or other disposition (including by way of Division, Sale Leaseback or any sale or issuance of Equity Interests by way of a merger or otherwise) by such Person to any other Person, with or without recourse, of (a) any notes or accounts receivable or any rights and claims associated therewith, (b) any Equity Interests of any Subsidiary (other than directors’ qualifying shares), or (c) any other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shall constitute a Disposition: (i) any sale, transfer, license, lease or other disposition by (A) a Loan Party to another Loan Party or (B) a Non-Loan Party Subsidiary to another Non-Loan Party Subsidiary, in each case, on terms which are no less favorable than are obtainable from any Person which is not one of its Affiliates, (ii) the collection of accounts receivable and other obligations in the ordinary course of business, (iii) sales of inventory in the ordinary course of business, (iv) dispositions of substantially worn out, damaged, uneconomical, surplus or obsolete equipment, equipment that is no longer useful in the business of the Borrower or its Subsidiaries, and (v) sales, transfers, licenses, leases or other Dispositions resulting in aggregate Net Cash Proceeds not exceeding $5,000,000 during any Fiscal Year. Each of the terms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Disposed</w:t>
      </w:r>
      <w:r>
        <w:rPr>
          <w:rFonts w:ascii="Times New Roman" w:cs="Times New Roman" w:eastAsia="Times New Roman" w:hAnsi="Times New Roman"/>
          <w:sz w:val="18"/>
          <w:szCs w:val="18"/>
          <w:color w:val="auto"/>
        </w:rPr>
        <w:t>” when used as a verb shall have an analogous meaning.</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means, with respect to any Person, any Equity Interest of such Person which, by its terms, or by the terms of any security or other Equity Interests into which it is convertible or for which it is exchangeable, or upon the happening of any event or condition, (a) matures or is mandatorily redeemable (other than solely for Qualified Equity Interests and cash in lieu of fractional shares of such Equity Interests) pursuant to a sinking fund obligation or otherwise (except as a result of a change in control or asset sale so long as any rights of the holders thereof upon the occurrence of a change in control or asset sale event shall be subject to the prior occurrence of the Termination Date), (b) 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91 days after the Latest Maturity Date at the time such Equity Interests are issued.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“Dividing Person”)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incorporated or organized under the laws of the United States, or any state, commonwealth or other political subdivision thereof (including, for the avoidance of doubt, the District of Columbia).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“Earn-Out Obligations</w:t>
      </w:r>
      <w:r>
        <w:rPr>
          <w:rFonts w:ascii="Times New Roman" w:cs="Times New Roman" w:eastAsia="Times New Roman" w:hAnsi="Times New Roman"/>
          <w:sz w:val="18"/>
          <w:szCs w:val="18"/>
          <w:color w:val="auto"/>
        </w:rPr>
        <w:t>” means, with respect to any Person, obligations of such Person that are recognized under GAAP as a liability of such Person, payable in cash or which may be payable in cash at the seller’s or obligee’s option arising from the acquisition of a business or a line of business (whether pursuant to an acquisition of Equity Interests or assets, the consummation of a merger or consolidation or otherwise) and payable to the seller or sellers thereof.</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“Effective Yield</w:t>
      </w:r>
      <w:r>
        <w:rPr>
          <w:rFonts w:ascii="Times New Roman" w:cs="Times New Roman" w:eastAsia="Times New Roman" w:hAnsi="Times New Roman"/>
          <w:sz w:val="18"/>
          <w:szCs w:val="18"/>
          <w:color w:val="auto"/>
        </w:rPr>
        <w:t>” means, with respect to any Term Facility existing as of any date of determination, the sum of (a) the higher of (i) Term SOFR for an Interest Period closest to one month and (ii) the applicable Floor with respect thereto as of such date, (b) the Applicable Margin (or other applicable margin) as of such date for SOFR Loans (or other loans that accrue interest by reference to a similar reference rate) and (c) the amount of original issue discount and upfront fees thereon (converted to yield assuming the lesser of (x) a four year average life and (y) the remaining life to maturity, and without any present value discount), but excluding the effect of any arrangement, structuring, underwriting and syndication fees and other fees payable in connection therewith that are neither shared with nor generally paid to all Lenders.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10.4(b)(iii),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10.4(b)(iii)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means any and all administrative, regulatory or judicial actions, suits, demands, demand letters, claims, liens, notices of liability, non-compliance or violation, investigations, proceedings, settlements, consent decrees, consent orders, consent agreements and all costs and liabilities relating to or arising from or under any Environmental Law, including (a) any and all claims by Governmental Authorities for enforcement, investigation, corrective action, cleanup, removal, response, remedial or other actions, cost recovery, damages, natural resource damages or penalties pursuant to or arising under any Environmental Law, (b) any and all claims by any one or more Persons seeking damages, contribution, restitution, indemnification, cost recovery, compensation or injunctive relief directly or indirectly resulting from, based upon or arising under Environmental Law, pertaining to Hazardous Materials or an alleged injury or threat of injury to human health, safety, natural resources, or the indoor or outdoor environment, and (c) all liabilities contingent or otherwise, expenses, obligations, losses, damages, fines and penalties arising under any Environmental Law.</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collectively and individually any and all federal, state, local, or foreign statute, rule, regulation, code, guidance, ordinance, order, judgment, directive, decree, injunction or common law as now or previously in effect and regulating, relating to or imposing liability or standards of conduct concerning: the environment; protection of the environment and natural resources; air emissions; water discharges; noise emissions; the Release, threatened Release or discharge into the environment and physical hazards of any Hazardous Material; the generation, handling, management, treatment, storage, transport or disposal of any Hazardous Material or otherwise concerning pollution or the protection of the outdoor or indoor environment, preservation or restoration of natural resources, employee or human health or safety, and potential or actual exposure to or injury from Hazardous Materials.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in respect of any Person, any statutory, common law or equitable liability, contingent or otherwise of such Person directly or indirectly resulting from, arising out of or based upon (a) the violation of any Environmental Law or Environmental Permit, or (b) an Environmental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authorization, certificate, license, variance, filing or permission required by or from any Governmental Authority pursuant to any Environmental Law.</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 shares of capital stock of (or other ownership or profit interests in) such Person, (b) warrants, options or other rights for the purchase or acquisition from such Person of shares of capital stock of (or other ownership or profit interests in) such Person, (c) securities (other than Indebtedness) convertible into or exchangeable for shares of capital stock of (or other ownership or profit interests in) such Person or warrants, rights or options for the purchase or acquisition from such Person of such shares (or such other interests), (d) all other ownership or profit interests in such Person (including partnership, member or trust interests therein), whether voting or non-voting, and whether or not such shares, warrants, options, rights or other interests are outstanding on any date of determination and (e) any Security Entitlement (as defined in the Security Agreement) in respect of any Equity Interest described in this definition.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rules and regulations issued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under Section 414(b) or 414(c) of the Code or, solely for purposes of Sections 302 and 303 of ERISA and Sections 412 and 430 of the Code, is treated as a single employer under subsection (b), (c), (m) or (o) of Section 414 of the Code.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4043(c) of ERISA with respect to a Pension Plan (other than an event for which the 30-day notice period referred to in Section 4043 of ERISA is waived); (b) the existence with respect to any Pension Plan of a non-exempt “prohibited transaction,” as defined in Section 406 of ERISA or Section 4975(c)(1) of the Code; (c) any failure of any Pension Plan to satisfy the “minimum funding standard” applicable to such Pension Plan under Section 412 or Section 430 of the Code or Section 302 or Section 303 of ERISA, whether or not waived; (d) the filing pursuant to Section 412(c) of the Code or Section 302(c) of ERISA of an application for a waiver of the minimum funding standard with respect to any Pension Plan, the failure to make by its due date a required installment under Section 430(j)(3) of the Code with respect to any Pension Plan or the failure of any Loan Party or ERISA Affiliate to make any required contribution to any Multiemployer Plan; (e) a determination that any Pension Plan is, or is expected to be, in “at-risk” status (as defined in Section 430(i)(4) of the Code or Section 303(i)(4) of ERISA;</w:t>
      </w:r>
    </w:p>
    <w:p>
      <w:pPr>
        <w:spacing w:after="0" w:line="1" w:lineRule="exact"/>
        <w:rPr>
          <w:sz w:val="20"/>
          <w:szCs w:val="20"/>
          <w:color w:val="auto"/>
        </w:rPr>
      </w:pPr>
    </w:p>
    <w:p>
      <w:pPr>
        <w:jc w:val="both"/>
        <w:ind w:firstLine="8"/>
        <w:spacing w:after="0" w:line="251" w:lineRule="auto"/>
        <w:tabs>
          <w:tab w:leader="none" w:pos="2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any Loan Party or any ERISA Affiliate of any liability under Title IV of ERISA with respect to the termination of any Pension Plan including the imposition of any Lien in favor of the PBGC or any Pension Plan(other than for PBGC premiums due but not delinquent under Section 4007 of ERISA); (g) the filing of a notice of intent to terminate, the treatment of a Pension Plan amendment as a termination under Section 4041 or Section 4041A or ERISA, the receipt by any Loan Party or any ERISA Affiliate from the PBGC or a Pension Plan administrator of any notice relating to an intention to terminate any Pension Plan or Pension Plans or to appoint a trustee to administer any Pension Plan under Section 4042 of ERISA or the occurrence of an event or condition which constitutes grounds under Section 4042 of ERISA or the termination of, or the appointment of a trustee to administrator, any Pension Plan; (h) any limitations under Section 436 of the Code become applicable; (i) the incurrence by any Loan Party or any of its ERISA Affiliates of any liability with respect to the withdrawal or partial withdrawal from any Pension Plan or Multiemployer Plan; (j)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(k) the receipt by any Loan Party or any ERISA Affiliate of any notice, or the receipt by any Multiemployer Plan from any Loan Party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or Title IV of ERISA; or (l) the imposition on any Loan Party or any ERISA Affiliate of any tax under Chapter 43 of Subtitle D of the Code, or the assessment of a civil penalty on any Loan Party or any ERISA Affiliate under Section 502(c)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9.13(d)(i)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9.13(d)(i)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9.13(d)(i)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means, for each Fiscal Year:</w:t>
      </w:r>
    </w:p>
    <w:p>
      <w:pPr>
        <w:spacing w:after="0" w:line="225" w:lineRule="exact"/>
        <w:rPr>
          <w:sz w:val="20"/>
          <w:szCs w:val="20"/>
          <w:color w:val="auto"/>
        </w:rPr>
      </w:pPr>
    </w:p>
    <w:p>
      <w:pPr>
        <w:ind w:left="1820" w:hanging="516"/>
        <w:spacing w:after="0"/>
        <w:tabs>
          <w:tab w:leader="none" w:pos="1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EBITDA of the Borrower and its Subsidiaries for such Fiscal Year </w:t>
      </w:r>
      <w:r>
        <w:rPr>
          <w:rFonts w:ascii="Times New Roman" w:cs="Times New Roman" w:eastAsia="Times New Roman" w:hAnsi="Times New Roman"/>
          <w:sz w:val="18"/>
          <w:szCs w:val="18"/>
          <w:u w:val="single" w:color="auto"/>
          <w:color w:val="auto"/>
        </w:rPr>
        <w:t>minus</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 each of the following for the Borrower and its Subsidiaries:</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4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Expense (excluding any original issue discount, interest paid in kind or amortized debt discount, in each case to the extent included in determining Consolidated Interest Expense) for such Fiscal Year,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6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Expenditures during such Fiscal Year paid in cash (except to the extent financed with (A) the proceeds of Indebtedness (other than a Revolving Borrowing) or (B) Net Cash Proceeds from any Disposition), to the extent such Capital Expenditures were permitted hereby, </w:t>
      </w:r>
      <w:r>
        <w:rPr>
          <w:rFonts w:ascii="Times New Roman" w:cs="Times New Roman" w:eastAsia="Times New Roman" w:hAnsi="Times New Roman"/>
          <w:sz w:val="18"/>
          <w:szCs w:val="18"/>
          <w:u w:val="single" w:color="auto"/>
          <w:color w:val="auto"/>
        </w:rPr>
        <w:t>plus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61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(A) scheduled repayments of the principal of Indebtedness (to the extent permitted by the Loan Documents), (B) mandatory repayments and mandatory prepayments of the principal of Indebtedness (excluding any prepayment under </w:t>
      </w:r>
      <w:r>
        <w:rPr>
          <w:rFonts w:ascii="Times New Roman" w:cs="Times New Roman" w:eastAsia="Times New Roman" w:hAnsi="Times New Roman"/>
          <w:sz w:val="18"/>
          <w:szCs w:val="18"/>
          <w:u w:val="single" w:color="auto"/>
          <w:color w:val="auto"/>
        </w:rPr>
        <w:t>Section 2.7(b)(ii)</w:t>
      </w:r>
      <w:r>
        <w:rPr>
          <w:rFonts w:ascii="Times New Roman" w:cs="Times New Roman" w:eastAsia="Times New Roman" w:hAnsi="Times New Roman"/>
          <w:sz w:val="18"/>
          <w:szCs w:val="18"/>
          <w:color w:val="auto"/>
        </w:rPr>
        <w:t xml:space="preserve">) that were paid during such Fiscal Year and (C) voluntary prepayments of the principal of the Term Loans and, to the extent a prepayment results in a reduction of the Revolving Commitments pursuant to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voluntary prepayments of the principal of the Revolving Loans, plus</w:t>
      </w:r>
    </w:p>
    <w:p>
      <w:pPr>
        <w:spacing w:after="0" w:line="183" w:lineRule="exact"/>
        <w:rPr>
          <w:rFonts w:ascii="Times New Roman" w:cs="Times New Roman" w:eastAsia="Times New Roman" w:hAnsi="Times New Roman"/>
          <w:sz w:val="18"/>
          <w:szCs w:val="18"/>
          <w:color w:val="auto"/>
        </w:rPr>
      </w:pPr>
    </w:p>
    <w:p>
      <w:pPr>
        <w:ind w:left="660" w:firstLine="1292"/>
        <w:spacing w:after="0" w:line="282" w:lineRule="auto"/>
        <w:tabs>
          <w:tab w:leader="none" w:pos="25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income, franchise and withholding taxes of the Borrower and its Subsidiaries and other Taxes (to the extent not already deducted in computing Consolidated Net Income) to the extent paid in cash for such Fiscal Year,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jc w:val="both"/>
        <w:ind w:left="660" w:right="20" w:firstLine="1292"/>
        <w:spacing w:after="0" w:line="266" w:lineRule="auto"/>
        <w:tabs>
          <w:tab w:leader="none" w:pos="253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excess, if any, of Consolidated Working Capital at the end of such period over Consolidated Working Capital at the beginning of such period (or,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excess, if any, of Consolidated Working Capital at the beginning of such period over Consolidated Working Capital at the end of such period); </w:t>
      </w:r>
      <w:r>
        <w:rPr>
          <w:rFonts w:ascii="Times New Roman" w:cs="Times New Roman" w:eastAsia="Times New Roman" w:hAnsi="Times New Roman"/>
          <w:sz w:val="18"/>
          <w:szCs w:val="18"/>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ind w:left="2520" w:hanging="568"/>
        <w:spacing w:after="0"/>
        <w:tabs>
          <w:tab w:leader="none" w:pos="2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non-financed Capital Expenditures;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non-financed Permitted Investments;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non-financed Permitted Indebtedness;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on account of Permitted Indebtedness which are permitted to be paid under this Agreement and the other Loan Documents during the applicable period;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added back to Consolidated EBITDA, restructuring payments made in cash during such period; </w:t>
      </w:r>
      <w:r>
        <w:rPr>
          <w:rFonts w:ascii="Times New Roman" w:cs="Times New Roman" w:eastAsia="Times New Roman" w:hAnsi="Times New Roman"/>
          <w:sz w:val="18"/>
          <w:szCs w:val="18"/>
          <w:u w:val="single" w:color="auto"/>
          <w:color w:val="auto"/>
        </w:rPr>
        <w:t>plus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minus (as applicable)</w:t>
      </w:r>
    </w:p>
    <w:p>
      <w:pPr>
        <w:spacing w:after="0" w:line="206"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working capital during the applicable period.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“Excess Cash Flow Percentage</w:t>
      </w:r>
      <w:r>
        <w:rPr>
          <w:rFonts w:ascii="Times New Roman" w:cs="Times New Roman" w:eastAsia="Times New Roman" w:hAnsi="Times New Roman"/>
          <w:sz w:val="18"/>
          <w:szCs w:val="18"/>
          <w:color w:val="auto"/>
        </w:rPr>
        <w:t>” means, (a) 50.0% if the Consolidated Net Leverage Ratio as of the last day of the Fiscal Year for which such prepayment is being calculated was greater than to 2.50 to 1.00; (b) 25.0% if the Consolidated Net Leverage Ratio as of the last day of the Fiscal Year for which such prepayment is being calculated was less or equal to 2.50 to 1.00 but greater than 2.00 to 1.00, and (c) 0.0% in all other cases.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“Excluded CEA Swap Obligation</w:t>
      </w:r>
      <w:r>
        <w:rPr>
          <w:rFonts w:ascii="Times New Roman" w:cs="Times New Roman" w:eastAsia="Times New Roman" w:hAnsi="Times New Roman"/>
          <w:sz w:val="18"/>
          <w:szCs w:val="18"/>
          <w:color w:val="auto"/>
        </w:rPr>
        <w:t>” means, with respect to any Guarantor, any CEA Swap Obligation if, and only to the extent that, all or a portion of the Guarantee of such Guarantor of, or the grant by such Guarantor of a security interest to secure, such CEA Swap Obligation (or any Guarantee thereof) is or becomes illegal under the Commodity Exchange Act or any rule, regulation or order of the Commodity Futures Trading Commission (or the application or official interpretation of any thereof), including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CEA Swap Obligation. If a CEA Swap Obligation arises under a master agreement governing more than one swap, such exclusion shall apply only to the portion of such CEA Swap Obligation that is attributable to swaps for which such Guarantee or security interest is or becomes illegal.</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any Subsidiary that is prohibited by applicable law, rule or regulation or by any contractual obligation (to the extent such contractual obligation is existing (i) on the Closing Date or (ii) at the time of acquisition of such Subsidiary so long as the prohibition or restriction in such contract is not entered into in contemplation thereof) from providing a Guarantee of the Secured Obligations or which would require governmental (including regulatory or any other Governmental Authority’s) consent, approval, license or authorization to provide such a Guarantee unless such consent, approval, license or authorization has been received, (b) any Foreign Subsidiary, (c) any Domestic Subsidiary that is a Subsidiary of a Foreign Subsidiary, (d) any Foreign Subsidiary Holdco, (e) any captive insurance company, (f) any Immaterial Subsidiary and (g) any other Subsidiary with respect to which the Borrower and the Administrative Agent reasonably determine in writing the cost or other consequences of providing such a Guarantee shall be excessive in view of the benefits of such Guarantee to be afforded to the Lenders therefrom. Notwithstanding the foregoing, in the event that an Excluded Subsidiary guarantees, grants a lien on its assets to secure, or has greater than 65% of its voting Equity Interests pledged to secure, other Indebtedness of the Loan Parties, such Excluded Subsidiary shall cease to be an Excluded Subsidiary and shall be required to become a Subsidiary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51" w:lineRule="auto"/>
        <w:tabs>
          <w:tab w:leader="none" w:pos="2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or (ii) such Lender changes its Applicable Lending Office, except in each case to the extent that,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Applicable Lending Office, (c) Taxes attributable to such Recipient’s failure to comply with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 xml:space="preserve"> and (d) any U.S. federal withholding Taxes imposed under FATCA.</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the Financing Agreement, dated as of January 31, 2018, among the Borrower, the lenders party thereto and Cerberus Business Finance, LLC, as administrative agent and collateral agent, as in effect on the date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“Existing Credit Agreement Refinancing</w:t>
      </w:r>
      <w:r>
        <w:rPr>
          <w:rFonts w:ascii="Times New Roman" w:cs="Times New Roman" w:eastAsia="Times New Roman" w:hAnsi="Times New Roman"/>
          <w:sz w:val="18"/>
          <w:szCs w:val="18"/>
          <w:color w:val="auto"/>
        </w:rPr>
        <w:t>” means the payment in full of all principal, premium, if any, interest, fees and other amounts due or outstanding under the Existing Credit Agreement, the termination of commitments thereunder and the discharge and release of all Guarantees and Liens existing in connection therewith.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“Extraordinary Receipt</w:t>
      </w:r>
      <w:r>
        <w:rPr>
          <w:rFonts w:ascii="Times New Roman" w:cs="Times New Roman" w:eastAsia="Times New Roman" w:hAnsi="Times New Roman"/>
          <w:sz w:val="18"/>
          <w:szCs w:val="18"/>
          <w:color w:val="auto"/>
        </w:rPr>
        <w:t xml:space="preserve">” means any cash received by or paid to or for the account of any Loan Party or any Subsidiary thereof not in the ordinary course of business, including tax refunds, pension plan reversions, proceeds of insurance (other than proceeds of business interruption insurance to the extent such proceeds constitute compensation for lost earnings), and any purchase price adjustments;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“Extraordinary Receipt” shall not include any such cash to the extent such cash is otherwise included in the determination of Net Cash Proceeds with respect to any Casualty Event.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Credit Agreement (or any amended or successor version that is substantively comparable and not materially more onerous to comply with) and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a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the day for which such rate is to be determined is not a Business Day, the Federal Funds Effective Rate for such day shall be such rate on such transactions on the next preceding Business Day as so published on the next succeeding Business Day, (b) if such rate is not so published for any day, the Federal Funds Effective Rate for such day shall be the average of the quotations for such day on such transactions received by the Administrative Agent from three federal funds brokers of recognized standing selected by it and (c) if the Federal Funds Effective Rate shall be less than zero, such rate shall be deemed to be zero for purposes of this Credit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Fee Letter dated as of the Closing Date, between the Borrower and Citizens Bank.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“Finance Leases</w:t>
      </w:r>
      <w:r>
        <w:rPr>
          <w:rFonts w:ascii="Times New Roman" w:cs="Times New Roman" w:eastAsia="Times New Roman" w:hAnsi="Times New Roman"/>
          <w:sz w:val="18"/>
          <w:szCs w:val="18"/>
          <w:color w:val="auto"/>
        </w:rPr>
        <w:t>” means all leases that are required to be capitalized in accordance with GAAP.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“Finance Lease Obligations</w:t>
      </w:r>
      <w:r>
        <w:rPr>
          <w:rFonts w:ascii="Times New Roman" w:cs="Times New Roman" w:eastAsia="Times New Roman" w:hAnsi="Times New Roman"/>
          <w:sz w:val="18"/>
          <w:szCs w:val="18"/>
          <w:color w:val="auto"/>
        </w:rPr>
        <w:t>” means, at the time any determination thereof is to be made, the amount of the liabilities in respect of Finance Leases that would at such time be required to be capitalized and reflected as a liability on a balance sheet (excluding the footnotes thereto) prepared in accordance with GAAP.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xml:space="preserve">” means the covenants set forth in </w:t>
      </w:r>
      <w:r>
        <w:rPr>
          <w:rFonts w:ascii="Times New Roman" w:cs="Times New Roman" w:eastAsia="Times New Roman" w:hAnsi="Times New Roman"/>
          <w:sz w:val="18"/>
          <w:szCs w:val="18"/>
          <w:u w:val="single" w:color="auto"/>
          <w:color w:val="auto"/>
        </w:rPr>
        <w:t>Section 7.12(a)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the chief financial officer, principal accounting officer, treasurer or comptroller of such Person (or such other financial officer as is acceptable to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four fiscal quarter period of the Borrower ending on December 31 of each calendar year.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“Flood Certificate</w:t>
      </w:r>
      <w:r>
        <w:rPr>
          <w:rFonts w:ascii="Times New Roman" w:cs="Times New Roman" w:eastAsia="Times New Roman" w:hAnsi="Times New Roman"/>
          <w:sz w:val="18"/>
          <w:szCs w:val="18"/>
          <w:color w:val="auto"/>
        </w:rPr>
        <w:t>” means a “Standard Flood Hazard Determination Form” of the Federal Emergency Management Agency and any successor Governmental Authority performing a similar function.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“Flood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“Flood Insurance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“Flood Program</w:t>
      </w:r>
      <w:r>
        <w:rPr>
          <w:rFonts w:ascii="Times New Roman" w:cs="Times New Roman" w:eastAsia="Times New Roman" w:hAnsi="Times New Roman"/>
          <w:sz w:val="18"/>
          <w:szCs w:val="18"/>
          <w:color w:val="auto"/>
        </w:rPr>
        <w:t>” means the National Flood Insurance Program created by the U.S. Congress pursuant to the National Flood Insurance Act of 1968, the Flood Disaster Protection Act of 1973, the National Flood Insurance Reform Act of 1994 and the Flood Insurance Reform Act of 2004, in each case as amended from time to time, and any successor statutes.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“Flood Zone</w:t>
      </w:r>
      <w:r>
        <w:rPr>
          <w:rFonts w:ascii="Times New Roman" w:cs="Times New Roman" w:eastAsia="Times New Roman" w:hAnsi="Times New Roman"/>
          <w:sz w:val="18"/>
          <w:szCs w:val="18"/>
          <w:color w:val="auto"/>
        </w:rPr>
        <w:t>” means an area identified by the Federal Emergency Management Agency (or any successor agency) as a “Special Flood Hazard Area” with respect to which flood insurance has been made available under Flood Insurance Laws.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in the case of SOFR Loans, 0.50% per annum and (b) in the case of ABR Loans, 1.00% per annum.</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means any employee pension benefit plan or arrangement (a) maintained, or contributed to by any Loan Party or Subsidiary that is not subject to the laws of the United States, or (b) mandated by a government other than the United States for employees of any Loan Party or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Pledge Agreement</w:t>
      </w:r>
      <w:r>
        <w:rPr>
          <w:rFonts w:ascii="Times New Roman" w:cs="Times New Roman" w:eastAsia="Times New Roman" w:hAnsi="Times New Roman"/>
          <w:sz w:val="18"/>
          <w:szCs w:val="18"/>
          <w:color w:val="auto"/>
        </w:rPr>
        <w:t>” means, collectively, each local law pledge agreement executed and delivered by a Loan Party and the Administrative Agent to grant a security interest in the Equity Interests of a Foreign Subsidiary, each in form and substance satisfactory to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Subsidiary Holdco</w:t>
      </w:r>
      <w:r>
        <w:rPr>
          <w:rFonts w:ascii="Times New Roman" w:cs="Times New Roman" w:eastAsia="Times New Roman" w:hAnsi="Times New Roman"/>
          <w:sz w:val="18"/>
          <w:szCs w:val="18"/>
          <w:color w:val="auto"/>
        </w:rPr>
        <w:t>” means any Domestic Subsidiary that owns no material assets other than the Equity Interests of one or more Foreign Subsidiaries that are Controlled Foreign Corporations.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“Fourth Amendment Effective Date” means August 6, 2024.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the L/C Issuer, such Defaulting Lender’s L/C Exposure other than such Defaulting Lender’s L/C Exposure that has been reallocated to other Lenders or Cash Collateralized in accordance with the terms hereof, and (b) with respect to the Swingline Lender, such Defaulting Lender’s Swingline Exposure other than such Defaulting Lender’s Swingline Exposure that has been reallocated to other Lenders.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effect from time to time in the United States.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(or any successor thereto)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department, commission, board, bureau,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means the Guarantee Agreement, dated as of the date Closing Date, among the Loan Parties and the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xml:space="preserve">” of or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The term “Guaranteed” has a meaning analogous thereto. The amount of any Guarantee at any time shall be deemed to be an amount equal to the lesser at such time of (i) the stated or determinable amount of the primary obligation in respect of which such Guarantee is made (or, if not stated or determinable, the maximum reasonably anticipated amount of the obligations in respect of which such Guarantee is made) and (ii) the maximum amount for which the guarantor may be liable pursuant to the terms of the instrument embodying such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(a) each Subsidiary Guarantor, and (b) each other Person that becomes a party to the Guarantee Agreement as a Guarantor.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substances, wastes, chemicals, pollutants, or other contaminants, including petroleum or petroleum distillates, asbestos or asbestos containing materials, polychlorinated biphenyls, radon gas, mold, infectious, pharmaceutical or medical wastes and all other substances of any nature that are now or hereafter regulated under any Environmental Law or are now or hereafter defined, listed, classified, considered or described as hazardous, dangerous or toxic by any Governmental Authority or under any Environmental Law.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Subsidiary (a) which generated less than two and one-half percent (2.5%) of Consolidated EBITDA of the Borrower and its Subsidiaries for the preceding twelve (12) month period or (b) had less than two and one half percent (2.5%) of consolidated assets of the Borrower and its Subsidiaries as reflected on the most recent financial statements delivered pursuant to Section 6.1 prior to such date; provided that no Subsidiary shall be excluded as an Immaterial Subsidiary until, and for so long as, the Borrower shall have designated such Subsidiary’s status as such in writing to the Administrative Agent; provided, further, that no Subsidiary shall be excluded as an Immaterial Subsidiary if (i) the Consolidated EBITDA of such Subsidiary, taken together with the Consolidated EBITDA of all other Subsidiaries then designated as Immaterial Subsidiaries, exceeds five percent (5%) of Consolidated EBITDA of the Borrower and its Subsidiaries or (ii) the consolidated assets of such Subsidiary, taken together with the consolidated assets of all other Subsidiaries then designated as Immaterial Subsidiaries, exceeds five percent (5%) of consolidated assets of the Borrower and its Subsidiaries.</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“Incremental Assumption Agreement</w:t>
      </w:r>
      <w:r>
        <w:rPr>
          <w:rFonts w:ascii="Times New Roman" w:cs="Times New Roman" w:eastAsia="Times New Roman" w:hAnsi="Times New Roman"/>
          <w:sz w:val="18"/>
          <w:szCs w:val="18"/>
          <w:color w:val="auto"/>
        </w:rPr>
        <w:t>” means an Incremental Assumption Agreement in form and substance reasonably satisfactory to the Administrative Agent and the Borrower, among the Borrower, the Administrative Agent and each Incremental Term Lender and/or existing or additional Revolving Lender party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means a term loan credit facility evidenced by Incremental Term Loan Commitments, if 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“Incremental Term Lender</w:t>
      </w:r>
      <w:r>
        <w:rPr>
          <w:rFonts w:ascii="Times New Roman" w:cs="Times New Roman" w:eastAsia="Times New Roman" w:hAnsi="Times New Roman"/>
          <w:sz w:val="18"/>
          <w:szCs w:val="18"/>
          <w:color w:val="auto"/>
        </w:rPr>
        <w:t>” means a Lender with an Incremental Term Loan Commitment or an outstanding Incremental Term Loan.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xml:space="preserve">” means the commitment of any Lender, established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to make an Incremental Term Loan to the Borrower.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“Incremental Term Loan Maturity Date</w:t>
      </w:r>
      <w:r>
        <w:rPr>
          <w:rFonts w:ascii="Times New Roman" w:cs="Times New Roman" w:eastAsia="Times New Roman" w:hAnsi="Times New Roman"/>
          <w:sz w:val="18"/>
          <w:szCs w:val="18"/>
          <w:color w:val="auto"/>
        </w:rPr>
        <w:t xml:space="preserve">” means the final maturity date of any Incremental Term Loan, as set forth in the applicable Incremental Assumption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date is not a Business Day, the Incremental Term Loan Maturity Date shall be the Business Day immediately preceding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“Incremental Term Loan Repayment Date</w:t>
      </w:r>
      <w:r>
        <w:rPr>
          <w:rFonts w:ascii="Times New Roman" w:cs="Times New Roman" w:eastAsia="Times New Roman" w:hAnsi="Times New Roman"/>
          <w:sz w:val="18"/>
          <w:szCs w:val="18"/>
          <w:color w:val="auto"/>
        </w:rPr>
        <w:t>” means each date regularly scheduled for the payment of principal of any Incremental Term Loan, as set forth in the applicable Incremental Assumption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means term loans made by one or more Lenders to the Borrower pursuant to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Incremental Term Loans may be made in the form of additional Term Loans or, to the extent permitted by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provided for in the relevant Incremental Assumption Agreement, Other Term Loans.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w:t>
      </w:r>
    </w:p>
    <w:p>
      <w:pPr>
        <w:spacing w:after="0" w:line="225" w:lineRule="exact"/>
        <w:rPr>
          <w:sz w:val="20"/>
          <w:szCs w:val="20"/>
          <w:color w:val="auto"/>
        </w:rPr>
      </w:pPr>
    </w:p>
    <w:p>
      <w:pPr>
        <w:ind w:left="1820" w:hanging="516"/>
        <w:spacing w:after="0"/>
        <w:tabs>
          <w:tab w:leader="none" w:pos="1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evidenced by bonds, debentures, notes, loan agreements or other similar instruments,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paper;</w:t>
      </w:r>
    </w:p>
    <w:p>
      <w:pPr>
        <w:spacing w:after="0" w:line="207" w:lineRule="exact"/>
        <w:rPr>
          <w:sz w:val="20"/>
          <w:szCs w:val="20"/>
          <w:color w:val="auto"/>
        </w:rPr>
      </w:pPr>
    </w:p>
    <w:p>
      <w:pPr>
        <w:jc w:val="both"/>
        <w:ind w:firstLine="1304"/>
        <w:spacing w:after="0" w:line="266" w:lineRule="auto"/>
        <w:tabs>
          <w:tab w:leader="none" w:pos="18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(after giving effect to any prior drawings or reductions which have been reimbursed) of all letters of credit (including standby and commercial), banker’s acceptances, bank guaranties, surety bonds, and similar instruments issued or created by or for the account of such Person;</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Swap Termination Value of each Swap Agreement (to the extent reflecting an amount owed by such Person or an amount that would be owing were such Swap Agreement terminated);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Indebtedness of such Person in respect of Finance Lease Obligations, Synthetic Debt and Synthetic Lease Obligations of such Person (regardless of whether accounted for as indebtedness under GAAP);</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(i) trade accounts payable in the ordinary course of business which are paid within 90 days of their respective due dates, (ii) any purchase price adjustments, earn out or similar obligation until such obligation becomes a liability on the balance sheet of such Person in accordance with GAAP and if not paid after becoming due and payable and (iii) liabilities associated with customer prepayments and deposits);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(or for which the holder of such indebtedness has an existing right, contingent or otherwise, to be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79"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Earn-Out Obligations due and owing of such Person;</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Disqualified Equity Interests;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a specified purchase price for goods or services whether or not delivered or accepted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take or pay obligations) or similar obligations and, without duplication, all obligations of such Person under conditional sale or other title retention agreements relating to property or assets purchased by such Person; and</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by such Person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ind w:right="20"/>
        <w:spacing w:after="0" w:line="261" w:lineRule="auto"/>
        <w:rPr>
          <w:sz w:val="20"/>
          <w:szCs w:val="20"/>
          <w:color w:val="auto"/>
        </w:rPr>
      </w:pPr>
      <w:r>
        <w:rPr>
          <w:rFonts w:ascii="Times New Roman" w:cs="Times New Roman" w:eastAsia="Times New Roman" w:hAnsi="Times New Roman"/>
          <w:sz w:val="18"/>
          <w:szCs w:val="18"/>
          <w:color w:val="auto"/>
        </w:rPr>
        <w:t>The Indebtedness of any Person shall include the Indebtedness of any partnership or joint venture (other than a joint venture that is itself a corporation, company, or limited liability company) in which such Person is a general partner or a joint venturer, unless such Indebtedness is expressly made non-recourse to such Person. The amount of Indebtedness of any Person for purposes of clause (g) shall be deemed to be equal to the greater of (i) the aggregate unpaid amount of such Indebtedness and (ii) the fair market value of the property encumbered thereby as determined by such Person in good faith.</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“Information Memorandum</w:t>
      </w:r>
      <w:r>
        <w:rPr>
          <w:rFonts w:ascii="Times New Roman" w:cs="Times New Roman" w:eastAsia="Times New Roman" w:hAnsi="Times New Roman"/>
          <w:sz w:val="18"/>
          <w:szCs w:val="18"/>
          <w:color w:val="auto"/>
        </w:rPr>
        <w:t>” means the Confidential Information Memorandum, dated as of the Closing Date, relating to the Borrower, its Subsidiaries and the Transactions.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with respect to any ABR Loan, the last day of each March, June, September and December, (b) with respect to any SOFR Loan, the last day of the Interest Period applicable thereto and, in the case of a SOFR Loan with an Interest Period of more than three months’ duration, each day prior to the last day of such Interest Period that occurs at intervals of three months’ duration after the first day of such Interest Period, (c) with respect to all Loans, the Maturity Date of the Credit Facility under which such Loan was made and (d) with respect to any Swingline Loan, the earlier of the maturity date selected therefor pursuant to </w:t>
      </w:r>
      <w:r>
        <w:rPr>
          <w:rFonts w:ascii="Times New Roman" w:cs="Times New Roman" w:eastAsia="Times New Roman" w:hAnsi="Times New Roman"/>
          <w:sz w:val="18"/>
          <w:szCs w:val="18"/>
          <w:u w:val="single" w:color="auto"/>
          <w:color w:val="auto"/>
        </w:rPr>
        <w:t>Section 2.3(b)(iii)</w:t>
      </w:r>
      <w:r>
        <w:rPr>
          <w:rFonts w:ascii="Times New Roman" w:cs="Times New Roman" w:eastAsia="Times New Roman" w:hAnsi="Times New Roman"/>
          <w:sz w:val="18"/>
          <w:szCs w:val="18"/>
          <w:color w:val="auto"/>
        </w:rPr>
        <w:t xml:space="preserve"> and the Revolving Maturity Date.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SOFR Borrowing, the period commencing on the date of such Borrowing and ending on the numerically corresponding day in the calendar month that is one, three or six months thereafter (in each case, subject to the availability thereof)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in respect of any Loan shall end after the Maturity Date of the Credit Facility under which such Loan was made, and (d) no tenor that has been removed from this definition pursuant to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 xml:space="preserve"> shall be available for specification in any Committed Loan Notice. For purposes hereof, the date of a Borrowing initially shall be the date on which such Borrowing is made and thereafter shall be the effective date of the most recent conversion or continuation of such Borrowing. Interest shall accrue from and including the first day of an Interest Period to but excluding the last day of such Interest Period.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as to any Person, (a) any Acquisition by such Person, (b) any direct or indirect acquisition or investment by such Person in another Person, whether by means of the purchase or other acquisition of Equity Interests or debt or other securities of another Person (including any partnership or joint venture interest), or (c) any direct or indirect loan, advance or capital contribution to, Guarantee with respect to any Indebtedness or other obligation of, such other Person. For purposes of covenant compliance, the amount of any Investment on any date of determination shall be, in the case of any Investment in the form of (i) a loan or an advance, the principal amount thereof outstanding on such date, (ii) a Guarantee, the amount of such Guarantee as determined in accordance with the last sentence of the definition of such term, (iii) a transfer of Equity Interests or other property by the investor to the investee, including any such transfer in the form of a capital contribution, or the issuance of Equity Interests to such investor, the fair market value (as determined reasonably and in good faith by the chief financial officer of the Borrower) of such Equity Interests or other property as of the time of the transfer or issuance, without any adjustment for increases or decreases in value of, or write-ups, write-downs or write-offs with respect to, such Investment, and (iv) any Investment (other than any Investment referred to in clauses (i), (ii) or (iii) above) in the form of an Acquisition or a purchase or other acquisition for value of any evidences of Indebtedness or other securities of any other Person, the original cost of such Investment (including any Indebtedness assumed in connection therewith),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cost of all additions, as of such date, thereto,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as of such date, of any portion of such Investment repaid to the investor in cash as a repayment of principal or a return of capital, as the case may be, but without any other adjustment for increases or decreases in value of, or write-ups, write-downs or write-offs with respect to, such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the International Standby Practices, International Chamber of Commerce Publication No. 590 (or such later version thereof as may be in effect at the applicable time of issuance).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the latest Maturity Date applicable to any Loan or Commitment hereunder at such time, including the latest Maturity Date of any Incremental Term Loan, in each case as extended in accordance with this Credit Agreement or pursuant to any other Loan Document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2.4(c)(iii)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applicable L/C Honor Date or refinanced as a Revolving Borrowing.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or renewal thereof or extension of the expiry date thereof, or the reinstatement or increase of the amount thereof or any amendment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the L/C Issuer pursuant to a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with respect to any Revolving Lender at any time, its Applicable Percentage of the L/C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“L/C Fronting Fee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“L/C Honor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Citizens Bank in its capacity as issuer of Letters of Credit 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at any time, with respect to all of the Revolving Lenders, the sum, without duplication, of (a) the undrawn portion of all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of all Unreimbursed Amounts in respect of Letters of Credit (unless refinanced as a Revolving Borrowing), including all L/C Borrowings.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“L/C Participation Fee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3.2(b)(i)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means an amount equal to the lesser of (a) $10,000,000 and (b) the aggregate amount of the Revolving Commitments. The L/C Sublimit is a sublimit of the Revolving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xml:space="preserve">” means each of (i) Citizens Bank, (ii) Wells Fargo Bank, National Association and (iii) Silicon Valley Bank, </w:t>
      </w:r>
      <w:r>
        <w:rPr>
          <w:rFonts w:ascii="Times New Roman" w:cs="Times New Roman" w:eastAsia="Times New Roman" w:hAnsi="Times New Roman"/>
          <w:sz w:val="18"/>
          <w:szCs w:val="18"/>
          <w:color w:val="FF0000"/>
          <w:strike w:val="1"/>
        </w:rPr>
        <w:t>in</w:t>
      </w:r>
      <w:r>
        <w:rPr>
          <w:rFonts w:ascii="Times New Roman" w:cs="Times New Roman" w:eastAsia="Times New Roman" w:hAnsi="Times New Roman"/>
          <w:sz w:val="18"/>
          <w:szCs w:val="18"/>
          <w:u w:val="single" w:color="auto"/>
          <w:color w:val="0000FF"/>
        </w:rPr>
        <w:t>a division of First-Citizens Bank &amp; Trust Company,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case, in their respective capacities as joint lead arrangers and joint bookrunners of the credit facilities established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under this Credit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(a) the financial institutions listed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(other than any such financial institution that has ceased to be a party hereto pursuant to an Assignment and Acceptance) and (b) any financial institution that has become a party hereto pursuant to an Assignment and Assumption or pursuant to an Incremental Assumption Agreement. Unless the context clearly indicates otherwise, the term “Lenders” shall include the Swingline Lender.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standby letter of credit issued hereunder providing for the payment of cash upon the honoring of a presentation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L/C Issuer.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“Letter of Credit Documents</w:t>
      </w:r>
      <w:r>
        <w:rPr>
          <w:rFonts w:ascii="Times New Roman" w:cs="Times New Roman" w:eastAsia="Times New Roman" w:hAnsi="Times New Roman"/>
          <w:sz w:val="18"/>
          <w:szCs w:val="18"/>
          <w:color w:val="auto"/>
        </w:rPr>
        <w:t>” means, with respect to each Letter of Credit, such Letter of Credit, any amendments thereto, any documents delivered in connection therewith, any Letter of Credit Application and any agreements, instruments, guarantees or other documents (whether general in application or applicable only to such Letter of Credit) governing or providing for (a) the rights and obligations of the parties concerned or (b) any collateral for such obligations.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five Business Days prior to the Maturity Date of the Revolving Facility (or, if such day is not a Business Day, the next preceding Business Day).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Finance Lease or title retention agreement relating to such asset, and (c) in the case of securities, any purchase option, call or similar right of a third party with respect to such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the Borrower under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in the form of a Term Loan, a Revolving Loan or a Swingline Loan (including any Incremental Term Loans).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“Loan Document Obligations</w:t>
      </w:r>
      <w:r>
        <w:rPr>
          <w:rFonts w:ascii="Times New Roman" w:cs="Times New Roman" w:eastAsia="Times New Roman" w:hAnsi="Times New Roman"/>
          <w:sz w:val="18"/>
          <w:szCs w:val="18"/>
          <w:color w:val="auto"/>
        </w:rPr>
        <w:t>” means the due and punctual payment and performance of all advances to, and debts, liabilities, obligations, covenants and duties of, any Loan Party under or pursuant to each of the Loan Documents or otherwise with respect to any Loan or Letter of Credit and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collectively, this Credit Agreement, the Notes, the Guarantee Agreement, each Incremental Assumption Agreement, each Letter of Credit Application,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the Fee Letter, the Collateral Documents and each other document entered into in connection herewith.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(a) the Borrower and (b) the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assigned to such term in Regulation U.</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has the meaning assigned to such term in the definition of “Swap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“Master Intercompany Note</w:t>
      </w:r>
      <w:r>
        <w:rPr>
          <w:rFonts w:ascii="Times New Roman" w:cs="Times New Roman" w:eastAsia="Times New Roman" w:hAnsi="Times New Roman"/>
          <w:sz w:val="18"/>
          <w:szCs w:val="18"/>
          <w:color w:val="auto"/>
        </w:rPr>
        <w:t xml:space="preserve">” means a promissory note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event or circumstance that, taken alone or in conjunction with other events or circumstances, has or could be reasonably expected to have a material adverse effect on (a) the business, operations, properties, assets or financial condition of the Borrower and its subsidiaries, taken as a whole, or on the enforceability of any Loan Document, or on the validity, perfection or priority of the liens and security interests of the Administrative Agent on the Collateral securing the Loans and other Obligations taken as a whole; (b) the ability of the Borrower or any Guarantor to perform its obligations under the Loan Documents, including repayment of the amounts due under the Credit Agreement, the other Loan Documents and other indebtedness permitted hereunder; or (c) the rights and remedies of Administrative Agent or the Lenders under the Loan Documents or the ability of the Administrative Agent or the Lenders to enforce or collect the amounts due under the Loan Documents or to realize upon any material portion of the Collateral.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as of any date, Indebtedness (other than Indebtedness under the Loan Documents) or obligations in respect of one or more Swap Agreements, of any one or more of the Loan Parties or any of their Subsidiaries in an aggregate principal amount exceeding the Threshold Amount. For purposes of determining Material Indebtedness, the “principal amount” of the obligations in respect of any Swap Agreement at any time shall be its Swap Termination Value.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(a) with respect to the Revolving Facility, the Revolving Maturity Date, (b) with respect to the Term Loans, the Term Maturity Date, and (c) with respect to any Incremental Term Loan, the applicable Incremental Term Loan Maturity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xml:space="preserve">” means, at any date of determination, the most recently completed four consecutive fiscal quarters of the Borrower ending on or prior to such date for which financial statements have been or are required to be delivered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prior to the first such requirement, the four quarter period ended September 30, 2020. A Measurement Period may be designated by reference to the last day thereof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the December 31, 2020 Measurement Period refers to the period of four consecutive fiscal quarters of the Borrower ended December 31, 2020), and a Measurement Period shall be deemed to end on the last day thereof.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means, with respect to any L/C Obligations at any time, an amount equal to 105% of such L/C Obligations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“MIRE Event</w:t>
      </w:r>
      <w:r>
        <w:rPr>
          <w:rFonts w:ascii="Times New Roman" w:cs="Times New Roman" w:eastAsia="Times New Roman" w:hAnsi="Times New Roman"/>
          <w:sz w:val="18"/>
          <w:szCs w:val="18"/>
          <w:color w:val="auto"/>
        </w:rPr>
        <w:t>” means if there are any Mortgaged Properties at any time, any increase, extension of the maturity or renewal of any of the Commitments or Loans (including any incremental credit facility hereunder, but excluding (i) any continuation or conversion of Borrowings, (ii) the making of any Revolving Loans or (iii) the issuance, renewal or extension of Letters of Credit).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xml:space="preserve">” means each parcel of Owned Real Property, if any, which shall be subject to a Mortgage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as applicable.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“Mortgages</w:t>
      </w:r>
      <w:r>
        <w:rPr>
          <w:rFonts w:ascii="Times New Roman" w:cs="Times New Roman" w:eastAsia="Times New Roman" w:hAnsi="Times New Roman"/>
          <w:sz w:val="18"/>
          <w:szCs w:val="18"/>
          <w:color w:val="auto"/>
        </w:rPr>
        <w:t xml:space="preserve">” means mortgages, deeds of trust, assignments of leases and rents, modifications and other collateral documents delivered pursuant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each in form and substance reasonably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 with respect to any (a) Disposition or Casualty Event by any Loan Party or any of its Subsidiaries, the cash proceeds (including cash proceeds subsequently received (as and when received) in respect of non-cash consideration initially received and including all insurance settlements and condemnation awards from any single event or series of related events) net of the sum, without duplication, of (i) transaction expenses (including reasonable broker’s fees or commissions, legal fees, accounting fees, investment banking fees and other professional fees, transfer and similar taxes and the Borrower’s good faith estimate of income taxes paid or payable in connection with the receipt of such cash proceeds), (ii) amounts set aside as a reserve, in accordance with GAAP, including pursuant to any escrow arrangement, against any liabilities under any indemnification obligations associated with such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such amounts shall constitute Net Cash Proceeds), (iii) in the case of insurance settlements and condemnation awards related to a Casualty Event, amounts previously paid by such Loan Party or such Subsidiary to replace or restore the affected property, and (iv) the principal amount, premium or penalty, if any, interest and other amounts on any Indebtedness for borrowed money which is secured by a Lien on the asset sold in such Disposition which is senior in priority to the Liens securing Secured Obligations and is required to be repaid with such proceeds (other than any such Indebtedness assumed by the purchaser of such asset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(b) with respect to any Debt Incurrence, the cash proceeds thereof, net of all taxes and customary fees, commissions, costs and other expenses (including reasonable broker’s fees or commissions, legal fees, accounting fees, investment banking fees and other professional fees, and discounts and commissions) incurred in connection therewith.</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or all affected Lenders in accordance with the terms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(b) has been approved by the Required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“Non-Loan Party Subsidiary</w:t>
      </w:r>
      <w:r>
        <w:rPr>
          <w:rFonts w:ascii="Times New Roman" w:cs="Times New Roman" w:eastAsia="Times New Roman" w:hAnsi="Times New Roman"/>
          <w:sz w:val="18"/>
          <w:szCs w:val="18"/>
          <w:color w:val="auto"/>
        </w:rPr>
        <w:t>” means any Subsidiary of the Borrower that is not a Loan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“Nonrenewal Notice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2.4(b)(iii)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collectively, the Revolving Loan Notes, the Term Loan Notes and the Swingline Loan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 and any successor thereto.</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non-United States jurisdiction), (b) with respect to any limited liability company, the certificate or articles of formation or organization and operating or limited liability company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“Other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any Loan on any date, the outstanding principal amount thereof after giving effect to any borrowings and prepayments or repayments thereof (including any refinancing of outstanding Unreimbursed Amounts under Letters of Credit or L/C Borrowings as a Revolving Borrowing) occurring on such date, and (b) with respect to any Letter of Credit, Unreimbursed Amount, L/C Borrowing or L/C Obligations on any date, the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Borrowing) or any reductions in the maximum amount available for drawing under related Letters of Credit taking effect on such date.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“Patent Security Agreement</w:t>
      </w:r>
      <w:r>
        <w:rPr>
          <w:rFonts w:ascii="Times New Roman" w:cs="Times New Roman" w:eastAsia="Times New Roman" w:hAnsi="Times New Roman"/>
          <w:sz w:val="18"/>
          <w:szCs w:val="18"/>
          <w:color w:val="auto"/>
        </w:rPr>
        <w: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or Section 430 of the Code or Section 302 or Section 303 of ERISA, and in respect of which any Loan Party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means a perfection certificate in a form acceptable to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“Permitted Acquisitions</w:t>
      </w:r>
      <w:r>
        <w:rPr>
          <w:rFonts w:ascii="Times New Roman" w:cs="Times New Roman" w:eastAsia="Times New Roman" w:hAnsi="Times New Roman"/>
          <w:sz w:val="18"/>
          <w:szCs w:val="18"/>
          <w:color w:val="auto"/>
        </w:rPr>
        <w:t>” means, collectively, each Acquisition which satisfies each of the following conditions:</w:t>
      </w:r>
    </w:p>
    <w:p>
      <w:pPr>
        <w:spacing w:after="0" w:line="225" w:lineRule="exact"/>
        <w:rPr>
          <w:sz w:val="20"/>
          <w:szCs w:val="20"/>
          <w:color w:val="auto"/>
        </w:rPr>
      </w:pPr>
    </w:p>
    <w:p>
      <w:pPr>
        <w:ind w:left="1820" w:hanging="516"/>
        <w:spacing w:after="0"/>
        <w:tabs>
          <w:tab w:leader="none" w:pos="1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before and after giving Pro Forma Effect thereto, no Default shall have occurred and be continuing;</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shall be consensual and, if applicable, has been approved by the Acquisition target’s board of directors (or comparable governing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ind w:left="1812" w:hanging="516"/>
        <w:spacing w:after="0"/>
        <w:tabs>
          <w:tab w:leader="none" w:pos="181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assets or business unit acquired in the Acquisition shall be engaged in an Approved Line of Business;</w:t>
      </w:r>
    </w:p>
    <w:p>
      <w:pPr>
        <w:spacing w:after="0" w:line="225" w:lineRule="exact"/>
        <w:rPr>
          <w:rFonts w:ascii="Times New Roman" w:cs="Times New Roman" w:eastAsia="Times New Roman" w:hAnsi="Times New Roman"/>
          <w:sz w:val="18"/>
          <w:szCs w:val="18"/>
          <w:color w:val="auto"/>
        </w:rPr>
      </w:pPr>
    </w:p>
    <w:p>
      <w:pPr>
        <w:ind w:left="-8" w:firstLine="1304"/>
        <w:spacing w:after="0" w:line="282" w:lineRule="auto"/>
        <w:tabs>
          <w:tab w:leader="none" w:pos="189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and all transactions related thereto shall be consummated in accordance with material laws, ordinances, rules, regulations and requirements of all Governmental Authorities;</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93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actions, if any, required to be taken with respect to such newly created or acquired Subsidiary (including each Subsidiary thereof) or assets in order to satisfy the requirements set forth in the definition of the term “Collateral and Guarantee Requirement” to the extent applicable shall be taken (or arrangements for the taking of such actions reasonably satisfactory to the Administrative Agent shall have been made) within the time frames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19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the Collateral and Guarantee Requirement, (i) the property, assets, businesses and Equity Interests acquired in such Acquisition shall become Collateral and (ii) any newly created or acquired Subsidiary (other than an Excluded Subsidiary) shall become a Subsidiary Guarantor, in each case in accordance with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92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cash consideration (excluding any amounts paid for with equity contributions from any direct or indirect equity holder of any Loan Party or any of its Subsidiaries) paid by any Loan Party or any of its Subsidiaries in connection with all such Acquisitions shall not exceed $5,000,000 in the aggregate during the term of the Credit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cash consideration of Acquisitions of (i) Persons that do not become Guarantors as required pursuant to the “Collateral and Guarantee Requirement” or (ii) assets that are not made part of the Collateral as required pursuant to the “Collateral and Guarantee Requirement” that are acquired by the Borrower or a Guarantor, in each case, will be limited in an aggregate amount not to exceed $500,000;</w:t>
      </w:r>
    </w:p>
    <w:p>
      <w:pPr>
        <w:spacing w:after="0" w:line="187"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189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Pro Forma Effect to such Acquisition and, if applicable, the making of a Credit Extension in connection with such Acquisition, the Consolidated Net Leverage Ratio shall not exceed the lesser of (i) the Consolidated Net Leverage Ratio as of the Closing Date (after giving effect of the initial funding of the Credit Facilities) and (ii) 0.25x lower than the Consolidated Net Leverage Ratio then permitted under </w:t>
      </w:r>
      <w:r>
        <w:rPr>
          <w:rFonts w:ascii="Times New Roman" w:cs="Times New Roman" w:eastAsia="Times New Roman" w:hAnsi="Times New Roman"/>
          <w:sz w:val="18"/>
          <w:szCs w:val="18"/>
          <w:u w:val="single" w:color="auto"/>
          <w:color w:val="auto"/>
        </w:rPr>
        <w:t>Section 7.12(a)</w:t>
      </w:r>
      <w:r>
        <w:rPr>
          <w:rFonts w:ascii="Times New Roman" w:cs="Times New Roman" w:eastAsia="Times New Roman" w:hAnsi="Times New Roman"/>
          <w:sz w:val="18"/>
          <w:szCs w:val="18"/>
          <w:color w:val="auto"/>
        </w:rPr>
        <w:t xml:space="preserve"> of this Credit Agreement for the most recently ended fiscal quarter (or Fiscal Year) for which financial statements were required to be delivered pursuant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as applicable;</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177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10 Business Days (or such shorter period as may be reasonably practicable, if approved by the Administrative Agent) prior to the consummation of any such Acquisition that is not funded solely with equity contributions, except with respect to an Acquisition in which the cash acquisition consideration is less than $2,500,000, the Borrower shall have delivered to the Administrative Agent (i) a description of the proposed Acquisition, (ii) to the extent obtained and available, a quality of earnings report and (iii) to the extent reasonably requested by the Administrative Agent,</w:t>
      </w:r>
    </w:p>
    <w:p>
      <w:pPr>
        <w:spacing w:after="0" w:line="2"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environmental assessments and (B) financial statements for the Borrower including the Acquisition target on a Pro Forma Basis;</w:t>
      </w:r>
    </w:p>
    <w:p>
      <w:pPr>
        <w:spacing w:after="0" w:line="206"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8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cash purchase price of any such Acquisition is not funded solely with equity contributions, the Borrower shall have delivered to the Administrative Agent within five Business Days after the Acquisition, fully executed copies of the acquisition agreements for such Acquisition together with all schedules thereto, and, to the extent required to be obtained under the terms of the acquisition agreements for such Acquisition, the applicable party under such acquisition agreements shall have received all required regulatory and third party approvals;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74" w:name="page75"/>
    <w:bookmarkEnd w:id="74"/>
    <w:p>
      <w:pPr>
        <w:ind w:left="-460" w:right="560" w:firstLine="644"/>
        <w:spacing w:after="0" w:line="500" w:lineRule="auto"/>
        <w:tabs>
          <w:tab w:leader="none" w:pos="71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unused availability under the Revolving Facility shall be least $2,500,000 after giving Pro Forma Effect to the Acquisition.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 w:lineRule="exact"/>
        <w:rPr>
          <w:sz w:val="20"/>
          <w:szCs w:val="20"/>
          <w:color w:val="auto"/>
        </w:rPr>
      </w:pPr>
    </w:p>
    <w:p>
      <w:pPr>
        <w:ind w:left="-1120" w:firstLine="1304"/>
        <w:spacing w:after="0" w:line="282" w:lineRule="auto"/>
        <w:tabs>
          <w:tab w:leader="none" w:pos="7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imposed by law for taxes, assessments or other governmental charges that are not yet due or are being Contested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enforcement of such Liens is stayed pending such contest;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landlords’, vendors’, carriers’, warehousemen’s, mechanics’, materialmen’s, repairmen’s and other like Liens imposed by law, arising in the ordinary course of business and securing obligations that are not overdue by more than 30 days or are being Contested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enforcement of such Liens is stayed pending such contest;</w:t>
      </w:r>
    </w:p>
    <w:p>
      <w:pPr>
        <w:spacing w:after="0" w:line="175" w:lineRule="exact"/>
        <w:rPr>
          <w:rFonts w:ascii="Times New Roman" w:cs="Times New Roman" w:eastAsia="Times New Roman" w:hAnsi="Times New Roman"/>
          <w:sz w:val="18"/>
          <w:szCs w:val="18"/>
          <w:color w:val="auto"/>
        </w:rPr>
      </w:pPr>
    </w:p>
    <w:p>
      <w:pPr>
        <w:ind w:left="-1120" w:firstLine="1304"/>
        <w:spacing w:after="0" w:line="282" w:lineRule="auto"/>
        <w:tabs>
          <w:tab w:leader="none" w:pos="9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compliance with workers’ compensation, unemployment insurance and other social security laws or regulations;</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0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(other than contracts for the payment of money), leases (other than Finance Lease Obligations), statutory obligations, surety and appeal bonds, performance bonds and other obligations of a like nature, in each case incurred in the ordinary course of business;</w:t>
      </w:r>
    </w:p>
    <w:p>
      <w:pPr>
        <w:spacing w:after="0" w:line="175" w:lineRule="exact"/>
        <w:rPr>
          <w:rFonts w:ascii="Times New Roman" w:cs="Times New Roman" w:eastAsia="Times New Roman" w:hAnsi="Times New Roman"/>
          <w:sz w:val="18"/>
          <w:szCs w:val="18"/>
          <w:color w:val="auto"/>
        </w:rPr>
      </w:pPr>
    </w:p>
    <w:p>
      <w:pPr>
        <w:ind w:left="700" w:hanging="516"/>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judgment liens in respect of judgments that do not constitute an Event of Default under </w:t>
      </w:r>
      <w:r>
        <w:rPr>
          <w:rFonts w:ascii="Times New Roman" w:cs="Times New Roman" w:eastAsia="Times New Roman" w:hAnsi="Times New Roman"/>
          <w:sz w:val="18"/>
          <w:szCs w:val="18"/>
          <w:u w:val="single" w:color="auto"/>
          <w:color w:val="auto"/>
        </w:rPr>
        <w:t>Section 8.1(k)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6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 of way and similar encumbrances on real property imposed by law or arising in the ordinary course of business that do not secure any monetary obligation and do not materially detract from the value of the affected property or interfere with the ordinary conduct of business of the Loan Parties and their respective Subsidiaries;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7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or title of a licensor, sublicensor, lessor or sublessor with respect to any assets under any license or lease agreement entered into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same do not in any material respect interfere with the business of the Loan Parties or their Subsidiaries or materially detract from the value of the relevant assets of the Loan Parties or its Subsidiaries;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7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licenses, sublicenses, leases or subleases with respect to any assets granted to third Persons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same do not in any material respect interfere with the business of the Loan Parties or their Subsidiaries or materially detract from the value of the relevant assets of the Loan Parties or their Subsidiaries;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71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rights of set off, bankers’ liens, refunds or charge backs, under deposit agreements, the Uniform Commercial Code or common law, of banks or other financial institutions where any Loan Party or any of such Loan Party’s Subsidiaries maintains deposits (other than deposits intended as cash collateral) in the ordinary course of business;</w:t>
      </w:r>
    </w:p>
    <w:p>
      <w:pPr>
        <w:spacing w:after="0" w:line="175" w:lineRule="exact"/>
        <w:rPr>
          <w:rFonts w:ascii="Times New Roman" w:cs="Times New Roman" w:eastAsia="Times New Roman" w:hAnsi="Times New Roman"/>
          <w:sz w:val="18"/>
          <w:szCs w:val="18"/>
          <w:color w:val="auto"/>
        </w:rPr>
      </w:pPr>
    </w:p>
    <w:p>
      <w:pPr>
        <w:ind w:left="660" w:hanging="476"/>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to the extent that a prohibition on such Liens would violate Regulation U;</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on earnest money deposits made in cash by the Borrower or any of its Subsidiaries in connection with any letter of intent or purchase agreement in connection with a Permitted Acquisition or other Investment permitted under this Credit Agreement or (ii) on amounts deposited as “security deposits” (or their equivalent) in the ordinary course of business in connection with actions or transactions not prohibited by this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75" w:name="page76"/>
    <w:bookmarkEnd w:id="75"/>
    <w:p>
      <w:pPr>
        <w:ind w:right="20" w:firstLine="1304"/>
        <w:spacing w:after="0" w:line="282" w:lineRule="auto"/>
        <w:tabs>
          <w:tab w:leader="none" w:pos="178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in the ordinary course of business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the filing of precautionary UCC-1 financing statements (or equivalent) with respect to operating leases;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by any Loan Party or any of its Subsidiaries in the ordinary course of business;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82" w:lineRule="auto"/>
        <w:tabs>
          <w:tab w:leader="none" w:pos="18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imposed by law in connection with the purchase or shipping of goods or assets (or the related assets and proceeds thereof), which Liens are in favor of the seller or shipper of such goods or assets and only attach to such goods or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 shall not include any Lien securing Indebtedness.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means DebtX, Debt Domain, Intralinks, Syndtrak or a substantially similar electronic transmission system.</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a rate per annum equal to the prime rate of interest announced from time to time by Citizens Bank or its parent company (which is not necessarily the lowest rate charged to any customer), changing when and as said prime rate changes.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 Forma Balance Sheet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means, with respect to any transaction, that such transaction shall be deemed to have occurred as of the first day of the four-quarter period (or twelve month period, as applicable) ending as of the most recent quarter end (or month end, as applicable) preceding the date of such transaction for which financial statement information is available. Each of the terms “</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shall have an analogous meaning.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with respect to the Equity Interests of any Person, any Equity Interests other than Disqualified Equity Interests of such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right, title and interest in and to any and all parcels of or interests in real property owned or leased by any Person, together with, in each case, all easements, hereditaments and appurtenances relating thereto, all improvements and appurtenant fixtures and equipment, all general intangibles and contract rights and other property and rights incidental to the ownership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or the L/C Issuer, as applicable.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means Indebtedness of any Loan Party or its Subsidiaries arising after the Closing Date issued in exchange for, or the proceeds of which are used to extend, refinance, refund, replace, renew, continue or substitute for other Indebtedness (such extended, refinanced, refunded, replaced, renewed, continued or substituted Indebtedness, the “</w:t>
      </w:r>
      <w:r>
        <w:rPr>
          <w:rFonts w:ascii="Times New Roman" w:cs="Times New Roman" w:eastAsia="Times New Roman" w:hAnsi="Times New Roman"/>
          <w:sz w:val="18"/>
          <w:szCs w:val="18"/>
          <w:u w:val="single" w:color="auto"/>
          <w:color w:val="auto"/>
        </w:rPr>
        <w:t>Refinanced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of such Refinancing Indebtedness shall not exceed the principal amount of the Refinanced Obligations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interest capitalized in connection with such Refinanced Obligations, the amount of prepayment premium, if any, original issue discount, if any, and reasonable fees, costs, and expenses incurred in connection therewith), (b) such Refinancing Indebtedness shall have a final maturity that is no earlier than the final maturity date of such Refinanced Obligations, (c) such Refinancing Indebtedness shall have a Weighted Average Life to Maturity not less than the weighted average life to maturity of the Refinanced Obligations, (d) such Refinancing Indebtedness shall rank in right of payment no more senior than, and be subordinated (if subordinated) to the Secured Obligations on terms, taken as a whole, not materially less favorable to the Secured Parties than the Refinanced Obligations, (e) as of the date of incurring such Refinancing Indebtedness and after giving effect thereto, no Default shall exist or have occurred and be continuing, (f) if the Refinanced Obligations or any Guarantees thereof are unsecured, such Refinancing Indebtedness and any Guarantees thereof shall be unsecured, (g) if the Refinanced Obligations or any Guarantees thereof are secured, (1) such Refinancing Indebtedness and any Guarantees thereof shall be secured by substantially the same or less collateral, taken as a whole, as secured such Refinanced Obligations or any Guarantees thereof, on terms, taken as a whole, not materially less favorable to the Secured Parties and (2) the Liens to secure such Refinancing Indebtedness shall not have a priority, taken as a whole, more senior than the Liens securing the Refinanced Obligations and if subordinated to any other Liens on such property, shall be subordinated, taken as a whole, to the Administrative Agent’s Liens on terms and conditions, taken as a whole, not materially less favorable to the Secured Parties, (h) the obligors in respect of the Refinanced Obligations immediately prior to such refinancing, refunding, extending, renewing, continuing, substituting or replacing thereof shall be the only obligors on such Refinancing Indebtedness, and (i) the terms and conditions (excluding as to pricing, premiums and optional prepayment or redemption provisions) of any such Refinancing Indebtedness, taken as a whole, are not materially less favorable to the Loan Parties than the terms and conditions of the Refinanced Obligations.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“Regulation T, U or X</w:t>
      </w:r>
      <w:r>
        <w:rPr>
          <w:rFonts w:ascii="Times New Roman" w:cs="Times New Roman" w:eastAsia="Times New Roman" w:hAnsi="Times New Roman"/>
          <w:sz w:val="18"/>
          <w:szCs w:val="18"/>
          <w:color w:val="auto"/>
        </w:rPr>
        <w:t>” means Regulation T, U or X, respectively, of the Federal Reserve Board.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members, directors, officers, employees, agents, trustees, administrators, managers, advisors, attorneys-in-fact and representatives of such Person and of such Person’s Affiliates.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actual or threatened releasing, spilling, leaking, pumping, pouring, leaching, seeping, emitting, migration, emptying, discharging, injecting, escaping, depositing, disposing, or dumping of Hazardous Materials into the indoor or outdoor environment, including the movement of any Hazardous Material through the air, soil, surface water, groundwater or property and any other conditions resulting in potential or actual human exposure to Hazardous Materials within a structure.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or the Federal Reserve Bank of New York, or a committee officially endorsed or convened by the Federal Reserve Board and/or the Federal Reserve Bank of New York.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9.6(b)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Loans (other than Swingline Loans), a Committed Loan Notice, (b) with respect to a L/C Credit Extension, a Letter of Credit Application, and (c) with respect to a Swingline Loan, a Swingline Loan Notice.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two or more unaffiliated Lenders having Total Credit Exposures representing more than 50% of the Total Credit Exposures of all Lenders. The Total Credit Exposure of any Defaulting Lender shall be disregarded in determining Required Lenders at any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vice president, chief financial officer, treasurer, assistant treasurer, or other similar officer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as to any Person, (a) any dividend or other distribution by such Person (whether in cash, securities or other property) with respect to any Equity Interests of such Person, (b) any payment (whether in cash, securities or other property), including any sinking fund or similar deposit, on account of the purchase, redemption, retirement, defeasance, acquisition, cancellation or termination of any such Equity Interest, or on account of any return of capital to the holders of Equity Interests of such Person, (c) the acquisition for value by such Person of any Equity Interests issued by such Person or any other Person that Controls such Person, (d) any payment with respect to any Earn-out Obligation, and (e) with respect to clauses (a) through (d) any transaction that has a substantially similar effect.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means a Borrowing consisting of Revolving Loans of the same Type made, converted or continued on the same date and, in the case of SOFR Loans, as to which a single Interest Period is in effect.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with respect to each Revolving Lender, the commitment hereunder of such Revolving Lender to make Revolving Loans and to acquire participations in Letters of Credit and Swingline Loans in an aggregate outstanding amount not exceeding the amount of such Revolving Lender’s Revolving Commitment as set forth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or in the Assignment and Assumption pursuant to which such Revolving Lender shall have assumed its Revolving Commitment in accordance with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as applicable, as such Revolving Commitment may be adjusted from time to time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pursuant to assignments by or to such Revolving Lender pursuant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The initial aggregate amount of the Revolving Commitments on the Agreement Date is $25,000,000.</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xml:space="preserve">” means, as to any Lender at any time, the sum of (a) the Outstanding Amount of its Revolving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its L/C Exposure,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its Swingline Exposure.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the credit facility established hereunder and evidenced by the Revolving Commitments.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 Lender having a Revolving Commitment or, if the Revolving Commitments have expired or terminated, having Revolving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means a loan referred to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made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“Revolving Loan Note</w:t>
      </w:r>
      <w:r>
        <w:rPr>
          <w:rFonts w:ascii="Times New Roman" w:cs="Times New Roman" w:eastAsia="Times New Roman" w:hAnsi="Times New Roman"/>
          <w:sz w:val="18"/>
          <w:szCs w:val="18"/>
          <w:color w:val="auto"/>
        </w:rPr>
        <w:t xml:space="preserve">” means with respect to a Revolving Lender, a promissory note evidencing the Revolving Loans of such Lender payable to the order of such Lender (or, if required by such Lender, to such Lender and its registered assigns) substantially in the form of </w:t>
      </w:r>
      <w:r>
        <w:rPr>
          <w:rFonts w:ascii="Times New Roman" w:cs="Times New Roman" w:eastAsia="Times New Roman" w:hAnsi="Times New Roman"/>
          <w:sz w:val="18"/>
          <w:szCs w:val="18"/>
          <w:u w:val="single" w:color="auto"/>
          <w:color w:val="auto"/>
        </w:rPr>
        <w:t>Exhibit C-1.</w:t>
      </w:r>
    </w:p>
    <w:p>
      <w:pPr>
        <w:spacing w:after="0" w:line="162" w:lineRule="exact"/>
        <w:rPr>
          <w:sz w:val="20"/>
          <w:szCs w:val="20"/>
          <w:color w:val="auto"/>
        </w:rPr>
      </w:pPr>
    </w:p>
    <w:p>
      <w:pPr>
        <w:jc w:val="both"/>
        <w:ind w:firstLine="648"/>
        <w:spacing w:after="0" w:line="199" w:lineRule="auto"/>
        <w:rPr>
          <w:sz w:val="20"/>
          <w:szCs w:val="20"/>
          <w:color w:val="auto"/>
        </w:rPr>
      </w:pPr>
      <w:r>
        <w:rPr>
          <w:rFonts w:ascii="Times New Roman" w:cs="Times New Roman" w:eastAsia="Times New Roman" w:hAnsi="Times New Roman"/>
          <w:sz w:val="18"/>
          <w:szCs w:val="18"/>
          <w:u w:val="single" w:color="auto"/>
          <w:color w:val="auto"/>
        </w:rPr>
        <w:t>“Revolving Maturity Date</w:t>
      </w:r>
      <w:r>
        <w:rPr>
          <w:rFonts w:ascii="Times New Roman" w:cs="Times New Roman" w:eastAsia="Times New Roman" w:hAnsi="Times New Roman"/>
          <w:sz w:val="18"/>
          <w:szCs w:val="18"/>
          <w:color w:val="auto"/>
        </w:rPr>
        <w:t>” means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day is not a Business Day, the Revolving Maturity Date shall be the Business Day immediately preceding such day.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“Sale and Leaseback</w:t>
      </w:r>
      <w:r>
        <w:rPr>
          <w:rFonts w:ascii="Times New Roman" w:cs="Times New Roman" w:eastAsia="Times New Roman" w:hAnsi="Times New Roman"/>
          <w:sz w:val="18"/>
          <w:szCs w:val="18"/>
          <w:color w:val="auto"/>
        </w:rPr>
        <w:t>” means any transaction or series of related transactions pursuant to which any Loan Party or any of its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territory or region which is itself the subject or target of any comprehensive Sanctions (including Cuba, Iran, North Korea, Syria, and the so-called Donetsk People’s Republic, the so-called Luhansk People’s Republic, and Crimea regions of Ukraine).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any Person or group listed in any Sanctions related list of designated Persons maintained by OFAC, including the List of Specially Designated Nationals and Blocked Persons, or the U.S. Department of State, the United Nations Security Council, the European Union or any EU member state, (b) any Person subject to any law that would prohibit all or substantially all financial or other transactions with that Person or would require that assets of that Person that come into the possession of a third-party be blocked (c) any legal entity organized or domiciled in a Sanctioned Country, (d) any agency, political subdivision or instrumentality of the government of a Sanctioned Country, (e) any natural person ordinarily resident in a Sanctioned Country, or (f) any Person 50% or more owned, directly or indirectly, individually or in the aggregate by any of the above.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any European Union member state, Her Majesty’s Treasury of the United Kingdom or other relevant sanctions authority.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“Secured Obligation Designation Notice</w:t>
      </w:r>
      <w:r>
        <w:rPr>
          <w:rFonts w:ascii="Times New Roman" w:cs="Times New Roman" w:eastAsia="Times New Roman" w:hAnsi="Times New Roman"/>
          <w:sz w:val="18"/>
          <w:szCs w:val="18"/>
          <w:color w:val="auto"/>
        </w:rPr>
        <w:t xml:space="preserve">” means a notice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executed and delivered to the Administrative Agent by a counterparty (other than the Administrative Agent and its Affiliates) to a Swap Agreement or an agreement to provide Cash Management Services in order that the obligations in respect thereof constitute Swap Agreement Obligations or Cash Management Obligations.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collectively, (a) the Loan Document Obligations, (b) the Cash Management Obligations, (c) the Swap Agreement Obligations and (d) the Erroneous Payment Subrogation Rights.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collectively, (a) the Administrative Agent, (b) each Lender, (c) each L/C Issuer, (d) each Person to whom any Cash Management Obligations are owed, (e) each counterparty to any Swap Agreement the obligations under which constitute Swap Agreement Obligations, (f) the beneficiaries of each indemnification obligation undertaken by any Loan Party under any Loan Document and (g) the permitted successors and assigns of each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the Pledge and Security Agreement, dated as of the Closing Date, among the Loan Parties and the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published by the SOFR Administrator on the website of the SOFR Administrator, currently at http//www.newyorkfed.org (or any successor source for the secured overnight financing rate identified as such by the SOFR Administrator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means, as to any Borrowing, the SOFR Loans comprising such Borrowing.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means a Loan that bears interest at a rate based on Term SOFR, other than pursuant to clause (c) of the definition of “Alternate Base Rate” or the definition of “Daily SOFR Rate”.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means any Person or any property or assets constituting a line of business or a division of a Person Disposed of in a transaction permitted hereunder by the Borrower or any of its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mean, with respect to any Person on any date of determination, that on such date (a) the fair value of the present assets of such Person and its Subsidiaries, taken as a whole, is not less than the sum of the debt (including contingent liabilities) of such Person and its Subsidiaries, taken as a whole, (b) the present fair salable value of the assets of such Person and its Subsidiaries, taken as a whole, is not less than the amount that will be required to pay the probable liabilities (including contingent liabilities) of such Person and its Subsidiaries, taken as a whole, on their debts as they become absolute and matured, (c) the capital of such Person and its Subsidiaries, taken as a whole, is not unreasonably small in relation to the business of such Person or its Subsidiaries, taken as a whole, contemplated as of such date and (d) such Person and its Subsidiaries, taken as a whole, do not intend to incur, or believe that they will incur, debts (including current obligations and contingent liabilities) beyond their ability to pay such debts as they mature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xml:space="preserve">” means any Investment, Disposition, incurrence or repayment of Indebtedness, Restricted Payment, Incremental Term Loan or Incremental Revolving Commitments that by the terms of this Credit Agreement requires a test to be calculated on a “Pro Forma Basis”, be given in “Pro Forma Compliance” with, or after giving “Pro Forma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increase in the Revolving Commitments above the amount of Revolving Commitments in effect on the Closing Date, for purposes of this definition, shall be deemed to be fully drawn.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“Subordinated Debt</w:t>
      </w:r>
      <w:r>
        <w:rPr>
          <w:rFonts w:ascii="Times New Roman" w:cs="Times New Roman" w:eastAsia="Times New Roman" w:hAnsi="Times New Roman"/>
          <w:sz w:val="18"/>
          <w:szCs w:val="18"/>
          <w:color w:val="auto"/>
        </w:rPr>
        <w:t>” means Indebtedness incurred by a Loan Party that is subordinated in right of payment to the prior payment of the Loan Document Obligations of such Loan Party and contains subordination and other terms acceptable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“Subordinated Debt Documents</w:t>
      </w:r>
      <w:r>
        <w:rPr>
          <w:rFonts w:ascii="Times New Roman" w:cs="Times New Roman" w:eastAsia="Times New Roman" w:hAnsi="Times New Roman"/>
          <w:sz w:val="18"/>
          <w:szCs w:val="18"/>
          <w:color w:val="auto"/>
        </w:rPr>
        <w:t>” means any agreement, indenture or instrument pursuant to which any Subordinated Debt is issued, in each case as amended to the extent permitted under the Loan Documents.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w:t>
      </w:r>
      <w:r>
        <w:rPr>
          <w:rFonts w:ascii="Times New Roman" w:cs="Times New Roman" w:eastAsia="Times New Roman" w:hAnsi="Times New Roman"/>
          <w:sz w:val="18"/>
          <w:szCs w:val="18"/>
          <w:u w:val="single" w:color="auto"/>
          <w:color w:val="auto"/>
        </w:rPr>
        <w:t>Topco</w:t>
      </w:r>
      <w:r>
        <w:rPr>
          <w:rFonts w:ascii="Times New Roman" w:cs="Times New Roman" w:eastAsia="Times New Roman" w:hAnsi="Times New Roman"/>
          <w:sz w:val="18"/>
          <w:szCs w:val="18"/>
          <w:color w:val="auto"/>
        </w:rPr>
        <w:t>”), as of any date, any corporation, limited liability company, partnership, association or other entity the accounts of which would be consolidated with those of Topco in Topco’s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is or, in the case of a partnership, more than 50% of the general partnership interests are, as of such date, owned, controlled or held by Topco or one or more subsidiaries of Topco.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or indirect subsidiary of the Borrower or a Loan Party, as the context may require.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means each Subsidiary that executes and delivers the Guarantee Agreement and each other Domestic Subsidiary of the Borrower that becomes party thereto in by the execution and delivery of a Subsidiary Joinder Agreement, and the permitted successors and assigns of each such Person.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“Subsidiary Joinder Agreement</w:t>
      </w:r>
      <w:r>
        <w:rPr>
          <w:rFonts w:ascii="Times New Roman" w:cs="Times New Roman" w:eastAsia="Times New Roman" w:hAnsi="Times New Roman"/>
          <w:sz w:val="18"/>
          <w:szCs w:val="18"/>
          <w:color w:val="auto"/>
        </w:rPr>
        <w:t xml:space="preserve">” means a Subsidiary Joinder Agreement,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pursuant to which a Subsidiary (other than an Excluded Subsidiary) becomes a party to the Guarantee Agreement, to the Security Agreement and to each other applicable Loan Document.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“Swap Agreement Obligations</w:t>
      </w:r>
      <w:r>
        <w:rPr>
          <w:rFonts w:ascii="Times New Roman" w:cs="Times New Roman" w:eastAsia="Times New Roman" w:hAnsi="Times New Roman"/>
          <w:sz w:val="18"/>
          <w:szCs w:val="18"/>
          <w:color w:val="auto"/>
        </w:rPr>
        <w:t xml:space="preserve">” means all obligations of the Loan Parties under each Swap Agreement to which any Loan Party or its Subsidiary is a party and that that (a) is with a counterparty that is the Administrative Agent or any of its Affiliates, (b) is in effect on the Closing Date with a counterparty that is a Lender or an Affiliate of a Lender as of the Closing Date or (c) is entered into after the Closing Date with any counterparty that is a Lender or an Affiliate of a Lender at the time such Swap Agreement is entered into or becomes a Lender or an Affiliate of a Lender after it has entered into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counterparty (other than the Administrative Agent or its Affiliates) executes and delivers a Secured Obligation Designation Notice to the Administrative Agent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Swap Agreement Obligations shall not include, with respect to any Guarantor, Excluded CEA Swap Obligations of such Guarantor.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a Lender or any Affiliate of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with respect to any Revolving Lender at any time, its Applicable Percentage of the Outstanding Amount of the Swingline Loans.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Citizens Bank in its capacity as lender of Swingline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means a loan referred to and made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“Swingline Loan Note</w:t>
      </w:r>
      <w:r>
        <w:rPr>
          <w:rFonts w:ascii="Times New Roman" w:cs="Times New Roman" w:eastAsia="Times New Roman" w:hAnsi="Times New Roman"/>
          <w:sz w:val="18"/>
          <w:szCs w:val="18"/>
          <w:color w:val="auto"/>
        </w:rPr>
        <w:t xml:space="preserve">” means with respect to the Swingline Lender, a promissory note evidencing the Swingline Loans of such Lender payable to the order of such Lender (or, if required by such Lender, to such Lender and its registered assigns) substantially in the form of </w:t>
      </w:r>
      <w:r>
        <w:rPr>
          <w:rFonts w:ascii="Times New Roman" w:cs="Times New Roman" w:eastAsia="Times New Roman" w:hAnsi="Times New Roman"/>
          <w:sz w:val="18"/>
          <w:szCs w:val="18"/>
          <w:u w:val="single" w:color="auto"/>
          <w:color w:val="auto"/>
        </w:rPr>
        <w:t>Exhibit C-3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“Swingline Loan Notice</w:t>
      </w:r>
      <w:r>
        <w:rPr>
          <w:rFonts w:ascii="Times New Roman" w:cs="Times New Roman" w:eastAsia="Times New Roman" w:hAnsi="Times New Roman"/>
          <w:sz w:val="18"/>
          <w:szCs w:val="18"/>
          <w:color w:val="auto"/>
        </w:rPr>
        <w:t xml:space="preserve">” means a notice of a Swingline Borrowing pursuant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“Swingline Sublimit</w:t>
      </w:r>
      <w:r>
        <w:rPr>
          <w:rFonts w:ascii="Times New Roman" w:cs="Times New Roman" w:eastAsia="Times New Roman" w:hAnsi="Times New Roman"/>
          <w:sz w:val="18"/>
          <w:szCs w:val="18"/>
          <w:color w:val="auto"/>
        </w:rPr>
        <w:t>” means $10,000,000. The Swingline Sublimit is a sublimit of the Revolving Commitments.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“Synthetic Debt</w:t>
      </w:r>
      <w:r>
        <w:rPr>
          <w:rFonts w:ascii="Times New Roman" w:cs="Times New Roman" w:eastAsia="Times New Roman" w:hAnsi="Times New Roman"/>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at any time of determination under (i) a so called synthetic, off balance sheet or tax retention lease, or (ii) an agreement for the use or possession of property, in each case, creating obligations that do not appear on the balance sheet of such Person but which could be characterized as the indebtedness of such Person (without regard to accounting treatment) (other than operating leases arising as a result of Sale and Leaseback transactions).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“Term Facility</w:t>
      </w:r>
      <w:r>
        <w:rPr>
          <w:rFonts w:ascii="Times New Roman" w:cs="Times New Roman" w:eastAsia="Times New Roman" w:hAnsi="Times New Roman"/>
          <w:sz w:val="18"/>
          <w:szCs w:val="18"/>
          <w:color w:val="auto"/>
        </w:rPr>
        <w:t>” means, the credit facility evidenced by the Term Loan Commitment. Unless the context shall otherwise require, the term “Term Facility” shall include Incremental Term Facilities.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 Lender with a Term Loan Commitment or, if the Term Loan Commitments have expired or terminated, outstanding Term Loans. Unless the context shall otherwise require, the term “Term Lenders” shall include Incremental Term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xml:space="preserve">” means a loan referred to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made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Unless the context shall otherwise require, the term “Term Loans” shall include any Incremental Term Loans.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“Term Loan Borrowing</w:t>
      </w:r>
      <w:r>
        <w:rPr>
          <w:rFonts w:ascii="Times New Roman" w:cs="Times New Roman" w:eastAsia="Times New Roman" w:hAnsi="Times New Roman"/>
          <w:sz w:val="18"/>
          <w:szCs w:val="18"/>
          <w:color w:val="auto"/>
        </w:rPr>
        <w:t>” means a Borrowing consisting of Term Loans of the same Type made, converted or continued on the same date and, in the case of SOFR Loans, as to which a single Interest Period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“Term Loan Commitment</w:t>
      </w:r>
      <w:r>
        <w:rPr>
          <w:rFonts w:ascii="Times New Roman" w:cs="Times New Roman" w:eastAsia="Times New Roman" w:hAnsi="Times New Roman"/>
          <w:sz w:val="18"/>
          <w:szCs w:val="18"/>
          <w:color w:val="auto"/>
        </w:rPr>
        <w:t xml:space="preserve">” means, with respect to each Term Lender, the commitment of such Term Lender to make a single Term Loan on the Closing Date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in an amount not exceeding the amount of such Term Lender’s Term Loan Commitment as set forth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or in the Assignment and Assumption pursuant to which such Term Lender shall have assumed its Term Loan Commitment, in accordance with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as applicable, as such Term Loan Commitment may be adjusted from time to time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pursuant to assignments by or to such Term Lender pursuant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The aggregate amount of the Term Loan Commitments on the Agreement Date is $40,000,000. Unless the context shall otherwise require, after the effectiveness of any Incremental Term Loan Commitment, the term “Term Loan Commitment” shall include such Incremental Term Loan Commitment.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“Term Loan Note</w:t>
      </w:r>
      <w:r>
        <w:rPr>
          <w:rFonts w:ascii="Times New Roman" w:cs="Times New Roman" w:eastAsia="Times New Roman" w:hAnsi="Times New Roman"/>
          <w:sz w:val="18"/>
          <w:szCs w:val="18"/>
          <w:color w:val="auto"/>
        </w:rPr>
        <w:t xml:space="preserve">” means with respect to a Term Lender, a promissory note evidencing the Term Loans of such Lender payable to the order of such Lender (or, if required by such Lender, to such Lender and its registered assigns) substantially in the form of </w:t>
      </w:r>
      <w:r>
        <w:rPr>
          <w:rFonts w:ascii="Times New Roman" w:cs="Times New Roman" w:eastAsia="Times New Roman" w:hAnsi="Times New Roman"/>
          <w:sz w:val="18"/>
          <w:szCs w:val="18"/>
          <w:u w:val="single" w:color="auto"/>
          <w:color w:val="auto"/>
        </w:rPr>
        <w:t>Exhibit C-2.</w:t>
      </w:r>
    </w:p>
    <w:p>
      <w:pPr>
        <w:spacing w:after="0" w:line="162" w:lineRule="exact"/>
        <w:rPr>
          <w:sz w:val="20"/>
          <w:szCs w:val="20"/>
          <w:color w:val="auto"/>
        </w:rPr>
      </w:pPr>
    </w:p>
    <w:p>
      <w:pPr>
        <w:jc w:val="both"/>
        <w:ind w:firstLine="648"/>
        <w:spacing w:after="0" w:line="199" w:lineRule="auto"/>
        <w:rPr>
          <w:sz w:val="20"/>
          <w:szCs w:val="20"/>
          <w:color w:val="auto"/>
        </w:rPr>
      </w:pPr>
      <w:r>
        <w:rPr>
          <w:rFonts w:ascii="Times New Roman" w:cs="Times New Roman" w:eastAsia="Times New Roman" w:hAnsi="Times New Roman"/>
          <w:sz w:val="18"/>
          <w:szCs w:val="18"/>
          <w:u w:val="single" w:color="auto"/>
          <w:color w:val="auto"/>
        </w:rPr>
        <w:t>“Term Maturity Date</w:t>
      </w:r>
      <w:r>
        <w:rPr>
          <w:rFonts w:ascii="Times New Roman" w:cs="Times New Roman" w:eastAsia="Times New Roman" w:hAnsi="Times New Roman"/>
          <w:sz w:val="18"/>
          <w:szCs w:val="18"/>
          <w:color w:val="auto"/>
        </w:rPr>
        <w:t>” means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day is not a Business Day, the Term Maturity Date shall be the Business Day immediately preceding such day.</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a rate per annum equal to the greater of (a) the sum of (i)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xml:space="preserve">”) that is two (2) Government Securities Business Days prior to the first day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Government Securities Business Day for which such Term SOFR Reference Rate for such tenor was published by the Term SOFR Administrator so long as such first preceding Government Securities Business Day is not more than three (3) Government Securities Business Days prior to such Term SOFR Determination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Term SOFR Adjustment, and (b) the Floor.</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“Term SOFR Adjustment</w:t>
      </w:r>
      <w:r>
        <w:rPr>
          <w:rFonts w:ascii="Times New Roman" w:cs="Times New Roman" w:eastAsia="Times New Roman" w:hAnsi="Times New Roman"/>
          <w:sz w:val="18"/>
          <w:szCs w:val="18"/>
          <w:color w:val="auto"/>
        </w:rPr>
        <w:t>” means (a) with respect to an Interest Period of one month, 0.10000%, (b) with respect to an Interest Period of three months, 0.15000% and (c) with respect to an Interest Period of six months, 0.25000%.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 published by the Term SOFR Administrator and displayed on CME’s Market Data Platform (or other commercially available source providing such quotations as may be selected by the Administrative Agent from time to time).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date upon which all Commitments have terminated, no Letters of Credit are outstanding (or if Letters of Credit remain outstanding, the same are Backstopped), and the Loans and L/C Obligations (other than with respect to the undrawn portion of outstanding Letters of Credit), together with all interest and fees related thereto and other Loan Document Obligations (other than unasserted contingent indemnification and unasserted expense reimbursement obligations in each case not yet due and payable), have been indefeasibly paid in full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$2,500,000.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unused Commitments, Revolving Exposure and outstanding Term Loans of such Lender at such time.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“Total Revolving Outstandings</w:t>
      </w:r>
      <w:r>
        <w:rPr>
          <w:rFonts w:ascii="Times New Roman" w:cs="Times New Roman" w:eastAsia="Times New Roman" w:hAnsi="Times New Roman"/>
          <w:sz w:val="18"/>
          <w:szCs w:val="18"/>
          <w:color w:val="auto"/>
        </w:rPr>
        <w:t>” means at any time, the aggregate Outstanding Amount of all Revolving Loans, Swingline Loans and L/C Obligations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“Trademark Security Agreement</w:t>
      </w:r>
      <w:r>
        <w:rPr>
          <w:rFonts w:ascii="Times New Roman" w:cs="Times New Roman" w:eastAsia="Times New Roman" w:hAnsi="Times New Roman"/>
          <w:sz w:val="18"/>
          <w:szCs w:val="18"/>
          <w:color w:val="auto"/>
        </w:rPr>
        <w:t>” has the meaning set forth in the Security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any fees, premiums, expenses or other costs incurred or paid by the Borrower, or any Subsidiary in connection with the Transactions, this Credit Agreement and the other Loan Documents and the transactions contemplated hereby and thereby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 the execution, delivery and performance by each Loan Party of each Loan Document to which it is a party, (b) the borrowing of the Loans and the issuance of the Letters of Credit, (c) the use of the proceeds of the Loans and the Letters of Credit, (d) the satisfaction of the Collateral and Guarantee Requirement, (e) the Existing Credit Agreement Refinancing and (f) the payment of Transaction Expenses.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Term SOFR or the Alternate Base Rate.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means the Form 10-Q containing the unaudited consolidated balance sheets and related statements of income, comprehensive income, changes in equity and cash flows of the Borrower and its Subsidiaries, covering any of the first three fiscal quarters that have ended after the most recent Fiscal Year covered by the Audited Financial Statements and at least 45 days before the Closing Date.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the same may from time to time be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“Uniform Commercial Code” or “UCC” means the Uniform Commercial Code as in effect from time to time in such other jurisdiction for purposes of the provisions hereof relating to such perfection, effect of perfection or non-perfection or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3.6(g)(v)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“US Systems and Legal Entity Consolidation Project” means the Borrower’s project to migrate its U.S. operations to a common enterprise resource planning software platform, including the merger of certain of Borrower’s U.S. subsidiaries into Borrower.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“Voting Equity Interests</w:t>
      </w:r>
      <w:r>
        <w:rPr>
          <w:rFonts w:ascii="Times New Roman" w:cs="Times New Roman" w:eastAsia="Times New Roman" w:hAnsi="Times New Roman"/>
          <w:sz w:val="18"/>
          <w:szCs w:val="18"/>
          <w:color w:val="auto"/>
        </w:rPr>
        <w:t>” means, with respect to any Person, shares of such Person’s Equity Interests having the right to vote for the election of the members of the board of directors or other managing person of such Person under ordinary circumstances.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“Wholly-Owned</w:t>
      </w:r>
      <w:r>
        <w:rPr>
          <w:rFonts w:ascii="Times New Roman" w:cs="Times New Roman" w:eastAsia="Times New Roman" w:hAnsi="Times New Roman"/>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a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Loan Party and the Administrative Agent.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“Yield Differential</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Credit Agreement, Loans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SOFR Revolving Loan</w:t>
      </w:r>
      <w:r>
        <w:rPr>
          <w:rFonts w:ascii="Times New Roman" w:cs="Times New Roman" w:eastAsia="Times New Roman" w:hAnsi="Times New Roman"/>
          <w:sz w:val="18"/>
          <w:szCs w:val="18"/>
          <w:color w:val="auto"/>
        </w:rPr>
        <w:t>”). Borrowings may also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SOFR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In the computation of periods of time from a specified date to a later specified date, the word “from” means “from and including”; the words “to” and “until” each mean “to but excluding”; and the word “through” means “to and including.”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w:t>
      </w:r>
    </w:p>
    <w:p>
      <w:pPr>
        <w:spacing w:after="0" w:line="1" w:lineRule="exact"/>
        <w:rPr>
          <w:sz w:val="20"/>
          <w:szCs w:val="20"/>
          <w:color w:val="auto"/>
        </w:rPr>
      </w:pPr>
    </w:p>
    <w:p>
      <w:pPr>
        <w:jc w:val="both"/>
        <w:ind w:firstLine="8"/>
        <w:spacing w:after="0" w:line="251" w:lineRule="auto"/>
        <w:tabs>
          <w:tab w:leader="none" w:pos="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“herein,” “hereof” and “hereunder,” and words of similar import, shall be construed to refer to this Credit Agreement in its entirety and not to any particular provision hereof, (d) all references herein to Articles, Sections, Exhibits and Schedules shall be construed to refer to Articles and Sections of, and Exhibits and Schedules to, this Credit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Any terms used in this Credit Agreement that are defined in the UCC shall be construed and defined as set forth in the UCC unless otherwise defined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that the UCC is used to define any term herein and such term is defined differently in different Articles of the UCC, the definition of such term contained in Article 9 of the UCC shall govern.</w:t>
      </w:r>
    </w:p>
    <w:p>
      <w:pPr>
        <w:spacing w:after="0" w:line="19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7"/>
          <w:szCs w:val="17"/>
          <w:u w:val="single" w:color="auto"/>
          <w:color w:val="auto"/>
        </w:rPr>
        <w:t>Accounting Terms; GAAP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Credit Agreement shall be prepared in conformity with, GAAP, applied in a manner consistent with that used in preparing the Audited Financial Statements, except as otherwise specifically prescribed herein.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determining compliance with any test contained in this Credit Agreement with respect to any period during which any Specified Transaction occurs, Consolidated EBITDA, Consolidated Fixed Charge Coverage Ratio and Consolidated Net Leverage Ratio (and all component definitions of any of the foregoing) shall be calculated with respect to such period and all Specified Transactions occurring during such period on a Pro Forma Basis.</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3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Credit Agreement or as reasonably requested hereunder setting forth a reconciliation between calculations of such ratio or requirement made before and after giving effect to such change in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Borrower pursuant to this Credit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References to Time</w:t>
      </w:r>
      <w:r>
        <w:rPr>
          <w:rFonts w:ascii="Times New Roman" w:cs="Times New Roman" w:eastAsia="Times New Roman" w:hAnsi="Times New Roman"/>
          <w:sz w:val="18"/>
          <w:szCs w:val="18"/>
          <w:color w:val="auto"/>
        </w:rPr>
        <w:t>. Unless the context otherwise requires, references to a time shall refer to Eastern Standard Time or Eastern Daylight Savings Time, as applicable.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Resolution of Drafting Ambiguities</w:t>
      </w:r>
      <w:r>
        <w:rPr>
          <w:rFonts w:ascii="Times New Roman" w:cs="Times New Roman" w:eastAsia="Times New Roman" w:hAnsi="Times New Roman"/>
          <w:sz w:val="18"/>
          <w:szCs w:val="18"/>
          <w:color w:val="auto"/>
        </w:rPr>
        <w:t>. Each Loan Party acknowledges and agrees that it was represented by counsel in connection with the execution and delivery of the Loan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Status of Loan Document Obligations</w:t>
      </w:r>
      <w:r>
        <w:rPr>
          <w:rFonts w:ascii="Times New Roman" w:cs="Times New Roman" w:eastAsia="Times New Roman" w:hAnsi="Times New Roman"/>
          <w:sz w:val="18"/>
          <w:szCs w:val="18"/>
          <w:color w:val="auto"/>
        </w:rPr>
        <w:t>. In the event that any Loan Party shall at any time issue or have outstanding any Subordinated Debt, the Borrower shall take or cause each other Loan Party to take all such actions as shall be necessary to cause the Loan Document Obligations to constitute senior indebtedness (however denominated) in respect of such Subordinated Debt and to enable the Administrative Agent and the Lenders to have and exercise any payment blockage or other remedies available or potentially available to holders of senior indebtedness under the terms of such Subordinated Debt. Without limiting the foregoing, the Loan Document Obligations are hereby designated as “senior indebtedness” and as “designated senior indebtedness” and words of similar import under and in respect of the Subordinated Debt Documents under which such Subordinated Debt is issued and are further given all such other designations as shall be required under the terms of any such Subordinated Debt in order that the Administrative Agent and the Lenders may have and exercise any payment blockage or other remedies available or potentially available to holders of senior indebtedness under the terms of such Subordinated Debt.</w:t>
      </w:r>
    </w:p>
    <w:p>
      <w:pPr>
        <w:spacing w:after="0" w:line="18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1.9</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1.10</w:t>
      </w:r>
      <w:r>
        <w:rPr>
          <w:sz w:val="20"/>
          <w:szCs w:val="20"/>
          <w:color w:val="auto"/>
        </w:rPr>
        <w:tab/>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w:t>
      </w:r>
    </w:p>
    <w:p>
      <w:pPr>
        <w:spacing w:after="0" w:line="27" w:lineRule="exact"/>
        <w:rPr>
          <w:sz w:val="20"/>
          <w:szCs w:val="20"/>
          <w:color w:val="auto"/>
        </w:rPr>
      </w:pPr>
    </w:p>
    <w:p>
      <w:pPr>
        <w:jc w:val="both"/>
        <w:ind w:firstLine="8"/>
        <w:spacing w:after="0" w:line="251" w:lineRule="auto"/>
        <w:tabs>
          <w:tab w:leader="none" w:pos="2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construction, calculation, publication, continuation, discontinuation, movement, or regulation of, or any other matter related to, the Alternate Base Rate, the Benchmark, or any alternative, successor or replacement rate thereto (including any Benchmark Replacement), any component definition thereof or rates referred to in the definition thereof, including whether any Benchmark is similar to, or will produce the same value or economic equivalence of, any other rate or whether financial instruments referencing or underlying the Benchmark will have the same volume or liquidity as those referencing or underlying any other rate, (b) the impact of any regulatory statements about, or actions taken with respect to any Benchmark (or component thereof), (c) changes made by any administrator to the methodology used to calculate any Benchmark (or component thereof) or (d) the effect, implementation or composition of any Conforming Changes. The Administrative Agent and its affiliates or other related entities may engage in transactions that affect the calculation of the Alternate Base Rate, the Benchmark, any alternative, successor or replacement rate (including any Benchmark Replacement) or any relevant adjustments thereto, in each case, in a manner adverse to the Borrower. The Administrative Agent does not warrant or accept responsibility for, and shall not have any liability with respect to, such transactions. The Administrative Agent may select information sources or services in its reasonable discretion to ascertain the Alternate Base Rate, the Benchmark, or any alternative, successor or replacement rate (including any Benchmark Replacement), in each case pursuant to the terms of this Credit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CREDITS</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u w:val="single" w:color="auto"/>
          <w:color w:val="auto"/>
        </w:rPr>
        <w:t>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8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Commitments</w:t>
      </w:r>
      <w:r>
        <w:rPr>
          <w:rFonts w:ascii="Times New Roman" w:cs="Times New Roman" w:eastAsia="Times New Roman" w:hAnsi="Times New Roman"/>
          <w:sz w:val="18"/>
          <w:szCs w:val="18"/>
          <w:color w:val="auto"/>
        </w:rPr>
        <w:t>. Subject to the terms and conditions hereof and relying upon the representations and warranties herein set forth, each Revolving Lender agrees, severally and not jointly, to make Revolving Loans to the Borrower in Dollars from time to time during the Availability Period in an aggregate principal amount that will not result in (i) such Revolving Lender’s Revolving Exposure exceeding such Revolving Lender’s Revolving Commitment or (ii) the Total Revolving Outstandings exceeding the aggregate Revolving Commitments. Within the foregoing limits and subject to the terms and conditions set forth herein, the Borrower may borrow, prepay and reborrow Revolving Loans. Revolving Loans may be ABR Loans or SOFR Loans, as further provided herein.</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Subject to the terms and conditions hereof and relying upon the representations and warranties herein set forth, each Term Lender agrees, severally and not jointly, to make a single loan (each such loan, a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to the Borrower in Dollars on the Closing Date in an principal amount not exceeding such Term Lender’s Term Loan Commitment. Term Loans which are prepaid or repaid, in whole or in part, may not be reborrowed. Term Loans may be ABR Loans or SOFR Loans, as further provided herein.</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xml:space="preserve">. Subject to the terms and conditions hereof and relying upon the representations and warranties herein set forth, each Incremental Term Lender agrees, severally and not jointly, if such Incremental Term Lender has so committed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to make Incremental Term Loans in Dollars to the Borrower in an aggregate principal amount not to exceed its Incremental Term Loan Commitment and otherwise on the terms and subject to the conditions set forth in the Incremental Assumption Agreement to which such Lender is a party. Incremental Term Loans which are prepaid or repaid, in whole or in part, may not be reborrowed. Incremental Term Loans may be ABR Loans or SOFR Loans, as further provided herein.</w:t>
      </w:r>
    </w:p>
    <w:p>
      <w:pPr>
        <w:spacing w:after="0" w:line="18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Borrowings, Conversions and Continuations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9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(other than a Swingline Borrowing which shall be made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each conversion of Loans from one Type to the other, and each continuation of SOFR Loans shall be made upon the Borrower’s irrevocable notice, to the Administrative Agent, which may be given by telephone. Each such notice must be made in writing (or in the case of telephonic notice, promptly confirmed in writing) substantially in the form of a Committed Loan Notice appropriately completed and signed by a Responsible Officer of the Borrower and received by the Administrative Agent (i) in the case of an ABR Borrowing, not later than 11:00 a.m. on the date of the proposed Borrowing, or (ii) in the case of any other Borrowing, not later than 11:00 a.m. three Government Securities Business Days before the date of the proposed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jc w:val="both"/>
        <w:ind w:firstLine="1304"/>
        <w:spacing w:after="0" w:line="254" w:lineRule="auto"/>
        <w:tabs>
          <w:tab w:leader="none" w:pos="18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each Borrowing or conversion of Loans shall be in a principal amount of the Borrowing Minimum or a whole multiple of the Borrowing Multiple in excess thereof. Each Committed Loan Notice (whether telephonic or written) shall specify (A) whether the Borrower is requesting a Borrowing, a conversion of Loans from one Type to the other, or a continuation of SOFR Loans, (B) the requested date of the Borrowing, conversion or continuation, as the case may be (which shall be a Business Day), (C) the Class and principal amount of Loans to be borrowed, converted or continued, (D) the Type of Loans to be borrowed or to which existing Loans are to be converted, (E) if applicable, the duration of the Interest Period with respect thereto which shall be a period contemplated by the definition of the term “Interest Period”, and (F) the location and number of the Borrower’s account to which funds are to be disbursed, which shall comply with the requirements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Notwithstanding anything in this Credit Agreement to the contrary, if the Borrower:</w:t>
      </w:r>
    </w:p>
    <w:p>
      <w:pPr>
        <w:spacing w:after="0" w:line="191" w:lineRule="exact"/>
        <w:rPr>
          <w:rFonts w:ascii="Times New Roman" w:cs="Times New Roman" w:eastAsia="Times New Roman" w:hAnsi="Times New Roman"/>
          <w:sz w:val="18"/>
          <w:szCs w:val="18"/>
          <w:color w:val="auto"/>
        </w:rPr>
      </w:pPr>
    </w:p>
    <w:p>
      <w:pPr>
        <w:ind w:left="660" w:firstLine="1292"/>
        <w:spacing w:after="0" w:line="282" w:lineRule="auto"/>
        <w:tabs>
          <w:tab w:leader="none" w:pos="247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a Borrowing of, conversion to, or continuation of SOFR Loans in any such Committed Loan Notice, but fails to specify an Interest Period, it will be deemed to have specified an Interest Period of one month; or</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56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specify a Type of Loan in a Committed Loan Notice or fails to give a timely notice requesting a conversion or continuation, then the applicable Loans shall be made as, continued as, or converted to, ABR Loans.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avoidance of doubt, the Borrower and Lenders acknowledge and agree that any conversion or continuation of an existing Loan shall be deemed to be a continuation of that Loan with a converted interest rate methodology and not a new Loan. Any automatic conversion or continuation as provided above shall be effective as of the last day of the Interest Period then in effect with respect to the applicable SOFR Loans.</w:t>
      </w:r>
    </w:p>
    <w:p>
      <w:pPr>
        <w:spacing w:after="0" w:line="176" w:lineRule="exact"/>
        <w:rPr>
          <w:sz w:val="20"/>
          <w:szCs w:val="20"/>
          <w:color w:val="auto"/>
        </w:rPr>
      </w:pPr>
    </w:p>
    <w:p>
      <w:pPr>
        <w:jc w:val="both"/>
        <w:ind w:firstLine="1304"/>
        <w:spacing w:after="0" w:line="253" w:lineRule="auto"/>
        <w:tabs>
          <w:tab w:leader="none" w:pos="188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Committed Loan Notice, the Administrative Agent shall promptly notify each Appropriate Lender of the amount of its Applicable Percentage of the applicable Class of Loans, and if no timely notice of a conversion or continuation is provided by the Borrower, the Administrative Agent shall notify each Appropriate Lender of the details of any automatic conversion or continuation described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In the case of each Borrowing, each Appropriate Lender shall make (or cause its Applicable Lending Office to make) the amount of its Loan available to the Administrative Agent, by transfer in immediately available funds to the account of the Administrative Agent most recently designated by it for such purpose by notice to the Lenders, not later than 1:00 p.m. on the Business Day specified in the applicable Committed Loan Notice. Upon satisfaction or waiver of the applicable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if such Borrowing is the initial Credit Extension,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 Administrative Agent shall make all funds so received available to the Borrower in like funds as received by transfer to the account of the Borrower maintained with Citizens Bank and designated in the Commitment Loan Notice the amount of such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date the Committed Loan Notice with respect to such Borrowing is given by the Borrower, there are Swingline Loans or L/C Borrowings outstanding, then the proceeds of such Borrowing shall be applied first, to the payment in full of any such L/C Borrowings, second, to the payment in full of any such Swingline Loans, and third, to the Borrower as provided above.</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a SOFR Loan may be continued or converted only on the last day of an Interest Period for such Loan unless the Borrower pays the amount due, if any,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in connection therewith. During the existence of an Event of Default, the Administrative Agent or the Required Lenders may require that (i) no Loans may be requested as, converted to or continued as SOFR Loans and (ii) unless repaid, each SOFR Loan be converted to an ABR Loan at the end of the Interest Period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9" w:name="page90"/>
    <w:bookmarkEnd w:id="89"/>
    <w:p>
      <w:pPr>
        <w:ind w:left="-660" w:right="20" w:firstLine="1304"/>
        <w:spacing w:after="0" w:line="282" w:lineRule="auto"/>
        <w:tabs>
          <w:tab w:leader="none" w:pos="121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Appropriate Lenders of the interest rate applicable to any Interest Period for SOFR Loans upon determination of such interest rate.</w:t>
      </w:r>
    </w:p>
    <w:p>
      <w:pPr>
        <w:spacing w:after="0" w:line="161"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1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clauses (a) through (d) above to the contrary notwithstanding, after giving effect to all Borrowings, all conversions of Loans from one Type to the other, and all continuations of Loans as the same Type, there shall not be more than six (6) Interest Periods in effect at any time for all Borrowings of SOFR Loans.</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117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of any Appropriate Lender to make any Loan required to be made by it shall not relieve any other Appropriate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All Borrowings made on the Closing Date must be made as ABR Borrowings unless the Borrower shall have given a Committed Loan Notice requesting a SOFR Borrowing and provided an indemnity letter in form and substance satisfactory to the Administrative Agent extending the benefits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to the Appropriate Lenders in respect of such Borrowings.</w:t>
      </w:r>
    </w:p>
    <w:p>
      <w:pPr>
        <w:spacing w:after="0" w:line="18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Swingline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4" w:lineRule="auto"/>
        <w:tabs>
          <w:tab w:leader="none" w:pos="11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Swingline</w:t>
      </w:r>
      <w:r>
        <w:rPr>
          <w:rFonts w:ascii="Times New Roman" w:cs="Times New Roman" w:eastAsia="Times New Roman" w:hAnsi="Times New Roman"/>
          <w:sz w:val="18"/>
          <w:szCs w:val="18"/>
          <w:color w:val="auto"/>
        </w:rPr>
        <w:t xml:space="preserve">. Subject to the terms and conditions hereof and relying upon the representations and warranties herein set forth and upon the agreements of the Revolving Lenders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Swingline Lender may in its sole discretion and without any obligation to do so make Swingline Loans to the Borrower in Dollars from time to time on any Business Day after the making of the initial Revolving Loans through the seventh Business Day preceding the Revolving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each Swingline Loan, (i) the aggregate Outstanding Amount of Swingline Loans shall not exceed the Swingline Sublimit and (ii) the Total Revolving Outstandings shall not exceed the aggregate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Borrower shall not use the proceeds of any Swingline Loan to refinance any outstanding Swingline Loan. Within the foregoing limits, and subject to the other terms and conditions hereof, the Borrower may borrow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11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Procedures</w:t>
      </w:r>
      <w:r>
        <w:rPr>
          <w:rFonts w:ascii="Times New Roman" w:cs="Times New Roman" w:eastAsia="Times New Roman" w:hAnsi="Times New Roman"/>
          <w:sz w:val="18"/>
          <w:szCs w:val="18"/>
          <w:color w:val="auto"/>
        </w:rPr>
        <w:t xml:space="preserve">. Each Swingline Borrowing shall be made upon the Borrower’s irrevocable notice to the Swingline Lender, which may be given by telephone. Each such notice must be received by the Swingline Lender not later than 1:00 p.m. on the requested borrowing date, and shall specify (i) the amount to be borrowed, which shall be in an aggregate amount that is an integral multiple of the Borrowing Multiple and not less than the Borrowing Minimum, (ii) the requested borrowing date, which shall be a Business Day and (iii) the maturity date of the requested Swingline Loan which shall be not later than seven Business Days after the making of such Swingline Loan. Each such telephonic notice must be confirmed promptly by hand delivery or facsimile (or transmitted by electronic communication, if arrangements for doing so have been approved by the Swingline Lender and the Administrative Agent) of a written Swingline Loan Notice to the Swingline Lender and the Administrative Agent, appropriately completed and signed by a Responsible Officer of the Borrower. Promptly after receipt by the Swingline Lender of any telephonic Swingline Loan Notice, the Swingline Lender will, if it is willing to make the requested Swingline Loan and provided that all applicable conditions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are satisfied or waived, not later than 3:00 p.m. on the borrowing date specified in such Swingline Loan Notice, make the amount of its Swingline Loan available to the Borrower by crediting the account of the Borrower maintained with the Swingline Lender and notify the Administrative Agent thereof in writing.</w:t>
      </w:r>
    </w:p>
    <w:p>
      <w:pPr>
        <w:spacing w:after="0" w:line="191"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11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of Swingline Loans</w:t>
      </w:r>
      <w:r>
        <w:rPr>
          <w:rFonts w:ascii="Times New Roman" w:cs="Times New Roman" w:eastAsia="Times New Roman" w:hAnsi="Times New Roman"/>
          <w:sz w:val="18"/>
          <w:szCs w:val="18"/>
          <w:color w:val="auto"/>
        </w:rPr>
        <w:t xml:space="preserve">. (i) The Swingline Lender at any time in its sole and absolute discretion may request, on behalf of the Borrower (which hereby irrevocably authorizes the Swingline Lender to so request on its behalf), and in any event shall request, no later than one week after each Swingline Borrowing has been made, that each Revolving Lender make an ABR Revolving Loan in Dollars in an amount equal to such Revolving Lender’s Applicable Percentage of the amount of Swingline Loans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without regard to the minimum and multiples specified therein for the principal amount of ABR Loans. Each Revolving Lender shall make an amount equal to its Applicable Percentage of the amount specified in such Committed Loan Notice available to the Administrative Agent in immediately available funds in Dollars for the account of the Swingline Lender at the Administrative Agent’s Payment Office not later than 1:00 p.m. on the day specified in such Committed Loan Notice, whereupon, subject to </w:t>
      </w:r>
      <w:r>
        <w:rPr>
          <w:rFonts w:ascii="Times New Roman" w:cs="Times New Roman" w:eastAsia="Times New Roman" w:hAnsi="Times New Roman"/>
          <w:sz w:val="18"/>
          <w:szCs w:val="18"/>
          <w:u w:val="single" w:color="auto"/>
          <w:color w:val="auto"/>
        </w:rPr>
        <w:t>Section 2.3(c)(ii)</w:t>
      </w:r>
      <w:r>
        <w:rPr>
          <w:rFonts w:ascii="Times New Roman" w:cs="Times New Roman" w:eastAsia="Times New Roman" w:hAnsi="Times New Roman"/>
          <w:sz w:val="18"/>
          <w:szCs w:val="18"/>
          <w:color w:val="auto"/>
        </w:rPr>
        <w:t>, each Revolving Lender that so makes funds available shall be deemed to have made an ABR Revolving Loan to the Borrower in such amount. The Administrative Agent shall remit the funds so received to the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357505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90" w:name="page91"/>
    <w:bookmarkEnd w:id="90"/>
    <w:p>
      <w:pPr>
        <w:ind w:left="1860" w:hanging="568"/>
        <w:spacing w:after="0"/>
        <w:tabs>
          <w:tab w:leader="none" w:pos="18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any Swingline Loan cannot be refinanced by a Revolving Borrowing in accordance with </w:t>
      </w:r>
      <w:r>
        <w:rPr>
          <w:rFonts w:ascii="Times New Roman" w:cs="Times New Roman" w:eastAsia="Times New Roman" w:hAnsi="Times New Roman"/>
          <w:sz w:val="18"/>
          <w:szCs w:val="18"/>
          <w:u w:val="single" w:color="auto"/>
          <w:color w:val="auto"/>
        </w:rPr>
        <w:t>Section 2.3(c)</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 request for ABR Revolving Loans submitted by the Swingline Lender as set forth therein shall be deemed to be a request by the Swingline Lender that each of the Revolving Lenders purchase for cash a risk participation in the relevant Swingline Loan in Dollars and each Revolving Lender hereby irrevocably and unconditionally agrees to make such purchase in an amount equal to the product of such Revolving Lender’s Applicable Percentage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amount of such Swingline Loan. Each Revolving Lender’s payment to the Administrative Agent for the account of the Swingline Lender pursuant to </w:t>
      </w:r>
      <w:r>
        <w:rPr>
          <w:rFonts w:ascii="Times New Roman" w:cs="Times New Roman" w:eastAsia="Times New Roman" w:hAnsi="Times New Roman"/>
          <w:sz w:val="18"/>
          <w:szCs w:val="18"/>
          <w:u w:val="single" w:color="auto"/>
          <w:color w:val="auto"/>
        </w:rPr>
        <w:t>Section 2.3(c)(i)</w:t>
      </w:r>
      <w:r>
        <w:rPr>
          <w:rFonts w:ascii="Times New Roman" w:cs="Times New Roman" w:eastAsia="Times New Roman" w:hAnsi="Times New Roman"/>
          <w:sz w:val="18"/>
          <w:szCs w:val="18"/>
          <w:color w:val="auto"/>
        </w:rPr>
        <w:t xml:space="preserve"> shall be deemed payment in respect of such participation.</w:t>
      </w:r>
    </w:p>
    <w:p>
      <w:pPr>
        <w:spacing w:after="0" w:line="186" w:lineRule="exact"/>
        <w:rPr>
          <w:rFonts w:ascii="Times New Roman" w:cs="Times New Roman" w:eastAsia="Times New Roman" w:hAnsi="Times New Roman"/>
          <w:sz w:val="18"/>
          <w:szCs w:val="18"/>
          <w:color w:val="auto"/>
        </w:rPr>
      </w:pPr>
    </w:p>
    <w:p>
      <w:pPr>
        <w:jc w:val="both"/>
        <w:ind w:firstLine="1292"/>
        <w:spacing w:after="0" w:line="255" w:lineRule="auto"/>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Swingline Lender any amount required to be paid by such Revolving Lender pursuant to the foregoing provisions of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2.3(c)(i)</w:t>
      </w:r>
      <w:r>
        <w:rPr>
          <w:rFonts w:ascii="Times New Roman" w:cs="Times New Roman" w:eastAsia="Times New Roman" w:hAnsi="Times New Roman"/>
          <w:sz w:val="18"/>
          <w:szCs w:val="18"/>
          <w:color w:val="auto"/>
        </w:rPr>
        <w:t>,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the greater of the Federal Funds Effective Rate and a rate determined by the Administrative Agent in accordance with banking industry rules on interbank compensation. A certificate of the Swingline Lender submitted to any Revolving Lender (through the Administrative Agent) with respect to any amounts owing under this clause (iii) shall be conclusive absent manifest error.</w:t>
      </w:r>
    </w:p>
    <w:p>
      <w:pPr>
        <w:spacing w:after="0" w:line="188" w:lineRule="exact"/>
        <w:rPr>
          <w:rFonts w:ascii="Times New Roman" w:cs="Times New Roman" w:eastAsia="Times New Roman" w:hAnsi="Times New Roman"/>
          <w:sz w:val="18"/>
          <w:szCs w:val="18"/>
          <w:color w:val="auto"/>
        </w:rPr>
      </w:pPr>
    </w:p>
    <w:p>
      <w:pPr>
        <w:jc w:val="both"/>
        <w:ind w:firstLine="1292"/>
        <w:spacing w:after="0" w:line="258" w:lineRule="auto"/>
        <w:tabs>
          <w:tab w:leader="none" w:pos="191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Lender’s obligation to make Revolving Loans or to purchase and fund risk participations in Swingline Loans pursuant to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shall be absolute and unconditional and shall not be affected by any circumstance,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Revolving Lender’s obligation to make Revolving Loans (but not to purchase and fund risk participations in Swingline Loans) pursuant to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No such funding of risk participations shall relieve or otherwise impair the obligation of the Borrower to repay Swingline Loans, together with interest as provided herein.</w:t>
      </w:r>
    </w:p>
    <w:p>
      <w:pPr>
        <w:spacing w:after="0" w:line="183"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30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 (i) At any time after any Revolving Lender has purchased and funded a risk participation in a Swingline Loan, if the Swingline Lender receives any payment on account of such Swingline Loan, the Swingline Lender will distribute to such Revolving Lender its Applicable Percentage of such payment (appropriately adjusted, in the case of interest payments, to reflect the period of time during which such Revolving Lender’s risk participation was funded) in the same funds as those received by the Swingline Lender.</w:t>
      </w:r>
    </w:p>
    <w:p>
      <w:pPr>
        <w:spacing w:after="0" w:line="179" w:lineRule="exact"/>
        <w:rPr>
          <w:rFonts w:ascii="Times New Roman" w:cs="Times New Roman" w:eastAsia="Times New Roman" w:hAnsi="Times New Roman"/>
          <w:sz w:val="18"/>
          <w:szCs w:val="18"/>
          <w:color w:val="auto"/>
        </w:rPr>
      </w:pPr>
    </w:p>
    <w:p>
      <w:pPr>
        <w:jc w:val="both"/>
        <w:ind w:firstLine="1292"/>
        <w:spacing w:after="0" w:line="258" w:lineRule="auto"/>
        <w:tabs>
          <w:tab w:leader="none" w:pos="185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Swingline Lender in respect of principal or interest on any Swingline Loan is required to be returned by the Swingline Lender under any of the circumstances described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(including pursuant to any settlement entered into by the Swingline Lender in its discretion), each Revolving Lender shall pay to the Swingline Lender its Applicable Percentage thereof on demand by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at a rate per annum equal to the Federal Funds Effective Rate. The Administrative Agent will make such demand upon the request of the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351155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91" w:name="page92"/>
    <w:bookmarkEnd w:id="91"/>
    <w:p>
      <w:pPr>
        <w:jc w:val="both"/>
        <w:ind w:left="-8" w:firstLine="1304"/>
        <w:spacing w:after="0" w:line="266" w:lineRule="auto"/>
        <w:tabs>
          <w:tab w:leader="none" w:pos="19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for Account of Swingline Lender</w:t>
      </w:r>
      <w:r>
        <w:rPr>
          <w:rFonts w:ascii="Times New Roman" w:cs="Times New Roman" w:eastAsia="Times New Roman" w:hAnsi="Times New Roman"/>
          <w:sz w:val="18"/>
          <w:szCs w:val="18"/>
          <w:color w:val="auto"/>
        </w:rPr>
        <w:t xml:space="preserve">. Until each Revolving Lender funds its ABR Revolving Loan or risk participation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refinance such Revolving Lender’s Applicable Percentage of any Swingline Loan, interest in respect of such Applicable Percentage shall be solely for the account of the Swingline Lender.</w:t>
      </w:r>
    </w:p>
    <w:p>
      <w:pPr>
        <w:spacing w:after="0" w:line="175" w:lineRule="exact"/>
        <w:rPr>
          <w:rFonts w:ascii="Times New Roman" w:cs="Times New Roman" w:eastAsia="Times New Roman" w:hAnsi="Times New Roman"/>
          <w:sz w:val="18"/>
          <w:szCs w:val="18"/>
          <w:color w:val="auto"/>
        </w:rPr>
      </w:pPr>
    </w:p>
    <w:p>
      <w:pPr>
        <w:ind w:left="-8" w:firstLine="1304"/>
        <w:spacing w:after="0" w:line="282" w:lineRule="auto"/>
        <w:tabs>
          <w:tab w:leader="none" w:pos="19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Directly to Swingline Lender</w:t>
      </w:r>
      <w:r>
        <w:rPr>
          <w:rFonts w:ascii="Times New Roman" w:cs="Times New Roman" w:eastAsia="Times New Roman" w:hAnsi="Times New Roman"/>
          <w:sz w:val="18"/>
          <w:szCs w:val="18"/>
          <w:color w:val="auto"/>
        </w:rPr>
        <w:t>. The Borrower shall make all payments of principal and interest in respect of the Swingline Loans directly to the Swingline Lender and the Swingline Lender shall notify the Administrative Agent thereof.</w:t>
      </w:r>
    </w:p>
    <w:p>
      <w:pPr>
        <w:spacing w:after="0" w:line="162" w:lineRule="exact"/>
        <w:rPr>
          <w:sz w:val="20"/>
          <w:szCs w:val="20"/>
          <w:color w:val="auto"/>
        </w:rPr>
      </w:pPr>
    </w:p>
    <w:p>
      <w:pPr>
        <w:ind w:left="652"/>
        <w:spacing w:after="0"/>
        <w:tabs>
          <w:tab w:leader="none" w:pos="1852"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u w:val="single" w:color="auto"/>
          <w:color w:val="auto"/>
        </w:rPr>
        <w:t>Letters of Credit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2" w:lineRule="auto"/>
        <w:tabs>
          <w:tab w:leader="none" w:pos="180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 xml:space="preserve">. (i) Subject to the terms and conditions hereof and of any additional Letter of Credit Documents required by the L/C Issuer and relying upon the representations and warranties herein set forth (A) based upon the agreements of the Revolving Lenders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L/C Issuer agrees (1) from time to time on any Business Day during the Availability Period to issue Letters of Credit denominated in Dollars for the account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may be for the joint account of the Borrower and any Subsidiary of the Borrower) and to amend or renew Letters of Credit previously issued by it, in accordance with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and (2) to honor conforming drafts under the Letters of Credit and (B) the Revolving Lenders severally agree to participate in Letters of Credit issued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L/C Issuer shall not be obligated to make any L/C Credit Extension with respect to any Letter of Credit, and no Revolving Lender shall be obligated to participate in any such Letter of Credit if immediately after giving effect to such L/C Credit Extension, (w) the aggregate L/C Obligations would exceed the L/C Sublimit, (x) the Revolving Exposure of any Revolving Lender would exceed such Revolving Lender’s Revolving Commitment, or</w:t>
      </w:r>
    </w:p>
    <w:p>
      <w:pPr>
        <w:spacing w:after="0" w:line="6"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Revolving Outstandings would exceed the aggregate Revolving Commitments.</w:t>
      </w:r>
    </w:p>
    <w:p>
      <w:pPr>
        <w:spacing w:after="0" w:line="206" w:lineRule="exact"/>
        <w:rPr>
          <w:rFonts w:ascii="Times New Roman" w:cs="Times New Roman" w:eastAsia="Times New Roman" w:hAnsi="Times New Roman"/>
          <w:sz w:val="18"/>
          <w:szCs w:val="18"/>
          <w:color w:val="auto"/>
        </w:rPr>
      </w:pPr>
    </w:p>
    <w:p>
      <w:pPr>
        <w:ind w:left="652" w:firstLine="1292"/>
        <w:spacing w:after="0" w:line="282" w:lineRule="auto"/>
        <w:tabs>
          <w:tab w:leader="none" w:pos="2592"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Issuer shall be under no obligation to issue any Letter of Credit (and,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below, shall not issue any Letter of Credit) if:</w:t>
      </w:r>
    </w:p>
    <w:p>
      <w:pPr>
        <w:spacing w:after="0" w:line="161" w:lineRule="exact"/>
        <w:rPr>
          <w:rFonts w:ascii="Times New Roman" w:cs="Times New Roman" w:eastAsia="Times New Roman" w:hAnsi="Times New Roman"/>
          <w:sz w:val="18"/>
          <w:szCs w:val="18"/>
          <w:color w:val="auto"/>
        </w:rPr>
      </w:pPr>
    </w:p>
    <w:p>
      <w:pPr>
        <w:jc w:val="both"/>
        <w:ind w:left="1292" w:firstLine="1300"/>
        <w:spacing w:after="0" w:line="255" w:lineRule="auto"/>
        <w:tabs>
          <w:tab w:leader="none" w:pos="3200"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the L/C Issuer from issuing such Letter of Credit, or any law applicable to the L/C Issuer or any directive (whether or not having the force of law) from any Governmental Authority with jurisdiction over the L/C Issuer shall prohibit, or direct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Agreement Date, or shall impose upon the L/C Issuer any unreimbursed loss, cost or expense which was not applicable on the Agreement Date (for which the L/C Issuer is not otherwise compensated hereunder);</w:t>
      </w:r>
    </w:p>
    <w:p>
      <w:pPr>
        <w:spacing w:after="0" w:line="188" w:lineRule="exact"/>
        <w:rPr>
          <w:rFonts w:ascii="Times New Roman" w:cs="Times New Roman" w:eastAsia="Times New Roman" w:hAnsi="Times New Roman"/>
          <w:sz w:val="18"/>
          <w:szCs w:val="18"/>
          <w:color w:val="auto"/>
        </w:rPr>
      </w:pPr>
    </w:p>
    <w:p>
      <w:pPr>
        <w:ind w:left="1292" w:firstLine="1300"/>
        <w:spacing w:after="0" w:line="282" w:lineRule="auto"/>
        <w:tabs>
          <w:tab w:leader="none" w:pos="3195"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2.4(b)(iii)</w:t>
      </w:r>
      <w:r>
        <w:rPr>
          <w:rFonts w:ascii="Times New Roman" w:cs="Times New Roman" w:eastAsia="Times New Roman" w:hAnsi="Times New Roman"/>
          <w:sz w:val="18"/>
          <w:szCs w:val="18"/>
          <w:color w:val="auto"/>
        </w:rPr>
        <w:t>, the expiry date of such requested Letter of Credit would occur more than twelve months after the date of issuance or last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92" w:name="page93"/>
    <w:bookmarkEnd w:id="92"/>
    <w:p>
      <w:pPr>
        <w:ind w:left="1292" w:firstLine="1300"/>
        <w:spacing w:after="0" w:line="282" w:lineRule="auto"/>
        <w:tabs>
          <w:tab w:leader="none" w:pos="3162"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such requested Letter of Credit would occur after the Letter of Credit Expiration Date, unless arrangements satisfactory to the L/C Issuer for the Backstopping of such Letter of Credit have been made prior to the issuance thereof;</w:t>
      </w:r>
    </w:p>
    <w:p>
      <w:pPr>
        <w:spacing w:after="0" w:line="161" w:lineRule="exact"/>
        <w:rPr>
          <w:rFonts w:ascii="Times New Roman" w:cs="Times New Roman" w:eastAsia="Times New Roman" w:hAnsi="Times New Roman"/>
          <w:sz w:val="18"/>
          <w:szCs w:val="18"/>
          <w:color w:val="auto"/>
        </w:rPr>
      </w:pPr>
    </w:p>
    <w:p>
      <w:pPr>
        <w:jc w:val="both"/>
        <w:ind w:left="1292" w:firstLine="1300"/>
        <w:spacing w:after="0" w:line="266" w:lineRule="auto"/>
        <w:tabs>
          <w:tab w:leader="none" w:pos="3166"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would be made available to any Person (i) to fund any activity or business of or with any Sanctioned Person, or in any Sanctioned Country or (ii) in any manner that would result in a violation of any Sanctions by any party to this Credit Agreement;</w:t>
      </w:r>
    </w:p>
    <w:p>
      <w:pPr>
        <w:spacing w:after="0" w:line="175" w:lineRule="exact"/>
        <w:rPr>
          <w:rFonts w:ascii="Times New Roman" w:cs="Times New Roman" w:eastAsia="Times New Roman" w:hAnsi="Times New Roman"/>
          <w:sz w:val="18"/>
          <w:szCs w:val="18"/>
          <w:color w:val="auto"/>
        </w:rPr>
      </w:pPr>
    </w:p>
    <w:p>
      <w:pPr>
        <w:ind w:left="1292" w:firstLine="1300"/>
        <w:spacing w:after="0" w:line="282" w:lineRule="auto"/>
        <w:tabs>
          <w:tab w:leader="none" w:pos="3140"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the L/C Issuer applicable to letters of credit or any laws binding upon the L/C Issuer;</w:t>
      </w:r>
    </w:p>
    <w:p>
      <w:pPr>
        <w:spacing w:after="0" w:line="161" w:lineRule="exact"/>
        <w:rPr>
          <w:rFonts w:ascii="Times New Roman" w:cs="Times New Roman" w:eastAsia="Times New Roman" w:hAnsi="Times New Roman"/>
          <w:sz w:val="18"/>
          <w:szCs w:val="18"/>
          <w:color w:val="auto"/>
        </w:rPr>
      </w:pPr>
    </w:p>
    <w:p>
      <w:pPr>
        <w:ind w:left="3132" w:hanging="540"/>
        <w:spacing w:after="0"/>
        <w:tabs>
          <w:tab w:leader="none" w:pos="3132"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is to be denominated in a currency other than Dollars;</w:t>
      </w:r>
    </w:p>
    <w:p>
      <w:pPr>
        <w:spacing w:after="0" w:line="225" w:lineRule="exact"/>
        <w:rPr>
          <w:rFonts w:ascii="Times New Roman" w:cs="Times New Roman" w:eastAsia="Times New Roman" w:hAnsi="Times New Roman"/>
          <w:sz w:val="18"/>
          <w:szCs w:val="18"/>
          <w:color w:val="auto"/>
        </w:rPr>
      </w:pPr>
    </w:p>
    <w:p>
      <w:pPr>
        <w:jc w:val="both"/>
        <w:ind w:left="1292" w:firstLine="1300"/>
        <w:spacing w:after="0" w:line="258" w:lineRule="auto"/>
        <w:tabs>
          <w:tab w:leader="none" w:pos="3184"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Revolving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Times New Roman" w:cs="Times New Roman" w:eastAsia="Times New Roman" w:hAnsi="Times New Roman"/>
          <w:sz w:val="18"/>
          <w:szCs w:val="18"/>
          <w:u w:val="single" w:color="auto"/>
          <w:color w:val="auto"/>
        </w:rPr>
        <w:t>Section 2.10(a)(iv)</w:t>
      </w:r>
      <w:r>
        <w:rPr>
          <w:rFonts w:ascii="Times New Roman" w:cs="Times New Roman" w:eastAsia="Times New Roman" w:hAnsi="Times New Roman"/>
          <w:sz w:val="18"/>
          <w:szCs w:val="18"/>
          <w:color w:val="auto"/>
        </w:rPr>
        <w:t>) with respect to such Defaulting Lender arising from either the Letter of Credit then proposed to be issued or such Letter of Credit and all other L/C Obligations as to which the L/C Issuer has actual or potential Fronting Exposure, as it may elect in its sole discretion; or</w:t>
      </w:r>
    </w:p>
    <w:p>
      <w:pPr>
        <w:spacing w:after="0" w:line="183" w:lineRule="exact"/>
        <w:rPr>
          <w:rFonts w:ascii="Times New Roman" w:cs="Times New Roman" w:eastAsia="Times New Roman" w:hAnsi="Times New Roman"/>
          <w:sz w:val="18"/>
          <w:szCs w:val="18"/>
          <w:color w:val="auto"/>
        </w:rPr>
      </w:pPr>
    </w:p>
    <w:p>
      <w:pPr>
        <w:ind w:left="1292" w:firstLine="1300"/>
        <w:spacing w:after="0" w:line="282" w:lineRule="auto"/>
        <w:tabs>
          <w:tab w:leader="none" w:pos="3314"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is in an initial amount less than $100,000 (or such lesser amount as agreed to by the L/C Issuer and the Administrative Agent).</w:t>
      </w:r>
    </w:p>
    <w:p>
      <w:pPr>
        <w:spacing w:after="0" w:line="161" w:lineRule="exact"/>
        <w:rPr>
          <w:rFonts w:ascii="Times New Roman" w:cs="Times New Roman" w:eastAsia="Times New Roman" w:hAnsi="Times New Roman"/>
          <w:sz w:val="18"/>
          <w:szCs w:val="18"/>
          <w:color w:val="auto"/>
        </w:rPr>
      </w:pPr>
    </w:p>
    <w:p>
      <w:pPr>
        <w:jc w:val="both"/>
        <w:ind w:left="652" w:firstLine="1292"/>
        <w:spacing w:after="0" w:line="266" w:lineRule="auto"/>
        <w:tabs>
          <w:tab w:leader="none" w:pos="2529"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86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Auto-Renewal Letters of Credit</w:t>
      </w:r>
      <w:r>
        <w:rPr>
          <w:rFonts w:ascii="Times New Roman" w:cs="Times New Roman" w:eastAsia="Times New Roman" w:hAnsi="Times New Roman"/>
          <w:sz w:val="18"/>
          <w:szCs w:val="18"/>
          <w:color w:val="auto"/>
        </w:rPr>
        <w:t>. (i) Each Letter of Credit shall be issued or amended, as the case may be, upon the request of the Borrower hand delivered or sent by facsimile (or transmitted by electronic communication, if arrangements for doing so have been approved by the L/C Issuer) to the L/C Issuer (with a copy to the Administrative Agent) in the form of a Letter of Credit Application, appropriately completed and signed by a Responsible Officer of the Borrower. Such Letter of Credit Application must be received by the L/C Issuer and the Administrative Agent not later than 1:00 p.m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at least three Business Days prior to the proposed issuance date or date of amendment, as the case may be; or, in each case, such later date and time as the L/C Issuer may agree in a particular instance in its sole discretion.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(C) the expiry date thereof,</w:t>
      </w:r>
    </w:p>
    <w:p>
      <w:pPr>
        <w:jc w:val="both"/>
        <w:ind w:left="-8" w:firstLine="8"/>
        <w:spacing w:after="0" w:line="253" w:lineRule="auto"/>
        <w:tabs>
          <w:tab w:leader="none" w:pos="29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beneficiary thereof, (E) the documents to be presented by such beneficiary in case of any drawing thereunder, (F) the full text of any certificate to be presented by such beneficiary in case of any drawing thereunder, and (G) such other matters as the L/C Issuer may reasonably request. In the case of a request for an amendment of any outstanding Letter of Credit, such Letter of Credit Application shall specify in form and detail reasonably satisfactory to the L/C Issuer (1) the Letter of Credit to be amended, (2) the proposed date of amendment thereof (which shall be a Business Day), (3) the nature of the proposed amendment, and (4) such other matters as the L/C Issuer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93" w:name="page94"/>
    <w:bookmarkEnd w:id="93"/>
    <w:p>
      <w:pPr>
        <w:jc w:val="both"/>
        <w:ind w:left="-460" w:firstLine="1292"/>
        <w:spacing w:after="0" w:line="254" w:lineRule="auto"/>
        <w:tabs>
          <w:tab w:leader="none" w:pos="142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the L/C Issuer shall, on the requested date, issue a Letter of Credit for the account of the Borrower or enter into the applicable amendment, as the case may be. Immediately upon the issuance of each Letter of Credit, each Revolving Lender shall be deemed to have, and hereby irrevocably and unconditionally agrees to, acquire from the L/C Issuer a risk participation in such Letter of Credit in an amount equal to such Revolving Lender’s Applicable Percentage of the aggregate amount available to be drawn under such Letter of Credit. Each Lender acknowledges and agrees that its obligation to acquire risk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4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the L/C Issuer shall agree to issue a Letter of Credit that has automatic renewal provisions (each, an “</w:t>
      </w:r>
      <w:r>
        <w:rPr>
          <w:rFonts w:ascii="Times New Roman" w:cs="Times New Roman" w:eastAsia="Times New Roman" w:hAnsi="Times New Roman"/>
          <w:sz w:val="18"/>
          <w:szCs w:val="18"/>
          <w:u w:val="single" w:color="auto"/>
          <w:color w:val="auto"/>
        </w:rPr>
        <w:t>Auto-Renewal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Auto-Renewal Letter of Credit must permit the L/C Issuer to prevent any such renewal at least once in each twelve-month period (commencing with the date of issuance of such Auto-Renewal Letter of Credit) by giving prior notice to the beneficiary thereof not later than a day (the “</w:t>
      </w:r>
      <w:r>
        <w:rPr>
          <w:rFonts w:ascii="Times New Roman" w:cs="Times New Roman" w:eastAsia="Times New Roman" w:hAnsi="Times New Roman"/>
          <w:sz w:val="18"/>
          <w:szCs w:val="18"/>
          <w:u w:val="single" w:color="auto"/>
          <w:color w:val="auto"/>
        </w:rPr>
        <w:t>Nonrenewal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L/C Issuer, the Borrower shall not be required to make a specific request to the L/C Issuer for any such renewal. Once an Auto-Renewal Letter of Credit has been issued, the Revolving Lenders shall be deemed to have authorized (but may not require) the L/C Issuer to permit the renewal of such Auto-Renewal Letter of Credit from time to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L/C Issuer shall not permit any such renewal if (A) the L/C Issuer has determined that it would have no obligation at such time to issue such Letter of Credit in its renewed form under the terms hereof (by reason of the provisions of </w:t>
      </w:r>
      <w:r>
        <w:rPr>
          <w:rFonts w:ascii="Times New Roman" w:cs="Times New Roman" w:eastAsia="Times New Roman" w:hAnsi="Times New Roman"/>
          <w:sz w:val="18"/>
          <w:szCs w:val="18"/>
          <w:u w:val="single" w:color="auto"/>
          <w:color w:val="auto"/>
        </w:rPr>
        <w:t>Section 2.4(a)(ii)</w:t>
      </w:r>
      <w:r>
        <w:rPr>
          <w:rFonts w:ascii="Times New Roman" w:cs="Times New Roman" w:eastAsia="Times New Roman" w:hAnsi="Times New Roman"/>
          <w:sz w:val="18"/>
          <w:szCs w:val="18"/>
          <w:color w:val="auto"/>
        </w:rPr>
        <w:t xml:space="preserve"> or otherwise), or (B) it has received notice (which may be by telephone, followed promptly in writing, or in writing) on or before the day that is five Business Days before the applicable Nonrenewal Notice Date from the Administrative Agent or any Revolving Lender, as applicable, or the Borrower that one or more of the applicable conditions specified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is not then satisfied.</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52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7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 (i) Upon receipt from the beneficiary of any Letter of Credit of any notice of a drawing under such Letter of Credit, the L/C Issuer shall notify promptly the Borrower and the Administrative Agent thereof. On the Business Day on which the Borrower shall have received notice of any payment by the L/C Issuer under a Letter of Credit or, if the Borrower shall have received such notice later than 12:00 p.m. on any Business Day, on the succeeding Business Day (such applicable Business Day, the “</w:t>
      </w:r>
      <w:r>
        <w:rPr>
          <w:rFonts w:ascii="Times New Roman" w:cs="Times New Roman" w:eastAsia="Times New Roman" w:hAnsi="Times New Roman"/>
          <w:sz w:val="18"/>
          <w:szCs w:val="18"/>
          <w:u w:val="single" w:color="auto"/>
          <w:color w:val="auto"/>
        </w:rPr>
        <w:t>L/C Honor Date</w:t>
      </w:r>
      <w:r>
        <w:rPr>
          <w:rFonts w:ascii="Times New Roman" w:cs="Times New Roman" w:eastAsia="Times New Roman" w:hAnsi="Times New Roman"/>
          <w:sz w:val="18"/>
          <w:szCs w:val="18"/>
          <w:color w:val="auto"/>
        </w:rPr>
        <w:t>”), the Borrower shall (regardless of whether or not such Letter of Credit shall be for the sole account of the Borrower or for the joint account of the Borrower and any Subsidiary) reimburse the L/C Issuer through the Administrative Agent in an amount equal to such drawing in Dollars. If the Borrower fails to so reimburse the L/C Issuer on the L/C Honor Date (or if any such reimbursement payment is required to be refunded to the Borrower for any reason), then (x) the Borrower shall be deemed to have requested a Borrowing of ABR Revolving Loans in the amount of such drawing, and (y) the Administrative Agent shall promptly notify each Revolving Lender of the L/C Honor Date, the amount of the unreimbursed drawing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Revolving Lender’s Applicable Percentage thereof. Such Revolving Loans shall be made by the Revolving Lenders without regard to the Borrowing Minimums and Borrowing Multiples. Any notice given by the L/C Issuer or the Administrative Agent pursuant to this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 For the avoidance of doubt, if any drawing occurs under a Letter of Credit and such drawing is not reimbursed on the same day, the Unreimbursed Amount of such drawing shall, without duplication, accrue interest for each day until the date of reimbursement at (x) prior to the third Business Day following the L/C Honor Date, the rate per annum applicable to the outstanding principal balance of ABR Revolving Loans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and (y) thereafter, a rate per annum equal to the Default Rate applicable to the outstanding principal balance of ABR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358140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94" w:name="page95"/>
    <w:bookmarkEnd w:id="94"/>
    <w:p>
      <w:pPr>
        <w:jc w:val="both"/>
        <w:ind w:left="-460" w:firstLine="1292"/>
        <w:spacing w:after="0" w:line="258" w:lineRule="auto"/>
        <w:tabs>
          <w:tab w:leader="none" w:pos="14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 (including the Revolving Lender acting as the L/C Issuer) shall upon any notice pursuant to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 xml:space="preserve"> make funds available to the Administrative Agent for the account of the L/C Issuer at the Administrative Agent’s Payment Office in an amount equal to its Applicable Percentage of any Unreimbursed Amount in respect of a Letter of Credit in Dollars not later than 1:00 p.m. on the Business Day specified in such notice by the Administrative Agent. The Administrative Agent shall remit the funds so received to the L/C Issuer, and may apply Cash Collateral provided for this purpose to such Unreimbursed Amount.</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43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 that makes funds available pursuant to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xml:space="preserve"> shall be deemed to have made an ABR Revolving Loan in Dollars to the Borrower in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conditions for Revolving Borrowings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cannot be satisfied (and have not been waived) or for any other reason, then (A) the Borrower shall be deemed to have incurred from the L/C Issuer a L/C Borrowing in Dollars in the amount of the Unreimbursed Amount, which L/C Borrowing shall be due and payable on demand (together with interest) and shall bear interest at the Default Rate, and (B) such Revolving Lender shall be deemed to have purchased a participation in such L/C Borrowing in an amount equal to its Applicable Percentage thereof (a “</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60" w:right="20" w:firstLine="1292"/>
        <w:spacing w:after="0" w:line="266" w:lineRule="auto"/>
        <w:tabs>
          <w:tab w:leader="none" w:pos="14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each Revolving Lender funds its Revolving Loan or L/C Advance pursuant to this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to reimburse the L/C Issuer for any amount drawn under any Letter of Credit, interest in respect of such Revolving Lender’s Applicable Percentage of such amount shall be solely for the account of the L/C Issuer.</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3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Lender’s obligation to make Revolving Loans or L/C Advances to reimburse the L/C Issuer for amounts drawn under Letters of Credit, as contemplated by this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shall be absolute and unconditional and shall not be affected by any circumstance;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Revolving Lender’s obligation to make Revolving Loans (but not L/C Advances) pursuant to this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(other than delivery by the Borrower of a Committed Loan Notice). No such making of a L/C Advance shall relieve or otherwise impair the obligation of the Borrower to reimburse the L/C Issuer for the amount of any payment made by the L/C Issuer under any Letter of Credit, together with interest as provided herein.</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54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L/C Issuer any amount required to be paid by such Revolving Lender pursuant to the foregoing provisions of this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xml:space="preserve">, the L/C Issuer shall be entitled to recover from such Revolving Lender (acting through the Administrative Agent), on demand, such amount with interest thereon for the period from the date such payment is required to the date on which such payment is immediately available to the L/C Issuer at the greater of the Federal Funds Effective Rate and a rate determined by the L/C Issuer in accordance with banking industry rules on interbank compensation. A certificate of the L/C Issuer submitted to any Revolving Lender (through the Administrative Agent) with respect to any amounts owing under this </w:t>
      </w:r>
      <w:r>
        <w:rPr>
          <w:rFonts w:ascii="Times New Roman" w:cs="Times New Roman" w:eastAsia="Times New Roman" w:hAnsi="Times New Roman"/>
          <w:sz w:val="18"/>
          <w:szCs w:val="18"/>
          <w:u w:val="single" w:color="auto"/>
          <w:color w:val="auto"/>
        </w:rPr>
        <w:t>Section 2.4(c)(vi)</w:t>
      </w:r>
      <w:r>
        <w:rPr>
          <w:rFonts w:ascii="Times New Roman" w:cs="Times New Roman" w:eastAsia="Times New Roman" w:hAnsi="Times New Roman"/>
          <w:sz w:val="18"/>
          <w:szCs w:val="18"/>
          <w:color w:val="auto"/>
        </w:rPr>
        <w:t xml:space="preserve">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95" w:name="page96"/>
    <w:bookmarkEnd w:id="95"/>
    <w:p>
      <w:pPr>
        <w:jc w:val="both"/>
        <w:ind w:firstLine="1292"/>
        <w:spacing w:after="0" w:line="255" w:lineRule="auto"/>
        <w:tabs>
          <w:tab w:leader="none" w:pos="193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after the L/C Issuer has made a payment under any Letter of Credit and has received from any Revolving Lender such Revolving Lender’s L/C Advance in respect of such payment in accordance with this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the Administrative Agent receives for the account of such Revolving Lender any payment in respect of the related Unreimbursed Amount or interest thereon (whether directly from the Borrower or otherwise, including proceeds of Cash Collateral applied thereto by the Administrative Agent), the Administrative Agent will distribute to such Revolving Lender its Applicable Percentage thereof (appropriately adjusted, in the case of interest payments, to reflect the period of time during which such Revolving Lender’s L/C Advance was outstanding) in the same funds as those received by the Administrative Agent.</w:t>
      </w:r>
    </w:p>
    <w:p>
      <w:pPr>
        <w:spacing w:after="0" w:line="188" w:lineRule="exact"/>
        <w:rPr>
          <w:rFonts w:ascii="Times New Roman" w:cs="Times New Roman" w:eastAsia="Times New Roman" w:hAnsi="Times New Roman"/>
          <w:sz w:val="18"/>
          <w:szCs w:val="18"/>
          <w:color w:val="auto"/>
        </w:rPr>
      </w:pPr>
    </w:p>
    <w:p>
      <w:pPr>
        <w:jc w:val="both"/>
        <w:ind w:firstLine="1292"/>
        <w:spacing w:after="0" w:line="261" w:lineRule="auto"/>
        <w:tabs>
          <w:tab w:leader="none" w:pos="205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Administrative Agent for the account of the L/C Issuer pursuant to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each Revolving Lender shall pay to the Administrative Agent its Applicable Percentage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Revolving Lender, at a rate per annum equal to the Federal Funds Effective Rate.</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2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Borrower to reimburse the L/C Issuer for each drawing under each Letter of Credit issued by it and to repay each L/C Borrowing shall be absolute, unconditional and irrevocable, and shall be paid strictly in accordance with the terms of this Credit Agreement under all circumstances, including the following:</w:t>
      </w:r>
    </w:p>
    <w:p>
      <w:pPr>
        <w:spacing w:after="0" w:line="175" w:lineRule="exact"/>
        <w:rPr>
          <w:rFonts w:ascii="Times New Roman" w:cs="Times New Roman" w:eastAsia="Times New Roman" w:hAnsi="Times New Roman"/>
          <w:sz w:val="18"/>
          <w:szCs w:val="18"/>
          <w:color w:val="auto"/>
        </w:rPr>
      </w:pPr>
    </w:p>
    <w:p>
      <w:pPr>
        <w:ind w:left="2000" w:hanging="708"/>
        <w:spacing w:after="0"/>
        <w:tabs>
          <w:tab w:leader="none" w:pos="20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Credit Agreement, or any other agreement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relating thereto;</w:t>
      </w:r>
    </w:p>
    <w:p>
      <w:pPr>
        <w:spacing w:after="0" w:line="206" w:lineRule="exact"/>
        <w:rPr>
          <w:rFonts w:ascii="Times New Roman" w:cs="Times New Roman" w:eastAsia="Times New Roman" w:hAnsi="Times New Roman"/>
          <w:sz w:val="18"/>
          <w:szCs w:val="18"/>
          <w:color w:val="auto"/>
        </w:rPr>
      </w:pPr>
    </w:p>
    <w:p>
      <w:pPr>
        <w:jc w:val="both"/>
        <w:ind w:firstLine="1292"/>
        <w:spacing w:after="0" w:line="261" w:lineRule="auto"/>
        <w:tabs>
          <w:tab w:leader="none" w:pos="185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L/C Issuer or any other Person, whether in connection with this Credit Agreement, the transactions contemplated hereby or by such Letter of Credit or any agreement or instrument relating thereto, or any unrelated transaction;</w:t>
      </w:r>
    </w:p>
    <w:p>
      <w:pPr>
        <w:spacing w:after="0" w:line="179" w:lineRule="exact"/>
        <w:rPr>
          <w:rFonts w:ascii="Times New Roman" w:cs="Times New Roman" w:eastAsia="Times New Roman" w:hAnsi="Times New Roman"/>
          <w:sz w:val="18"/>
          <w:szCs w:val="18"/>
          <w:color w:val="auto"/>
        </w:rPr>
      </w:pPr>
    </w:p>
    <w:p>
      <w:pPr>
        <w:jc w:val="both"/>
        <w:ind w:firstLine="1292"/>
        <w:spacing w:after="0" w:line="266" w:lineRule="auto"/>
        <w:tabs>
          <w:tab w:leader="none" w:pos="191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5" w:lineRule="exact"/>
        <w:rPr>
          <w:rFonts w:ascii="Times New Roman" w:cs="Times New Roman" w:eastAsia="Times New Roman" w:hAnsi="Times New Roman"/>
          <w:sz w:val="18"/>
          <w:szCs w:val="18"/>
          <w:color w:val="auto"/>
        </w:rPr>
      </w:pPr>
    </w:p>
    <w:p>
      <w:pPr>
        <w:jc w:val="both"/>
        <w:ind w:firstLine="1292"/>
        <w:spacing w:after="0" w:line="258" w:lineRule="auto"/>
        <w:tabs>
          <w:tab w:leader="none" w:pos="197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(x) any proceeding under any Debtor Relief Law or (y) any Bail-In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351155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96" w:name="page97"/>
    <w:bookmarkEnd w:id="96"/>
    <w:p>
      <w:pPr>
        <w:jc w:val="both"/>
        <w:ind w:left="660" w:firstLine="1292"/>
        <w:spacing w:after="0" w:line="266" w:lineRule="auto"/>
        <w:tabs>
          <w:tab w:leader="none" w:pos="263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the Guarantee Agreement or any other guarantee, for all or any of the Loan Document Obligations of any Loan Party in respect of such Letter of Credit; or</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6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any Loan Party;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excuse the L/C Issuer from liability to the Borrower to the extent of any direct damages (as opposed to special, indirect, consequential or punitive damages, claims in respect of which are waived by the Borrower to the extent permitted by applicable law) suffered by the Borrower that are caused by the L/C Issuer’s gross negligence or willful misconduct when determining whether drafts and other documents presented under a Letter of Credit comply with the terms thereof.</w:t>
      </w:r>
    </w:p>
    <w:p>
      <w:pPr>
        <w:spacing w:after="0" w:line="180" w:lineRule="exact"/>
        <w:rPr>
          <w:sz w:val="20"/>
          <w:szCs w:val="20"/>
          <w:color w:val="auto"/>
        </w:rPr>
      </w:pPr>
    </w:p>
    <w:p>
      <w:pPr>
        <w:jc w:val="both"/>
        <w:ind w:firstLine="1304"/>
        <w:spacing w:after="0" w:line="252" w:lineRule="auto"/>
        <w:tabs>
          <w:tab w:leader="none" w:pos="18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L/C Issuer</w:t>
      </w:r>
      <w:r>
        <w:rPr>
          <w:rFonts w:ascii="Times New Roman" w:cs="Times New Roman" w:eastAsia="Times New Roman" w:hAnsi="Times New Roman"/>
          <w:sz w:val="18"/>
          <w:szCs w:val="18"/>
          <w:color w:val="auto"/>
        </w:rPr>
        <w:t xml:space="preserve">.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any of its Related Parties nor any of the correspondents, participants or assignees of the L/C Issuer shall be liable to any Lender for (i) any action taken or omitted in connection herewith at the request or with the approval of the Required Lenders, (ii) 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assumption is not intended to, and shall not, preclude the Borrower from pursuing such rights and remedies as it may have against the beneficiary or transferee at law or under any other agreement. None of the L/C Issuer, any of its Related Parties nor any of the correspondents, participants or assignees of the L/C Issuer shall be liable or responsible for any of the matters described in clauses (i) through (iii) of this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caused by the L/C Issuer’s willful misconduct or gross negligence or the L/C Issuer’s willful or grossly negligent failure to pay under any Letter of Credit after the presentation to it by the beneficiary of a sight draft and certificate(s) strictly complying with the terms and conditions of such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Letter of Credit Application</w:t>
      </w:r>
      <w:r>
        <w:rPr>
          <w:rFonts w:ascii="Times New Roman" w:cs="Times New Roman" w:eastAsia="Times New Roman" w:hAnsi="Times New Roman"/>
          <w:sz w:val="18"/>
          <w:szCs w:val="18"/>
          <w:color w:val="auto"/>
        </w:rPr>
        <w:t xml:space="preserve">. Notwithstanding anything else to the contrary in any Letter of Credit Document (including any Letter of Credit Application), in the event of any conflict between the terms hereof and the terms of any such Letter of Credit Document, the terms hereof shall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non-conflicting terms of any such Letter of Credit Document shall remain in full force and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Limitation of Liability</w:t>
      </w:r>
      <w:r>
        <w:rPr>
          <w:rFonts w:ascii="Times New Roman" w:cs="Times New Roman" w:eastAsia="Times New Roman" w:hAnsi="Times New Roman"/>
          <w:sz w:val="18"/>
          <w:szCs w:val="18"/>
          <w:color w:val="auto"/>
        </w:rPr>
        <w:t>. Unless otherwise expressly agreed by the L/C Issuer and the Borrower when a Letter of Credit is issued, the rules of the ISP shall apply to each standby Letter of Credit. Notwithstanding the foregoing, the L/C Issuer shall not be responsible to any Loan Party for, and the L/C Issuer’s rights and remedies against any such Loan Party shall not be impaired by, any action or inaction of the L/C Issuer required or permitted under any law, order, or practice that is required or permitted to be applied to any Letter of Credit or this Credit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u w:val="single" w:color="auto"/>
          <w:color w:val="auto"/>
        </w:rPr>
        <w:t>Termination and Reduction of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66" w:lineRule="auto"/>
        <w:tabs>
          <w:tab w:leader="none" w:pos="13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(i) the Term Loan Commitments (other than any Incremental Term Loan Commitments) shall automatically terminate upon the making of the Term Loans on the Closing Date, and (ii) the Revolving Commitments shall terminate on the last day of the Availability Period. Any Incremental Term Loan Commitment shall terminate as provided in the applicable Incremental Assumption Agreement.</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54" w:lineRule="auto"/>
        <w:tabs>
          <w:tab w:leader="none" w:pos="13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terminate, or from time to time reduce,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not terminate or reduce the Revolving Commitments if, after giving effect to any concurrent prepayment or repayment of the Revolving Loans and the Swingline Loans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sum of the Revolving Exposures of all Revolving Lenders would exceed the aggregate Revolving Commitments, (ii) each such reduction of the Revolving Commitments shall be in an amount that is an integral multiple of $1,000,000 and not less than $5,000,000, and (iii) any reduction of the Revolving Commitments to an amount below the L/C Sublimit or the Swingline Sublimit shall automatically reduce the L/C Sublimit or the Swingline Sublimit, as applicable, on a Dollar for Dollar basis. If at any time, as a result of such a partial reduction or termination as provided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the Revolving Exposure of all Lenders would exceed the aggregate Revolving Commitments, then the Borrower shall on the date of such reduction or termination of Revolving Commitments, repay or prepay Revolving Borrowings or Swingline Loans (or a combination thereof) and/or Cash Collateralize Letters of Credit in an aggregate amount equal to such excess.</w:t>
      </w:r>
    </w:p>
    <w:p>
      <w:pPr>
        <w:spacing w:after="0" w:line="188" w:lineRule="exact"/>
        <w:rPr>
          <w:rFonts w:ascii="Times New Roman" w:cs="Times New Roman" w:eastAsia="Times New Roman" w:hAnsi="Times New Roman"/>
          <w:sz w:val="18"/>
          <w:szCs w:val="18"/>
          <w:color w:val="auto"/>
        </w:rPr>
      </w:pPr>
    </w:p>
    <w:p>
      <w:pPr>
        <w:ind w:left="-660" w:firstLine="1304"/>
        <w:spacing w:after="0" w:line="282" w:lineRule="auto"/>
        <w:tabs>
          <w:tab w:leader="none" w:pos="129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termination or reduction of the Revolving Commitments under paragraphs (a) and (b) of this Section, the Revolving Commitments shall be reduced as required under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1304"/>
        <w:spacing w:after="0" w:line="254" w:lineRule="auto"/>
        <w:tabs>
          <w:tab w:leader="none" w:pos="125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of any election to terminate or reduce the Revolving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Revolving Lenders of the contents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Revolving Commitments may state that such notice is conditioned upon the effectiveness of other credit facilities, in which case such notice may be revoked by the Borrower (by written notice to the Administrative Agent on or prior to the specified effective date) if such condition is not satisfied subject to the Borrower’s obligation to indemnify the Lenders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Each reduction, and any termination, of the Revolving Commitments shall be permanent and each reduction of the Revolving Commitments shall be made ratably among the Revolving Lenders in accordance with their respective Revolving Commitments.</w:t>
      </w:r>
    </w:p>
    <w:p>
      <w:pPr>
        <w:spacing w:after="0" w:line="18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u w:val="single" w:color="auto"/>
          <w:color w:val="auto"/>
        </w:rPr>
        <w:t>Repayment of Loans; Evidence of Debt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3" w:lineRule="auto"/>
        <w:tabs>
          <w:tab w:leader="none" w:pos="11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at Maturity</w:t>
      </w:r>
      <w:r>
        <w:rPr>
          <w:rFonts w:ascii="Times New Roman" w:cs="Times New Roman" w:eastAsia="Times New Roman" w:hAnsi="Times New Roman"/>
          <w:sz w:val="18"/>
          <w:szCs w:val="18"/>
          <w:color w:val="auto"/>
        </w:rPr>
        <w:t xml:space="preserve">. The Borrower hereby unconditionally promises to pay (i) to the Administrative Agent for the account of (A) each Revolving Lender the then unpaid principal amount of each Revolving Loan together with all accrued interest thereon on the earlier of the Revolving Maturity Date and, if different, the date of the termination of the Revolving Commitments in accordance with the provisions of this Credit Agreement, (B) each Term Lender, the then unpaid principal amount of each Term Loan together with all accrued interest thereon on the earlier of the Maturity Date applicable to the Term Facility and, if different, the date of the acceleration of the Loans in accordance with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(C) each Incremental Term Lender, the then unpaid principal amount of each Incremental Term Loan together with all accrued interest thereon on the earlier of the applicable Incremental Term Loan Maturity Date and, if different, the date of the acceleration of the Loans in accordance with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and (ii) to the Swingline Lender the then unpaid principal amount of each Swingline Loan together with all accrued interest thereon on the earliest of (A) the maturity date selected by the Borrower for such Swingline Loan, (B) the Revolving Maturity Date and (C) the date of the termination of the Revolving Commitments in accordance with the provisions of this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357505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98" w:name="page99"/>
    <w:bookmarkEnd w:id="98"/>
    <w:p>
      <w:pPr>
        <w:jc w:val="both"/>
        <w:ind w:firstLine="1304"/>
        <w:spacing w:after="0" w:line="258" w:lineRule="auto"/>
        <w:tabs>
          <w:tab w:leader="none" w:pos="18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Amortization Payments for Term Loans (other than Other Term Loans)</w:t>
      </w:r>
      <w:r>
        <w:rPr>
          <w:rFonts w:ascii="Times New Roman" w:cs="Times New Roman" w:eastAsia="Times New Roman" w:hAnsi="Times New Roman"/>
          <w:sz w:val="18"/>
          <w:szCs w:val="18"/>
          <w:color w:val="auto"/>
        </w:rPr>
        <w:t xml:space="preserve">. On each date set forth below, the Borrower shall pay to the Administrative Agent, for the account of the Term Lenders (other than Incremental Term Lenders with respect to Other Term Loans), the aggregate unpaid principal balance of the Term Loans (other than Other Term Loans) in an amount equal to (i) the aggregate outstanding principal amount of the Term Loans on the Closing Date (as adjusted from time to time pursuant to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2.7(b)(iii)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percentage set forth below adjacent to such date under the heading “Percentage”:</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60" w:type="dxa"/>
            <w:vAlign w:val="bottom"/>
            <w:tcBorders>
              <w:top w:val="single" w:sz="8" w:color="auto"/>
              <w:left w:val="single" w:sz="8" w:color="auto"/>
              <w:right w:val="single" w:sz="8" w:color="auto"/>
            </w:tcBorders>
          </w:tcPr>
          <w:p>
            <w:pPr>
              <w:spacing w:after="0"/>
              <w:rPr>
                <w:sz w:val="22"/>
                <w:szCs w:val="22"/>
                <w:color w:val="auto"/>
              </w:rPr>
            </w:pPr>
          </w:p>
        </w:tc>
        <w:tc>
          <w:tcPr>
            <w:tcW w:w="5240" w:type="dxa"/>
            <w:vAlign w:val="bottom"/>
            <w:tcBorders>
              <w:top w:val="single" w:sz="8" w:color="auto"/>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5940" w:type="dxa"/>
            <w:vAlign w:val="bottom"/>
            <w:tcBorders>
              <w:top w:val="single" w:sz="8" w:color="auto"/>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2021</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1.250%</w:t>
            </w: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30, 2021</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1.250%</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1.250%</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2021</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1.250%</w:t>
            </w: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1.875%</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30, 2022</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1.875%</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1.875%</w:t>
            </w: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2022</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1.875%</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2023</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1.875%</w:t>
            </w: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1.875%</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1.875%</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2023</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1.875%</w:t>
            </w: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2024</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2.500%</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30, 2024</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2.500%</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2.500%</w:t>
            </w: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2024</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2.500%</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2.500%</w:t>
            </w: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30, 2025</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2.500%</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2.500%</w:t>
            </w:r>
          </w:p>
        </w:tc>
      </w:tr>
      <w:tr>
        <w:trPr>
          <w:trHeight w:val="233"/>
        </w:trPr>
        <w:tc>
          <w:tcPr>
            <w:tcW w:w="60" w:type="dxa"/>
            <w:vAlign w:val="bottom"/>
            <w:tcBorders>
              <w:left w:val="single" w:sz="8" w:color="auto"/>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Loan Maturity Date</w:t>
            </w:r>
          </w:p>
        </w:tc>
        <w:tc>
          <w:tcPr>
            <w:tcW w:w="5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Total Remaining Principal Balance</w:t>
            </w:r>
          </w:p>
        </w:tc>
      </w:tr>
    </w:tbl>
    <w:p>
      <w:pPr>
        <w:spacing w:after="0" w:line="194" w:lineRule="exact"/>
        <w:rPr>
          <w:sz w:val="20"/>
          <w:szCs w:val="20"/>
          <w:color w:val="auto"/>
        </w:rPr>
      </w:pPr>
    </w:p>
    <w:p>
      <w:pPr>
        <w:jc w:val="both"/>
        <w:ind w:firstLine="1304"/>
        <w:spacing w:after="0" w:line="258" w:lineRule="auto"/>
        <w:tabs>
          <w:tab w:leader="none" w:pos="197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Amortization Payments for Other Term Loans</w:t>
      </w:r>
      <w:r>
        <w:rPr>
          <w:rFonts w:ascii="Times New Roman" w:cs="Times New Roman" w:eastAsia="Times New Roman" w:hAnsi="Times New Roman"/>
          <w:sz w:val="18"/>
          <w:szCs w:val="18"/>
          <w:color w:val="auto"/>
        </w:rPr>
        <w:t xml:space="preserve">. The Borrower shall pay to the Administrative Agent, for the account of the applicable Incremental Term Lenders with respect to Other Term Loans, on each Incremental Term Loan Repayment Date, a principal amount of the Other Term Loans (as adjusted from time to time pursuant to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2.7(b)(iii)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2.11(d)</w:t>
      </w:r>
      <w:r>
        <w:rPr>
          <w:rFonts w:ascii="Times New Roman" w:cs="Times New Roman" w:eastAsia="Times New Roman" w:hAnsi="Times New Roman"/>
          <w:sz w:val="18"/>
          <w:szCs w:val="18"/>
          <w:color w:val="auto"/>
        </w:rPr>
        <w:t>) equal to the amount set forth in the applicable Incremental Assumption Agreement, together in each case with accrued and unpaid interest on the principal amount to be paid to, but excluding, the date of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jc w:val="both"/>
        <w:ind w:left="-8" w:firstLine="1304"/>
        <w:spacing w:after="0" w:line="258" w:lineRule="auto"/>
        <w:tabs>
          <w:tab w:leader="none" w:pos="18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Any Lender may request through the Administrative Agent that Loans made by it be evidenced by a promissory note. In such event, the Borrower shall execute and deliver to (i) in the case of a Revolving Lender, a Revolving Loan Note, (ii) in the case of a Term Lender, a Term Loan Note and (iii) in the case of the Swingline Lender, a Swingline Loan Note. In addition, if requested by a Lender, its Note may be made payable to such Lender and its registered assigns in which case all Loans evidenced by such Note and interest thereon shall at all times (including after assignment pursuant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be represented by one or more Notes in like form payable to the order of the payee named therein and its registered assigns.</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20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Records</w:t>
      </w:r>
      <w:r>
        <w:rPr>
          <w:rFonts w:ascii="Times New Roman" w:cs="Times New Roman" w:eastAsia="Times New Roman" w:hAnsi="Times New Roman"/>
          <w:sz w:val="18"/>
          <w:szCs w:val="18"/>
          <w:color w:val="auto"/>
        </w:rPr>
        <w:t>. Each Lender shall maintain in accordance with its usual practice an account or accounts evidencing the indebtedness of the Borrower to such Lender resulting from each Loan owing to such Lender from time to time,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80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Entries made in good faith by the Administrative Agent in the Register pursuant to </w:t>
      </w:r>
      <w:r>
        <w:rPr>
          <w:rFonts w:ascii="Times New Roman" w:cs="Times New Roman" w:eastAsia="Times New Roman" w:hAnsi="Times New Roman"/>
          <w:sz w:val="18"/>
          <w:szCs w:val="18"/>
          <w:u w:val="single" w:color="auto"/>
          <w:color w:val="auto"/>
        </w:rPr>
        <w:t>Section 10.4(c)</w:t>
      </w:r>
      <w:r>
        <w:rPr>
          <w:rFonts w:ascii="Times New Roman" w:cs="Times New Roman" w:eastAsia="Times New Roman" w:hAnsi="Times New Roman"/>
          <w:sz w:val="18"/>
          <w:szCs w:val="18"/>
          <w:color w:val="auto"/>
        </w:rPr>
        <w:t xml:space="preserve">, and by each Lender in its account or accounts pursuant to </w:t>
      </w:r>
      <w:r>
        <w:rPr>
          <w:rFonts w:ascii="Times New Roman" w:cs="Times New Roman" w:eastAsia="Times New Roman" w:hAnsi="Times New Roman"/>
          <w:sz w:val="18"/>
          <w:szCs w:val="18"/>
          <w:u w:val="single" w:color="auto"/>
          <w:color w:val="auto"/>
        </w:rPr>
        <w:t>Section 2.6(e)</w:t>
      </w:r>
      <w:r>
        <w:rPr>
          <w:rFonts w:ascii="Times New Roman" w:cs="Times New Roman" w:eastAsia="Times New Roman" w:hAnsi="Times New Roman"/>
          <w:sz w:val="18"/>
          <w:szCs w:val="18"/>
          <w:color w:val="auto"/>
        </w:rPr>
        <w:t xml:space="preserve">, shall be prima facie evidence of the amount of principal and interest due and payable or to become due and payable from the Borrower to, in the case of the Register, each Lender and, in the case of such account or accounts, such Lender, under this Credit Agreement,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failure of the Administrative Agent or such Lender to make an entry, or any finding that an entry is incorrect, in the Register or such account or accounts shall not limit or otherwise affect the obligations of the Borrower under this Credit Agreement.</w:t>
      </w:r>
    </w:p>
    <w:p>
      <w:pPr>
        <w:spacing w:after="0" w:line="187" w:lineRule="exact"/>
        <w:rPr>
          <w:sz w:val="20"/>
          <w:szCs w:val="20"/>
          <w:color w:val="auto"/>
        </w:rPr>
      </w:pPr>
    </w:p>
    <w:p>
      <w:pPr>
        <w:ind w:left="652"/>
        <w:spacing w:after="0"/>
        <w:tabs>
          <w:tab w:leader="none" w:pos="1852"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u w:val="single" w:color="auto"/>
          <w:color w:val="auto"/>
        </w:rPr>
        <w:t>Prepayments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5" w:lineRule="auto"/>
        <w:tabs>
          <w:tab w:leader="none" w:pos="181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(i) The Borrower may, upon written notice to the Administrative Agent, at any time and from time to time, voluntarily prepay any Borrowing of any Class (other than Swingline Loans) in whole or in part without premium or penalty (except as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Administrative Agent not later than 1:00 p.m. (1) three Government Securities Business Days prior to any date of prepayment of a SOFR Borrowing and (2) one Business Day prior to the date of prepayment of an ABR Borrowing and</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9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prepayment shall be in a principal amount of (x) with respect to Revolving Loans, minimum amounts of $100,000 and in multiples of $50,000 thereafter, and (y) with respect to Term Loans, minimum amounts of $500,000 and in multiples of $100,000 thereafter or, in each case,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may state that such notice is conditioned upon the effectiveness of other credit facilities, in which case such notice may be revoked by the Borrower (by written notice to the Administrative Agent on or prior to the specified effective date) if such condition is not satisfied subject to the Borrower’s obligation to indemnify the Lenders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Each prepayment of Term Loans pursuant to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shall be applied against the scheduled repayments of the Term Loans under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on a ratable basis and in the inverse order of maturity and shall be paid to the Administrative Agent for the account of the Appropriate Lenders in accordance with their respective Applicable Percentages.</w:t>
      </w:r>
    </w:p>
    <w:p>
      <w:pPr>
        <w:spacing w:after="0" w:line="192" w:lineRule="exact"/>
        <w:rPr>
          <w:rFonts w:ascii="Times New Roman" w:cs="Times New Roman" w:eastAsia="Times New Roman" w:hAnsi="Times New Roman"/>
          <w:sz w:val="18"/>
          <w:szCs w:val="18"/>
          <w:color w:val="auto"/>
        </w:rPr>
      </w:pPr>
    </w:p>
    <w:p>
      <w:pPr>
        <w:jc w:val="both"/>
        <w:ind w:left="652" w:firstLine="1292"/>
        <w:spacing w:after="0" w:line="256" w:lineRule="auto"/>
        <w:tabs>
          <w:tab w:leader="none" w:pos="2527"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upon written notice to the Swingline Lender (with a copy to the Administrative Agent), at any time or from time to time, voluntarily prepay Swingline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Swingline Lender and the Administrative Agent not later than 1:00 p.m. on the date of the prepayment and (B) any such prepayment shall be in a principal amount of $100,000 or a whole multiple of $50,000 in excess thereof or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00" w:name="page101"/>
    <w:bookmarkEnd w:id="100"/>
    <w:p>
      <w:pPr>
        <w:ind w:left="700" w:hanging="516"/>
        <w:spacing w:after="0"/>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20" w:hanging="488"/>
        <w:spacing w:after="0"/>
        <w:tabs>
          <w:tab w:leader="none" w:pos="13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Cash Proceeds; Extraordinary Receipts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2081"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In the event that any Loan Party or any of its Subsidiaries receives Net Cash Proceeds in respect of any Disposition, then, substantially simultaneously with (and in any event not later than the third Business Day next following) the receipt of such Net Cash Proceeds, the Borrower shall prepay the Term Loans in an aggregate principal amount equal to 100% of such Net Cash Proceeds in excess of $5,000,000</w:t>
      </w:r>
      <w:r>
        <w:rPr>
          <w:rFonts w:ascii="Times New Roman" w:cs="Times New Roman" w:eastAsia="Times New Roman" w:hAnsi="Times New Roman"/>
          <w:sz w:val="18"/>
          <w:szCs w:val="18"/>
          <w:u w:val="single" w:color="auto"/>
          <w:color w:val="0000FF"/>
        </w:rPr>
        <w:t>; provided, however, that during the 2024 Covenant Relief Period the Borrower shall prepay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Term Loans in an aggregate principal amount equal to 100% of such Net Cash Proceeds in excess of $1,000,000.</w:t>
      </w:r>
    </w:p>
    <w:p>
      <w:pPr>
        <w:spacing w:after="0" w:line="183"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139"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Incurrences</w:t>
      </w:r>
      <w:r>
        <w:rPr>
          <w:rFonts w:ascii="Times New Roman" w:cs="Times New Roman" w:eastAsia="Times New Roman" w:hAnsi="Times New Roman"/>
          <w:sz w:val="18"/>
          <w:szCs w:val="18"/>
          <w:color w:val="auto"/>
        </w:rPr>
        <w:t>. In the event that any Loan Party or any of its Subsidiaries receives Net Cash Proceeds in respect of any Debt Incurrence, then, substantially simultaneously with (and in any event not later than the third Business Day next following) the receipt of such Net Cash Proceeds, the Borrower shall prepay the Term Loans in an aggregate principal amount equal to 100% of such Net Cash Proceeds.</w:t>
      </w:r>
    </w:p>
    <w:p>
      <w:pPr>
        <w:spacing w:after="0" w:line="179"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152"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Casualty Events</w:t>
      </w:r>
      <w:r>
        <w:rPr>
          <w:rFonts w:ascii="Times New Roman" w:cs="Times New Roman" w:eastAsia="Times New Roman" w:hAnsi="Times New Roman"/>
          <w:sz w:val="18"/>
          <w:szCs w:val="18"/>
          <w:color w:val="auto"/>
        </w:rPr>
        <w:t>. In the event that any Loan Party or any of its Subsidiaries receives Net Cash Proceeds in respect of any Casualty Event, then, substantially simultaneously with (and in any event not later than the third Business Day next following) the receipt of such Net Cash Proceeds, the Borrower shall prepay the Term Loans in an aggregate principal amount equal to 100% of such Net Cash Proceeds in excess of $3,000,000.</w:t>
      </w:r>
    </w:p>
    <w:p>
      <w:pPr>
        <w:spacing w:after="0" w:line="179"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094"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Extraordinary Receipts</w:t>
      </w:r>
      <w:r>
        <w:rPr>
          <w:rFonts w:ascii="Times New Roman" w:cs="Times New Roman" w:eastAsia="Times New Roman" w:hAnsi="Times New Roman"/>
          <w:sz w:val="18"/>
          <w:szCs w:val="18"/>
          <w:color w:val="auto"/>
        </w:rPr>
        <w:t>. In the event that any Loan Party or any of its Subsidiaries receives any Extraordinary Receipt, then, substantially simultaneously with (and in any event not later than the third Business Day next following) the receipt thereof, the Borrower shall prepay the Term Loans in an aggregate principal amount equal to 100% of such Extraordinary Receipt.</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13" w:lineRule="auto"/>
        <w:tabs>
          <w:tab w:leader="none" w:pos="149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 Related to Excess Cash Flow</w:t>
      </w:r>
      <w:r>
        <w:rPr>
          <w:rFonts w:ascii="Times New Roman" w:cs="Times New Roman" w:eastAsia="Times New Roman" w:hAnsi="Times New Roman"/>
          <w:sz w:val="18"/>
          <w:szCs w:val="18"/>
          <w:color w:val="auto"/>
        </w:rPr>
        <w:t>. Not later than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end of each Fiscal Year, commencing with the Fiscal Year ending on December 31, 2021, the Borrower shall prepay the Term Loans in an aggregate principal amount equal to the applicable Excess Cash Flow Percentage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Excess Cash Flow for such Fiscal Year.</w:t>
      </w:r>
    </w:p>
    <w:p>
      <w:pPr>
        <w:spacing w:after="0" w:line="200"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47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Mandatory Prepayments</w:t>
      </w:r>
      <w:r>
        <w:rPr>
          <w:rFonts w:ascii="Times New Roman" w:cs="Times New Roman" w:eastAsia="Times New Roman" w:hAnsi="Times New Roman"/>
          <w:sz w:val="18"/>
          <w:szCs w:val="18"/>
          <w:color w:val="auto"/>
        </w:rPr>
        <w:t xml:space="preserve">. Each prepayment of outstanding Term Loans required to be made pursuant to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shall be allocated pro rata among the Term Loans and applied against the remaining scheduled installments of principal due in respect of Term Loans under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respectively, in the inverse order of maturity of such remaining scheduled installments;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applying all or a portion of such prepayment to the Term Loans, the Term Loans have been paid in full, any unapplied portion thereof shall be applied to the prepayment of the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351155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1" w:name="page102"/>
    <w:bookmarkEnd w:id="101"/>
    <w:p>
      <w:pPr>
        <w:jc w:val="both"/>
        <w:ind w:firstLine="1292"/>
        <w:spacing w:after="0" w:line="258" w:lineRule="auto"/>
        <w:tabs>
          <w:tab w:leader="none" w:pos="21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Mandatory Prepayment</w:t>
      </w:r>
      <w:r>
        <w:rPr>
          <w:rFonts w:ascii="Times New Roman" w:cs="Times New Roman" w:eastAsia="Times New Roman" w:hAnsi="Times New Roman"/>
          <w:sz w:val="18"/>
          <w:szCs w:val="18"/>
          <w:color w:val="auto"/>
        </w:rPr>
        <w:t xml:space="preserve">. The Borrower shall deliver to the Administrative Agent, at the time of each prepayment required under this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(i) a certificate signed by a Financial Officer of the Borrower setting forth in reasonable detail the calculation of the amount of such prepayment and (ii) to the extent practicable, at least three Business Days’ prior written notice of such prepayment. Each notice of prepayment shall specify the prepayment date, the Type of each Loan being prepaid and the principal amount of each Loan (or portion thereof) to be prepaid.</w:t>
      </w:r>
    </w:p>
    <w:p>
      <w:pPr>
        <w:spacing w:after="0" w:line="183"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1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Prepayments of Revolving Loans</w:t>
      </w:r>
      <w:r>
        <w:rPr>
          <w:rFonts w:ascii="Times New Roman" w:cs="Times New Roman" w:eastAsia="Times New Roman" w:hAnsi="Times New Roman"/>
          <w:sz w:val="18"/>
          <w:szCs w:val="18"/>
          <w:color w:val="auto"/>
        </w:rPr>
        <w:t>. If for any reason the Total Revolving Outstandings at any time exceed the aggregate Revolving Commitments then in effect, the Borrower shall immediately prepay, without premium or penalty, Revolving Loans and Swingline Loans and/or Cash Collateralize the L/C Obligations in an aggregate amount equal to such excess.</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3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Rules</w:t>
      </w:r>
      <w:r>
        <w:rPr>
          <w:rFonts w:ascii="Times New Roman" w:cs="Times New Roman" w:eastAsia="Times New Roman" w:hAnsi="Times New Roman"/>
          <w:sz w:val="18"/>
          <w:szCs w:val="18"/>
          <w:color w:val="auto"/>
        </w:rPr>
        <w:t xml:space="preserve">. All prepayments shall be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but shall otherwise be without premium or penalty. Each prepayment of a Borrowing shall be applied ratably to the Loans included in the prepaid Borrowing. All prepayments shall be accompanied by accrued interest thereon and, in the case of any prepayment of a SOFR Loan, any additional amounts required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u w:val="single" w:color="auto"/>
          <w:color w:val="auto"/>
        </w:rPr>
        <w:t>Payments Generally; Administrative Agent’s Clawback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2" w:lineRule="auto"/>
        <w:tabs>
          <w:tab w:leader="none" w:pos="12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Each Loan Party shall make each payment required to be made by it hereunder or under any other Loan Document (whether of principal of Loans, L/C Borrowings, interest or fees, or of amounts payable under </w:t>
      </w:r>
      <w:r>
        <w:rPr>
          <w:rFonts w:ascii="Times New Roman" w:cs="Times New Roman" w:eastAsia="Times New Roman" w:hAnsi="Times New Roman"/>
          <w:sz w:val="18"/>
          <w:szCs w:val="18"/>
          <w:u w:val="single" w:color="auto"/>
          <w:color w:val="auto"/>
        </w:rPr>
        <w:t>Sections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or otherwise) prior to 12:00 noon on the date when due, in immediately available funds. In furtherance of the foregoing, the Borrower hereby irrevocably authorizes the Administrative Agent, in the Administrative Agent’s sole discretion, to request on behalf of the Borrower, Revolving Loans (which shall be ABR Loans) or Swingline Loans, in an amount sufficient to pay all principal, L/C Borrowings, interest, fees, or other amounts from time to time due and payable by any Loan Party to any Credit Party hereunder or under any other Loan Document. All payments to be made by a Loan Party hereunder shall be made free and clear of and without condition or deduction for any counterclaim, defense, recoupment or setoff,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Agent’s Payment Office, except payments to be made to the L/C Issuer or the Swingline Lender as expressly provided herein and except that payments pursuant to </w:t>
      </w:r>
      <w:r>
        <w:rPr>
          <w:rFonts w:ascii="Times New Roman" w:cs="Times New Roman" w:eastAsia="Times New Roman" w:hAnsi="Times New Roman"/>
          <w:sz w:val="18"/>
          <w:szCs w:val="18"/>
          <w:u w:val="single" w:color="auto"/>
          <w:color w:val="auto"/>
        </w:rPr>
        <w:t>Sections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97" w:lineRule="exact"/>
        <w:rPr>
          <w:rFonts w:ascii="Times New Roman" w:cs="Times New Roman" w:eastAsia="Times New Roman" w:hAnsi="Times New Roman"/>
          <w:sz w:val="18"/>
          <w:szCs w:val="18"/>
          <w:color w:val="auto"/>
        </w:rPr>
      </w:pPr>
    </w:p>
    <w:p>
      <w:pPr>
        <w:jc w:val="both"/>
        <w:ind w:left="-660" w:firstLine="1304"/>
        <w:spacing w:after="0" w:line="255" w:lineRule="auto"/>
        <w:tabs>
          <w:tab w:leader="none" w:pos="13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Treatment</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and as otherwise required under </w:t>
      </w:r>
      <w:r>
        <w:rPr>
          <w:rFonts w:ascii="Times New Roman" w:cs="Times New Roman" w:eastAsia="Times New Roman" w:hAnsi="Times New Roman"/>
          <w:sz w:val="18"/>
          <w:szCs w:val="18"/>
          <w:u w:val="single" w:color="auto"/>
          <w:color w:val="auto"/>
        </w:rPr>
        <w:t>Section 3.4(e)</w:t>
      </w:r>
      <w:r>
        <w:rPr>
          <w:rFonts w:ascii="Times New Roman" w:cs="Times New Roman" w:eastAsia="Times New Roman" w:hAnsi="Times New Roman"/>
          <w:sz w:val="18"/>
          <w:szCs w:val="18"/>
          <w:color w:val="auto"/>
        </w:rPr>
        <w:t>, each Borrowing, each payment or prepayment of principal of any Borrowing, each payment of interest on the Loans, each payment of fees, each reduction of the Revolving Commitments and each conversion of any Borrowing to or continuation of any Borrowing as a Borrowing of any Type shall be allocated pro rata among the Appropriate Lenders in accordance with their respective applicable Commitments (or, if such Commitments shall have expired or been terminated, in accordance with the respective principal amounts of their outstanding Loans of the applicable Class). Each Lender agrees that in computing such Lender’s portion of any Borrowing to be made hereunder, the Administrative Agent may, in its discretion, round each Lender’s percentage of such Borrowing to the next higher or lower whole Dollar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354330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02" w:name="page103"/>
    <w:bookmarkEnd w:id="102"/>
    <w:p>
      <w:pPr>
        <w:jc w:val="both"/>
        <w:ind w:left="-1120" w:firstLine="1304"/>
        <w:spacing w:after="0" w:line="253" w:lineRule="auto"/>
        <w:tabs>
          <w:tab w:leader="none" w:pos="82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Agent’s Clawback</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Appropriate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(A) in the case of a payment to be made by such Lender, the greater of the Federal Funds Effective Rate and a rate determined by the Administrative Agent in accordance with banking industry rules on interbank compensation, and (B) in the case of a payment to be made by the Borrower, the interest rate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47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Borrower; Presumptions by Administrative Agent</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 In such event, if the Borrower has not in fact made such payment, then each of the Lenders or the L/C Issuer, as the case may be, severally agrees to repay to the Administrative Agent forthwith on demand the amount so distributed to such Lender or the L/C Issuer,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8" w:lineRule="exact"/>
        <w:rPr>
          <w:rFonts w:ascii="Times New Roman" w:cs="Times New Roman" w:eastAsia="Times New Roman" w:hAnsi="Times New Roman"/>
          <w:sz w:val="18"/>
          <w:szCs w:val="18"/>
          <w:color w:val="auto"/>
        </w:rPr>
      </w:pPr>
    </w:p>
    <w:p>
      <w:pPr>
        <w:ind w:left="-460" w:firstLine="1292"/>
        <w:spacing w:after="0" w:line="282" w:lineRule="auto"/>
        <w:tabs>
          <w:tab w:leader="none" w:pos="143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Administrative Agent</w:t>
      </w:r>
      <w:r>
        <w:rPr>
          <w:rFonts w:ascii="Times New Roman" w:cs="Times New Roman" w:eastAsia="Times New Roman" w:hAnsi="Times New Roman"/>
          <w:sz w:val="18"/>
          <w:szCs w:val="18"/>
          <w:color w:val="auto"/>
        </w:rPr>
        <w:t>. A notice from the Administrative Agent to any Lender or the Borrower with respect to any amount owing under this paragraph (c) shall be conclusive, absent manifest error.</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71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xml:space="preserve">. The obligations of the Lenders hereunder to make Loans and purchase participations in Letters of Credit and Swingline Loans and to make payments pursuant to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xml:space="preserve"> are several and not joint. The failure of any Lender to make any Loan or purchase participations in Letters of Credit and Swingline Loans or make any payment under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purchase its participation in Letters of Credit and Swingline Loans or to make its payment under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69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borrowing of Loans set forth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3" w:name="page104"/>
    <w:bookmarkEnd w:id="103"/>
    <w:p>
      <w:pPr>
        <w:ind w:firstLine="1304"/>
        <w:spacing w:after="0" w:line="282" w:lineRule="auto"/>
        <w:tabs>
          <w:tab w:leader="none" w:pos="179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Payment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whenever any payment received by the Administrative Agent under this Credit Agreement or any of the other Loan Documents is insufficient to pay in full all amounts due and payable to the Credit Parties under or in respect of this Credit Agreement and the other Loan Documents on any date, such payment shall be distributed by the Administrative Agent and applied by the Administrative Agent (i) first, towards payment of all fees and expenses due to the Administrative Agent under the Loan Documents, (ii) second, towards payment of all expenses then due hereunder, ratably among the parties entitled thereto in accordance herewith, (iii) third, towards payment of interest, fees and commissions then due hereunder, ratably among the parties entitled thereto in accordance with the amounts of interest, fees and commissions then due to such parties, and (iv) fourth, towards payment of principal of Loans and unreimbursed L/C Borrowings then due hereunder, ratably among the parties entitled thereto in accordance with the amounts of principal of Loans and unreimbursed L/C Borrowings then due to such parties.</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6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Sharing of Payments by Lenders</w:t>
      </w:r>
      <w:r>
        <w:rPr>
          <w:rFonts w:ascii="Times New Roman" w:cs="Times New Roman" w:eastAsia="Times New Roman" w:hAnsi="Times New Roman"/>
          <w:sz w:val="18"/>
          <w:szCs w:val="18"/>
          <w:color w:val="auto"/>
        </w:rPr>
        <w:t xml:space="preserve">. If any Lender shall, by exercising any right of setoff or counterclaim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such Lender shall (x) notify the Administrative Agent of such fact, and (y)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8"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58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49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paragraph shall not be construed to apply to (x) any payment made by the Borrower pursuant to and in accordance with the express terms of this Credit Agreement (including the application of funds arising from the existence of a Defaulting Lender), or (y) any payment obtained by a Lender as consideration for the assignment of or sale of a participation in any of its Loans or participations in L/C Disbursements to any assignee or participant.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Borrower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7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7"/>
          <w:szCs w:val="17"/>
          <w:u w:val="single" w:color="auto"/>
          <w:color w:val="auto"/>
        </w:rPr>
        <w:t>Defaulting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9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Adjustments</w:t>
      </w:r>
      <w:r>
        <w:rPr>
          <w:rFonts w:ascii="Times New Roman" w:cs="Times New Roman" w:eastAsia="Times New Roman" w:hAnsi="Times New Roman"/>
          <w:sz w:val="18"/>
          <w:szCs w:val="18"/>
          <w:color w:val="auto"/>
        </w:rPr>
        <w:t>. Notwithstanding anything to the contrary contained in this Credit Agreement, if any Lender becomes a Defaulting Lender, then, until such time as such Lender is no longer a Defaulting Lender,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ind w:left="-460" w:firstLine="1292"/>
        <w:spacing w:after="0" w:line="282" w:lineRule="auto"/>
        <w:tabs>
          <w:tab w:leader="none" w:pos="137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Credit Agreement shall be restricted as set forth in the definition of Required Lenders.</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51" w:lineRule="auto"/>
        <w:tabs>
          <w:tab w:leader="none" w:pos="143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the L/C Issuer or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the L/C Issuer’s Fronting Exposure with respect to such Defaulting Lender in accordance with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Borrower may request (so long as no Default exists), to the funding of any Loan in respect of which such Defaulting Lender has failed to fund its portion thereof as required by this Credit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Credit Agreement and (y) Cash Collateralize the L/C Issuer’s future Fronting Exposure with respect to such Defaulting Lender with respect to future Letters of Credit issued under this Credit Agreement, in accordance with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the L/C Issuer or Swingline Lender as a result of any judgment of a court of competent jurisdiction obtained by any Lender, the L/C Issuer or Swingline Lender against such Defaulting Lender as a result of such Defaulting Lender’s breach of its obligations under this Credit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Credit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were satisfied or waived, such payment shall be applied solely to pay the Loans of, and L/C Borrowings owed to, all Non-Defaulting Lenders on a pro rata basis prior to being applied to the payment of any Loans of, or L/C Borrowings owed to, such Defaulting Lender until such time as all Loans and funded and unfunded participations in L/C Obligations and Swingline Loans are held by the Lenders pro rata in accordance with the Commitments under the applicable Facility without giving effect to </w:t>
      </w:r>
      <w:r>
        <w:rPr>
          <w:rFonts w:ascii="Times New Roman" w:cs="Times New Roman" w:eastAsia="Times New Roman" w:hAnsi="Times New Roman"/>
          <w:sz w:val="18"/>
          <w:szCs w:val="18"/>
          <w:u w:val="single" w:color="auto"/>
          <w:color w:val="auto"/>
        </w:rPr>
        <w:t>Section 2.9(a)(iv)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2.9(a)(ii)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204" w:lineRule="exact"/>
        <w:rPr>
          <w:rFonts w:ascii="Times New Roman" w:cs="Times New Roman" w:eastAsia="Times New Roman" w:hAnsi="Times New Roman"/>
          <w:sz w:val="18"/>
          <w:szCs w:val="18"/>
          <w:color w:val="auto"/>
        </w:rPr>
      </w:pPr>
    </w:p>
    <w:p>
      <w:pPr>
        <w:ind w:left="1420" w:hanging="588"/>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04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214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Defaulting Lender shall be entitled to receive L/C Participation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346075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5" w:name="page106"/>
    <w:bookmarkEnd w:id="105"/>
    <w:p>
      <w:pPr>
        <w:jc w:val="both"/>
        <w:ind w:left="180" w:firstLine="1300"/>
        <w:spacing w:after="0" w:line="255" w:lineRule="auto"/>
        <w:tabs>
          <w:tab w:leader="none" w:pos="2134"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L/C Participation Fees and Commitment Fees not required to be paid to any Defaulting Lender pursuant to clause (A) or (B) above, the Borrower shall (x)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(y) pay to the L/C Issuer and Swingline Lender, as applicable, the amount of any such fee otherwise payable to such Defaulting Lender to the extent allocable to the L/C Issuer’s or Swingline Lender’s Fronting Exposure to such Defaulting Lender, and (z) not be required to pay the remaining amount of any such fee.</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43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Participations to Reduce Fronting Exposure</w:t>
      </w:r>
      <w:r>
        <w:rPr>
          <w:rFonts w:ascii="Times New Roman" w:cs="Times New Roman" w:eastAsia="Times New Roman" w:hAnsi="Times New Roman"/>
          <w:sz w:val="18"/>
          <w:szCs w:val="18"/>
          <w:color w:val="auto"/>
        </w:rPr>
        <w:t xml:space="preserve">. If any L/C Obligations or Swingline Loans are outstanding at the time such Lender becomes a Defaulting Lender, then all or any part of the Swingline Exposure and L/C Exposure of such Defaulting Lender shall be reallocated among the non-Defaulting Lenders in accordance with their respective Applicable Percentages (calculated without regard to such Defaulting Lender’s Revolving Commitment) but only to the extent that such reallocation does not cause the aggregate Revolving Exposure of any Non-Defaulting Lender to exceed such Non-Defaulting Lender’s Revolving Commitment. Subject to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44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Swingline Loans</w:t>
      </w:r>
      <w:r>
        <w:rPr>
          <w:rFonts w:ascii="Times New Roman" w:cs="Times New Roman" w:eastAsia="Times New Roman" w:hAnsi="Times New Roman"/>
          <w:sz w:val="18"/>
          <w:szCs w:val="18"/>
          <w:color w:val="auto"/>
        </w:rPr>
        <w:t xml:space="preserve">. If the reallocation described in clause (iv) above cannot, or can only partially, be effected, the Borrower shall, without prejudice to any right or remedy available to it hereunder or under law, (x) first, prepay Swingline Loans in an amount equal to the Swingline Lender’s Fronting Exposure and (y) second, Cash Collateralize the L/C Issuer’s Fronting Exposure in accordance with the procedures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76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Administrative Agent and each Swingline Lender and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Commitments under the applicable Facility (without giving effect to </w:t>
      </w:r>
      <w:r>
        <w:rPr>
          <w:rFonts w:ascii="Times New Roman" w:cs="Times New Roman" w:eastAsia="Times New Roman" w:hAnsi="Times New Roman"/>
          <w:sz w:val="18"/>
          <w:szCs w:val="18"/>
          <w:u w:val="single" w:color="auto"/>
          <w:color w:val="auto"/>
        </w:rPr>
        <w:t>Section 2.9(a)(iv)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81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Swingline Loans/Letters of Credit</w:t>
      </w:r>
      <w:r>
        <w:rPr>
          <w:rFonts w:ascii="Times New Roman" w:cs="Times New Roman" w:eastAsia="Times New Roman" w:hAnsi="Times New Roman"/>
          <w:sz w:val="18"/>
          <w:szCs w:val="18"/>
          <w:color w:val="auto"/>
        </w:rPr>
        <w:t>. So long as any Lender is a Defaulting Lender, (i) the Swingline Lender shall not be required to fund any Swingline Loans unless it is satisfied that it will have no Fronting Exposure after giving effect to such Swingline Loan and (ii) the L/C Issuer shall not be required to issue, extend, renew or increase any Letter of Credit unless it is satisfied that it will have no Fronting Exposure after giving effect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6" w:name="page107"/>
    <w:bookmarkEnd w:id="106"/>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Cash Collateral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160" w:hanging="516"/>
        <w:spacing w:after="0"/>
        <w:tabs>
          <w:tab w:leader="none" w:pos="1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Credit Support Events</w:t>
      </w:r>
      <w:r>
        <w:rPr>
          <w:rFonts w:ascii="Times New Roman" w:cs="Times New Roman" w:eastAsia="Times New Roman" w:hAnsi="Times New Roman"/>
          <w:sz w:val="18"/>
          <w:szCs w:val="18"/>
          <w:color w:val="auto"/>
        </w:rPr>
        <w:t>. The Borrower shall provide Cash Collateral to the L/C Issuer:</w:t>
      </w:r>
    </w:p>
    <w:p>
      <w:pPr>
        <w:spacing w:after="0" w:line="225" w:lineRule="exact"/>
        <w:rPr>
          <w:rFonts w:ascii="Times New Roman" w:cs="Times New Roman" w:eastAsia="Times New Roman" w:hAnsi="Times New Roman"/>
          <w:sz w:val="18"/>
          <w:szCs w:val="18"/>
          <w:color w:val="auto"/>
        </w:rPr>
      </w:pPr>
    </w:p>
    <w:p>
      <w:pPr>
        <w:jc w:val="both"/>
        <w:ind w:firstLine="1292"/>
        <w:spacing w:after="0" w:line="266" w:lineRule="auto"/>
        <w:tabs>
          <w:tab w:leader="none" w:pos="179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Issuer has honored any full or partial drawing request under any Letter of Credit and such drawing has resulted in a L/C Borrowing, within two Business Days following any request by the Administrative Agent or the L/C Issuer, in an amount not less than the Minimum Collateral Amount of such L/C Borrowing,</w:t>
      </w:r>
    </w:p>
    <w:p>
      <w:pPr>
        <w:spacing w:after="0" w:line="175" w:lineRule="exact"/>
        <w:rPr>
          <w:rFonts w:ascii="Times New Roman" w:cs="Times New Roman" w:eastAsia="Times New Roman" w:hAnsi="Times New Roman"/>
          <w:sz w:val="18"/>
          <w:szCs w:val="18"/>
          <w:color w:val="auto"/>
        </w:rPr>
      </w:pPr>
    </w:p>
    <w:p>
      <w:pPr>
        <w:ind w:right="20" w:firstLine="1292"/>
        <w:spacing w:after="0" w:line="282" w:lineRule="auto"/>
        <w:tabs>
          <w:tab w:leader="none" w:pos="198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Letter of Credit Expiration Date, any L/C Obligation for any reason remains outstanding, immediately (without the necessity of any request), in an amount not less than the Minimum Collateral Amount of such L/C Obligation,</w:t>
      </w:r>
    </w:p>
    <w:p>
      <w:pPr>
        <w:spacing w:after="0" w:line="161" w:lineRule="exact"/>
        <w:rPr>
          <w:rFonts w:ascii="Times New Roman" w:cs="Times New Roman" w:eastAsia="Times New Roman" w:hAnsi="Times New Roman"/>
          <w:sz w:val="18"/>
          <w:szCs w:val="18"/>
          <w:color w:val="auto"/>
        </w:rPr>
      </w:pPr>
    </w:p>
    <w:p>
      <w:pPr>
        <w:ind w:firstLine="1292"/>
        <w:spacing w:after="0" w:line="282" w:lineRule="auto"/>
        <w:tabs>
          <w:tab w:leader="none" w:pos="19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shall be required to provide Cash Collateral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immediately upon any request by the Administrative Agent or the L/C Issuer, in an amount not less than the Minimum Collateral Amount of all L/C Obligations,</w:t>
      </w:r>
    </w:p>
    <w:p>
      <w:pPr>
        <w:spacing w:after="0" w:line="161" w:lineRule="exact"/>
        <w:rPr>
          <w:rFonts w:ascii="Times New Roman" w:cs="Times New Roman" w:eastAsia="Times New Roman" w:hAnsi="Times New Roman"/>
          <w:sz w:val="18"/>
          <w:szCs w:val="18"/>
          <w:color w:val="auto"/>
        </w:rPr>
      </w:pPr>
    </w:p>
    <w:p>
      <w:pPr>
        <w:jc w:val="both"/>
        <w:ind w:firstLine="1292"/>
        <w:spacing w:after="0" w:line="266" w:lineRule="auto"/>
        <w:tabs>
          <w:tab w:leader="none" w:pos="189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shall exist a Defaulting Lender, within two Business Days following any request by the Administrative Agent or the L/C Issuer, in an amount not less than the Minimum Collateral Amount of the Fronting Exposure of the L/C Issuer with respect to such Defaulting Lender, and</w:t>
      </w:r>
    </w:p>
    <w:p>
      <w:pPr>
        <w:spacing w:after="0" w:line="175" w:lineRule="exact"/>
        <w:rPr>
          <w:rFonts w:ascii="Times New Roman" w:cs="Times New Roman" w:eastAsia="Times New Roman" w:hAnsi="Times New Roman"/>
          <w:sz w:val="18"/>
          <w:szCs w:val="18"/>
          <w:color w:val="auto"/>
        </w:rPr>
      </w:pPr>
    </w:p>
    <w:p>
      <w:pPr>
        <w:ind w:firstLine="1292"/>
        <w:spacing w:after="0" w:line="282" w:lineRule="auto"/>
        <w:tabs>
          <w:tab w:leader="none" w:pos="197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Calculation Date, the L/C Obligations exceed the L/C Sublimit, within two Business Days following any request by the Administrative Agent or the L/C Issuer, in an amount not less than the Minimum Collateral Amount of such excess.</w:t>
      </w:r>
    </w:p>
    <w:p>
      <w:pPr>
        <w:spacing w:after="0" w:line="161" w:lineRule="exact"/>
        <w:rPr>
          <w:rFonts w:ascii="Times New Roman" w:cs="Times New Roman" w:eastAsia="Times New Roman" w:hAnsi="Times New Roman"/>
          <w:sz w:val="18"/>
          <w:szCs w:val="18"/>
          <w:color w:val="auto"/>
        </w:rPr>
      </w:pPr>
    </w:p>
    <w:p>
      <w:pPr>
        <w:jc w:val="both"/>
        <w:ind w:left="-660" w:firstLine="1304"/>
        <w:spacing w:after="0" w:line="252" w:lineRule="auto"/>
        <w:tabs>
          <w:tab w:leader="none" w:pos="147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(i)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and (ii)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Borrower shall enter into documentation reasonably satisfactory to the Administrative Agent as may be reasonably requested in connection with the above described grant of security.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Citizens Bank. The Borrower shall pay on demand therefor from time to time all customary account opening, activity and other administrative fees and charges in connection with the maintenance and disbursement of Cash Collateral.</w:t>
      </w:r>
    </w:p>
    <w:p>
      <w:pPr>
        <w:spacing w:after="0" w:line="197"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117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Credit Agreement, Cash Collateral provided under any of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in respect of Letters of Credit shall be held and applied to the satisfaction of the specific L/C Obligations, obligations to fund participations therein (including, as to Cash Collateral provided by a Lender that is a Defaulting Lender, any interest accrued on such obligation) and other obligations for which the Cash Collateral was so provided, prior to any other application of such property as may otherwise be provided for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351155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07" w:name="page108"/>
    <w:bookmarkEnd w:id="107"/>
    <w:p>
      <w:pPr>
        <w:jc w:val="both"/>
        <w:ind w:left="-660" w:firstLine="1304"/>
        <w:spacing w:after="0" w:line="255" w:lineRule="auto"/>
        <w:tabs>
          <w:tab w:leader="none" w:pos="128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Requirement</w:t>
      </w:r>
      <w:r>
        <w:rPr>
          <w:rFonts w:ascii="Times New Roman" w:cs="Times New Roman" w:eastAsia="Times New Roman" w:hAnsi="Times New Roman"/>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10.4(b)(vii)</w:t>
      </w:r>
      <w:r>
        <w:rPr>
          <w:rFonts w:ascii="Times New Roman" w:cs="Times New Roman" w:eastAsia="Times New Roman" w:hAnsi="Times New Roman"/>
          <w:sz w:val="18"/>
          <w:szCs w:val="18"/>
          <w:color w:val="auto"/>
        </w:rPr>
        <w:t xml:space="preserve">)) or (ii) the determination by the Administrative Agent and the L/C Issuer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the Person providing Cash Collateral and the L/C Issuer may agree that Cash Collateral shall be held to support future anticipated Fronting Exposure or other obligations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to the extent that such Cash Collateral was provided by the Borrower, such Cash Collateral shall remain subject to the security interest granted pursuant to the Loan Documents.</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u w:val="single" w:color="auto"/>
          <w:color w:val="auto"/>
        </w:rPr>
        <w:t>Incremental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2" w:lineRule="auto"/>
        <w:tabs>
          <w:tab w:leader="none" w:pos="14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from time to time, by written notice to the Administrative Agent, request Incremental Term Loan Commitments and/or additional Revolving Commitments, as applicable (collectively, “</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xml:space="preserve">”), from one or more Lenders (in the sole discretion of such Lenders) or Eligible Assignees who will become Lenders, in an aggregate principal amount of up to $20,000,000;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incurrence of such Incremental Commitments and immediately after giving effect thereto and to the use of the proceeds thereof (assuming the full utilization thereof), no Default shall have occurred and be continuing or would result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(1) each such person, if not already a Lender hereunder, shall be subject to the approval of the Administrative Agent and, in connection with any additional Revolving Commitment, the L/C Issuer and the Swingline Lender (which approvals shall not be unreasonably withheld, conditioned or delayed) and (2) the Borrower may make only 4 such requests. Such notice shall set forth (i) the amount of the Incremental Term Loan Commitments or additional Revolving Commitments being requested (which shall be in minimum increments of $1,000,000 and a minimum amount of $5,000,000, or if the remaining Incremental Commitments are less than $5,000,000, the remaining Incremental Commitment), (ii) the date on which such Incremental Term Loan Commitments and/or additional Revolving Commitments are requested to become effective (which shall not be less than 10 Business Days nor more than 60 calendar days after the date of such notice, unless otherwise agreed to by the Administrative Agent) and (iii) in the case of Incremental Term Loan Commitments, whether such Incremental Term Loan Commitments are to be Term Loan Commitments or commitments to make term loans with terms different from the Term Loans (“</w:t>
      </w:r>
      <w:r>
        <w:rPr>
          <w:rFonts w:ascii="Times New Roman" w:cs="Times New Roman" w:eastAsia="Times New Roman" w:hAnsi="Times New Roman"/>
          <w:sz w:val="18"/>
          <w:szCs w:val="18"/>
          <w:u w:val="single" w:color="auto"/>
          <w:color w:val="auto"/>
        </w:rPr>
        <w:t>Other Term Loans</w:t>
      </w:r>
      <w:r>
        <w:rPr>
          <w:rFonts w:ascii="Times New Roman" w:cs="Times New Roman" w:eastAsia="Times New Roman" w:hAnsi="Times New Roman"/>
          <w:sz w:val="18"/>
          <w:szCs w:val="18"/>
          <w:color w:val="auto"/>
        </w:rPr>
        <w:t>”). All Incremental Term Loans shall be made in Dollars.</w:t>
      </w:r>
    </w:p>
    <w:p>
      <w:pPr>
        <w:spacing w:after="0" w:line="197" w:lineRule="exact"/>
        <w:rPr>
          <w:rFonts w:ascii="Times New Roman" w:cs="Times New Roman" w:eastAsia="Times New Roman" w:hAnsi="Times New Roman"/>
          <w:sz w:val="18"/>
          <w:szCs w:val="18"/>
          <w:color w:val="auto"/>
        </w:rPr>
      </w:pPr>
    </w:p>
    <w:p>
      <w:pPr>
        <w:jc w:val="both"/>
        <w:ind w:left="-660" w:firstLine="1304"/>
        <w:spacing w:after="0" w:line="254" w:lineRule="auto"/>
        <w:tabs>
          <w:tab w:leader="none" w:pos="144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Incremental Term Lender and/or additional Revolving Lender shall execute and deliver to the Administrative Agent an Incremental Assumption Agreement and such other documentation as the Administrative Agent shall reasonably specify to evidence the Incremental Commitment of such Lender. Subject to clause (c) below, each Incremental Assumption Agreement in respect of Incremental Term Loan Commitments shall specify the terms of the Incremental Term Loans to be made thereunder. The Administrative Agent shall promptly notify each Lender as to the effectiveness of each Incremental Assumption Agreement. Each of the parties hereto hereby agrees that, upon the effectiveness of any Incremental Assumption Agreement, this Credit Agreement shall be deemed amended to the extent (but only to the extent) necessary to reflect the existence and terms of the Incremental Commitments evidenced thereby and any increase to the Applicable Margins required by the foregoing provisions of this paragraph. Any such deemed amendment may be memorialized in writing by the Administrative Agent with the Borrower’s consent (not to be unreasonably withheld, conditioned or delayed) and furnished to the other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354330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08" w:name="page109"/>
    <w:bookmarkEnd w:id="108"/>
    <w:p>
      <w:pPr>
        <w:ind w:left="-1120" w:firstLine="1304"/>
        <w:spacing w:after="0" w:line="282" w:lineRule="auto"/>
        <w:tabs>
          <w:tab w:leader="none" w:pos="8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each Incremental Term Loan and, as applicable, each additional Revolving Commitment shall be reasonably satisfactory to the Administrative Agent and in any event:</w:t>
      </w:r>
    </w:p>
    <w:p>
      <w:pPr>
        <w:spacing w:after="0" w:line="159" w:lineRule="exact"/>
        <w:rPr>
          <w:rFonts w:ascii="Times New Roman" w:cs="Times New Roman" w:eastAsia="Times New Roman" w:hAnsi="Times New Roman"/>
          <w:sz w:val="18"/>
          <w:szCs w:val="18"/>
          <w:color w:val="auto"/>
        </w:rPr>
      </w:pPr>
    </w:p>
    <w:p>
      <w:pPr>
        <w:ind w:left="1320" w:hanging="488"/>
        <w:spacing w:after="0"/>
        <w:tabs>
          <w:tab w:leader="none" w:pos="13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of security with the existing Revolving Loans and the existing Term Loans;</w:t>
      </w:r>
    </w:p>
    <w:p>
      <w:pPr>
        <w:spacing w:after="0" w:line="227" w:lineRule="exact"/>
        <w:rPr>
          <w:rFonts w:ascii="Times New Roman" w:cs="Times New Roman" w:eastAsia="Times New Roman" w:hAnsi="Times New Roman"/>
          <w:sz w:val="18"/>
          <w:szCs w:val="18"/>
          <w:color w:val="auto"/>
        </w:rPr>
      </w:pPr>
    </w:p>
    <w:p>
      <w:pPr>
        <w:ind w:left="-460" w:firstLine="1292"/>
        <w:spacing w:after="0" w:line="282" w:lineRule="auto"/>
        <w:tabs>
          <w:tab w:leader="none" w:pos="15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Incremental Term Loans, shall not mature earlier than the Latest Maturity Date of the Term Loans outstanding at the time of incurrence of such Incremental Term Loans;</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47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Incremental Term Loans, shall have a Weighted Average Life to Maturity not shorter than the remaining Weighted Average Life to Maturity of then existing Term Loans;</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4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Incremental Term Loans, subject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shall have amortization determined by the Borrower and the applicable Incremental Term Lenders;</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41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Incremental Term Loans, subject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below, shall have an Applicable Margin determined by the Borrower and the applicable Incremental Term Lenders;</w:t>
      </w:r>
    </w:p>
    <w:p>
      <w:pPr>
        <w:spacing w:after="0" w:line="159"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52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Incremental Term Loans, may participate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(but not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any voluntary or mandatory prepayments of initial Term Loans hereunder, as specified in the applicable Incremental Assumption Agreement;</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52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any Loan Party or Credit Party, if the Effective Yield on any secured Other Term Loans (as determined by the Administrative Agent) exceeds by more than 50 basis points (the amount of such excess above 50 basis points being referred to herein as the “</w:t>
      </w:r>
      <w:r>
        <w:rPr>
          <w:rFonts w:ascii="Times New Roman" w:cs="Times New Roman" w:eastAsia="Times New Roman" w:hAnsi="Times New Roman"/>
          <w:sz w:val="18"/>
          <w:szCs w:val="18"/>
          <w:u w:val="single" w:color="auto"/>
          <w:color w:val="auto"/>
        </w:rPr>
        <w:t>Yield Differential</w:t>
      </w:r>
      <w:r>
        <w:rPr>
          <w:rFonts w:ascii="Times New Roman" w:cs="Times New Roman" w:eastAsia="Times New Roman" w:hAnsi="Times New Roman"/>
          <w:sz w:val="18"/>
          <w:szCs w:val="18"/>
          <w:color w:val="auto"/>
        </w:rPr>
        <w:t>”) the Effective Yield (as determined by the Administrative Agent) on any then outstanding Class of Term Loans, then the Applicable Margin for each such Class of Term Loans shall automatically be increased by the Yield Differential, effective upon the making of such Other Term Loans; and</w:t>
      </w:r>
    </w:p>
    <w:p>
      <w:pPr>
        <w:spacing w:after="0" w:line="183" w:lineRule="exact"/>
        <w:rPr>
          <w:rFonts w:ascii="Times New Roman" w:cs="Times New Roman" w:eastAsia="Times New Roman" w:hAnsi="Times New Roman"/>
          <w:sz w:val="18"/>
          <w:szCs w:val="18"/>
          <w:color w:val="auto"/>
        </w:rPr>
      </w:pPr>
    </w:p>
    <w:p>
      <w:pPr>
        <w:ind w:left="-460" w:firstLine="1292"/>
        <w:spacing w:after="0" w:line="282" w:lineRule="auto"/>
        <w:tabs>
          <w:tab w:leader="none" w:pos="159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terms of any additional Revolving Commitments and Revolving Loans under such additional Revolving Commitments shall be identical to the existing Revolving Commitments and Revolving Loans.</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76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Incremental Term Loan Commitments or additional Revolving Commitments shall become effective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unless, on the date of such effectiveness, (i) the conditions set forth in paragraphs (a) and (b)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be satisfied as if it was a borrowing date and the Administrative Agent shall have received a certificate to that effect dated such date and executed by a Financial Officer of the Borrower; (ii) the Total Leverage Ratio on a Pro Forma Basis after giving effect to such Incremental Term Loans or Revolving Commitments, as applicable, shall be at least 0.25x less than the maximum Consolidated Net Leverage Ratio permitted for such period under Section 7.12; and (iii) the Administrative Agent shall have received (with sufficient copies for each of the Incremental Term Lenders and/or additional Revolving Lenders) closing certificates, opinions of counsel and other customary documentation requested by the Administrative Agent.</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69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such additional Revolving Commitments, each existing Revolving Lender (other than a Defaulting Lender) that shall have agreed to provide an Incremental Commitment in connection therewith shall have the right, subject to the other terms and conditions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to provide a portion of such Incremental Commitment in an amount equal to (i) its Applicable Percentage of the existing Revolving Commitments,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amount of such Incremental Commitment. In connection with any such Incremental Term Loan Commitments, each existing Term Lender (other than a Defaulting Lender) that shall have agreed to provide an Incremental Commitment in connection therewith shall have the right, subject to the other terms and conditions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to provide a portion of such Incremental Term Loan Commitments in an amount equal to (i) a fraction, the numerator of which is the Outstanding Amount of such Term Lender’s Term Loans, and the denominator of which it the Outstanding Amount of all Term Loans of all Term Lenders,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amount of such Incremental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9" w:name="page110"/>
    <w:bookmarkEnd w:id="109"/>
    <w:p>
      <w:pPr>
        <w:jc w:val="both"/>
        <w:ind w:firstLine="1304"/>
        <w:spacing w:after="0" w:line="253" w:lineRule="auto"/>
        <w:tabs>
          <w:tab w:leader="none" w:pos="17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agrees that the Administrative Agent may take any and all action as may be reasonably necessary to ensure that all Incremental Term Loans (other than Other Term Loans), when originally made, are included in each Borrowing of outstanding Term Loans on a pro rata basis and that following the establishment of any additional Revolving Commitments, the outstanding Revolving Loans are held by the Revolving Lenders in accordance with their new Applicable Percentages. This may be accomplished at the discretion of the Administrative Agent by requiring each outstanding SOFR Borrowing of the relevant Class to be converted into an ABR Borrowing of such Class on the date of each Incremental Term Loan or additional Revolving Commitment, or by allocating a portion of each Incremental Term Loan to each outstanding SOFR Term Borrowing of the same Class on a pro rata basis, even though as a result thereof such Incremental Term Loan may effectively have a shorter Interest Period than the Term Loans included in the Borrowing of which they are a part (and notwithstanding any other provision of this Credit Agreement that would prohibit such an initial Interest Period), or requiring a prepayment and reborrowing of Revolving Loans. Any conversion or prepayment made pursuant to the preceding sentence shall be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(it being understood that, the Administrative Agent shall consult with the Borrower regarding the foregoing and, to the extent practicable, will attempt to pursue options that minimize breakage costs). In addition, to the extent any Incremental Term Loans are not Other Term Loans, the scheduled amortization payments under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required to be made after the making of such Incremental Term Loans shall be ratably increased by the aggregate principal amount of such Incremental Term Loans.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INTEREST, FEES, YIELD PROTECTION, ETC.</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3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 Generally</w:t>
      </w:r>
      <w:r>
        <w:rPr>
          <w:rFonts w:ascii="Times New Roman" w:cs="Times New Roman" w:eastAsia="Times New Roman" w:hAnsi="Times New Roman"/>
          <w:sz w:val="18"/>
          <w:szCs w:val="18"/>
          <w:color w:val="auto"/>
        </w:rPr>
        <w:t xml:space="preserve">. All ABR Loans shall bear interest at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All SOFR Loans shall bear interest at a rate per annum equal to the sum of Term SOFR for the Interest Period in effect for such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Each Swingline Loan shall bear interest at the Alternate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44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any principal of or interest on any Loan, any reimbursement obligation in respect of any L/C Disbursement or any fee or other amount payable by the Borrower hereunder is not paid when due, whether at stated maturity, upon acceleration or otherwise, such overdue amount shall bear interest, after as well as before judgment, at a rate per annum equal to the Default Rate to the fullest extent permitted by applicable law.</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9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an Event of Default has occurred and is continuing, then, so long as such Event of Default is continuing, all outstanding principal of each Loan and all Unreimbursed Amounts in respect of L/C Disbursements (including L/C Borrowings) shall, without duplication of amounts payable under the preceding sentence, bear interest, after as well as before judgment, at a rate per annum equal to the Default Rate to the fullest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ind w:left="2532" w:hanging="588"/>
        <w:spacing w:after="0"/>
        <w:tabs>
          <w:tab w:leader="none" w:pos="253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demand.</w:t>
      </w:r>
    </w:p>
    <w:p>
      <w:pPr>
        <w:spacing w:after="0" w:line="207" w:lineRule="exact"/>
        <w:rPr>
          <w:sz w:val="20"/>
          <w:szCs w:val="20"/>
          <w:color w:val="auto"/>
        </w:rPr>
      </w:pPr>
    </w:p>
    <w:p>
      <w:pPr>
        <w:jc w:val="both"/>
        <w:ind w:left="-8" w:firstLine="1304"/>
        <w:spacing w:after="0" w:line="261" w:lineRule="auto"/>
        <w:tabs>
          <w:tab w:leader="none" w:pos="185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Payment Dates</w:t>
      </w:r>
      <w:r>
        <w:rPr>
          <w:rFonts w:ascii="Times New Roman" w:cs="Times New Roman" w:eastAsia="Times New Roman" w:hAnsi="Times New Roman"/>
          <w:sz w:val="18"/>
          <w:szCs w:val="18"/>
          <w:color w:val="auto"/>
        </w:rPr>
        <w:t xml:space="preserve">. Accrued interest on each Loan shall be payable in arrears on each Interest Payment Date for such Loan and at such other times as may be specified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(b) of this Section shall be payable on demand,</w:t>
      </w:r>
    </w:p>
    <w:p>
      <w:pPr>
        <w:jc w:val="both"/>
        <w:ind w:left="-8" w:firstLine="8"/>
        <w:spacing w:after="0" w:line="255" w:lineRule="auto"/>
        <w:tabs>
          <w:tab w:leader="none" w:pos="2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repayment or prepayment of any Loan,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85"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189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All interest hereunder shall be computed on the basis of a year of 360 days (or in the case of interest computed by reference to the Alternate Base Rate at times when the Alternate Base Rate is based on the Prime Rate, such interest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Daily SOFR Rate or Term SOFR shall be determined by the Administrative Agent, and such determination shall be conclusive absent clearly manifest error.</w:t>
      </w:r>
    </w:p>
    <w:p>
      <w:pPr>
        <w:spacing w:after="0" w:line="187"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189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SOFR Conforming Changes</w:t>
      </w:r>
      <w:r>
        <w:rPr>
          <w:rFonts w:ascii="Times New Roman" w:cs="Times New Roman" w:eastAsia="Times New Roman" w:hAnsi="Times New Roman"/>
          <w:sz w:val="18"/>
          <w:szCs w:val="18"/>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 The Administrative Agent will promptly notify the Borrower and the Lenders of the effectiveness of any Conforming Changes in connection with the use or administration of Term SOFR.</w:t>
      </w:r>
    </w:p>
    <w:p>
      <w:pPr>
        <w:spacing w:after="0" w:line="183" w:lineRule="exact"/>
        <w:rPr>
          <w:sz w:val="20"/>
          <w:szCs w:val="20"/>
          <w:color w:val="auto"/>
        </w:rPr>
      </w:pPr>
    </w:p>
    <w:p>
      <w:pPr>
        <w:ind w:left="652"/>
        <w:spacing w:after="0"/>
        <w:tabs>
          <w:tab w:leader="none" w:pos="1852"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u w:val="single" w:color="auto"/>
          <w:color w:val="auto"/>
        </w:rPr>
        <w:t>Fees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4" w:lineRule="auto"/>
        <w:tabs>
          <w:tab w:leader="none" w:pos="20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The Borrower agrees to pay to the Administrative Agent for the account of each Revolving Lender, a commitment fee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which shall accrue at a rate per annum equal to the Applicable Margin on the average daily unused amount of the Revolving Commitment of such Revolving Lender during the period from and including the date on which this Credit Agreement becomes effective pursuant to </w:t>
      </w:r>
      <w:r>
        <w:rPr>
          <w:rFonts w:ascii="Times New Roman" w:cs="Times New Roman" w:eastAsia="Times New Roman" w:hAnsi="Times New Roman"/>
          <w:sz w:val="18"/>
          <w:szCs w:val="18"/>
          <w:u w:val="single" w:color="auto"/>
          <w:color w:val="auto"/>
        </w:rPr>
        <w:t>Section 10.6(a)</w:t>
      </w:r>
      <w:r>
        <w:rPr>
          <w:rFonts w:ascii="Times New Roman" w:cs="Times New Roman" w:eastAsia="Times New Roman" w:hAnsi="Times New Roman"/>
          <w:sz w:val="18"/>
          <w:szCs w:val="18"/>
          <w:color w:val="auto"/>
        </w:rPr>
        <w:t xml:space="preserve"> to but excluding the date on which such Revolving Commitment terminates. For purposes of computing Commitment Fees, the Revolving Commitment of any Revolving Lender shall be deemed to be used to the extent of the aggregate principal amount at such time of its outstanding Revolving Loans and such Lender’s L/C Exposure. Accrued Commitment Fees shall be payable in arrears on the last day of March, June, September and December of each year, each date on which the Revolving Commitments are permanently reduced and on the date on which the Revolving Commitments terminate, commencing on the first such date to occur after the Agreement Date. All Commitment Fees shall be computed on the basis of a year of 360 days and shall be payable for the actual number of days elapsed (including the first day but excluding the last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354330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11" w:name="page112"/>
    <w:bookmarkEnd w:id="111"/>
    <w:p>
      <w:pPr>
        <w:jc w:val="both"/>
        <w:ind w:left="-660" w:firstLine="1304"/>
        <w:spacing w:after="0" w:line="252" w:lineRule="auto"/>
        <w:tabs>
          <w:tab w:leader="none" w:pos="12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L/C Fees</w:t>
      </w:r>
      <w:r>
        <w:rPr>
          <w:rFonts w:ascii="Times New Roman" w:cs="Times New Roman" w:eastAsia="Times New Roman" w:hAnsi="Times New Roman"/>
          <w:sz w:val="18"/>
          <w:szCs w:val="18"/>
          <w:color w:val="auto"/>
        </w:rPr>
        <w:t>. The Borrower agrees to pay (i) to the Administrative Agent for the account of the Revolving Lenders a fee (the “</w:t>
      </w:r>
      <w:r>
        <w:rPr>
          <w:rFonts w:ascii="Times New Roman" w:cs="Times New Roman" w:eastAsia="Times New Roman" w:hAnsi="Times New Roman"/>
          <w:sz w:val="18"/>
          <w:szCs w:val="18"/>
          <w:u w:val="single" w:color="auto"/>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Participation Fee</w:t>
      </w:r>
      <w:r>
        <w:rPr>
          <w:rFonts w:ascii="Times New Roman" w:cs="Times New Roman" w:eastAsia="Times New Roman" w:hAnsi="Times New Roman"/>
          <w:sz w:val="18"/>
          <w:szCs w:val="18"/>
          <w:color w:val="auto"/>
        </w:rPr>
        <w:t xml:space="preserve">”) in Dollars for each standby Letter of Credit, at a rate per annum equal to the Applicable Margin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average daily amount available to be drawn under such Letter of Credit, and (ii) to the L/C Issuer for its own account a fee (the “</w:t>
      </w:r>
      <w:r>
        <w:rPr>
          <w:rFonts w:ascii="Times New Roman" w:cs="Times New Roman" w:eastAsia="Times New Roman" w:hAnsi="Times New Roman"/>
          <w:sz w:val="18"/>
          <w:szCs w:val="18"/>
          <w:u w:val="single" w:color="auto"/>
          <w:color w:val="auto"/>
        </w:rPr>
        <w:t>L/C Fronting Fee</w:t>
      </w:r>
      <w:r>
        <w:rPr>
          <w:rFonts w:ascii="Times New Roman" w:cs="Times New Roman" w:eastAsia="Times New Roman" w:hAnsi="Times New Roman"/>
          <w:sz w:val="18"/>
          <w:szCs w:val="18"/>
          <w:color w:val="auto"/>
        </w:rPr>
        <w:t xml:space="preserve">”), which shall accrue at the rate or rates per annum separately agreed upon between the Borrower and the L/C Issuer on the average daily amount of the L/C Obligations (excluding any portion thereof attributable to unreimbursed L/C Disbursements) during the period from and including the Closing Date to but excluding the later of the date of termination of the Revolving Commitments and the date on which there ceases to be any L/C Obligations, as well as the L/C Issuer’s standard fees with respect to the issuance, amendment, renewal or extension of any Letter of Credit or processing of drawings thereunder. Accrued L/C Participation Fees and L/C Fronting Fees shall be payable in arrears on the last day of March, June, September and December of each year, commencing on the first such date to occur after the Agreement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the L/C Issuer pursuant to this paragraph shall be payable within 10 days after demand. All L/C Participation Fees and L/C Fronting Fees shall be computed on the basis of a year of 365 days (or 366 days in a leap year) and shall be payable for the actual number of days elapsed (including the first day but excluding the last day). Notwithstanding the foregoing, if an Event of Default has occurred and is continuing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then, so long as such Event of Default is continuing, L/C Participation Fees and L/C Fronting Fees, as applicable, shall be calculated at a rate per annum equal to the Default Rate.</w:t>
      </w:r>
    </w:p>
    <w:p>
      <w:pPr>
        <w:spacing w:after="0" w:line="197" w:lineRule="exact"/>
        <w:rPr>
          <w:rFonts w:ascii="Times New Roman" w:cs="Times New Roman" w:eastAsia="Times New Roman" w:hAnsi="Times New Roman"/>
          <w:sz w:val="18"/>
          <w:szCs w:val="18"/>
          <w:color w:val="auto"/>
        </w:rPr>
      </w:pPr>
    </w:p>
    <w:p>
      <w:pPr>
        <w:ind w:left="-660" w:firstLine="1304"/>
        <w:spacing w:after="0" w:line="282" w:lineRule="auto"/>
        <w:tabs>
          <w:tab w:leader="none" w:pos="117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The Borrower agrees to pay to each Credit Party, for its own account, fees and other amounts payable in the amounts and at the times separately agreed upon between the Borrower and such Credit Party.</w:t>
      </w:r>
    </w:p>
    <w:p>
      <w:pPr>
        <w:spacing w:after="0" w:line="161" w:lineRule="exact"/>
        <w:rPr>
          <w:rFonts w:ascii="Times New Roman" w:cs="Times New Roman" w:eastAsia="Times New Roman" w:hAnsi="Times New Roman"/>
          <w:sz w:val="18"/>
          <w:szCs w:val="18"/>
          <w:color w:val="auto"/>
        </w:rPr>
      </w:pPr>
    </w:p>
    <w:p>
      <w:pPr>
        <w:ind w:left="-660" w:firstLine="1304"/>
        <w:spacing w:after="0" w:line="282" w:lineRule="auto"/>
        <w:tabs>
          <w:tab w:leader="none" w:pos="116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 Generally</w:t>
      </w:r>
      <w:r>
        <w:rPr>
          <w:rFonts w:ascii="Times New Roman" w:cs="Times New Roman" w:eastAsia="Times New Roman" w:hAnsi="Times New Roman"/>
          <w:sz w:val="18"/>
          <w:szCs w:val="18"/>
          <w:color w:val="auto"/>
        </w:rPr>
        <w:t>. All fees and other amounts payable hereunder shall be paid on the dates due, in immediately available funds. Fees and other amounts paid shall not be refundable under any circumstances.</w:t>
      </w:r>
    </w:p>
    <w:p>
      <w:pPr>
        <w:spacing w:after="0" w:line="16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u w:val="single" w:color="auto"/>
          <w:color w:val="auto"/>
        </w:rPr>
        <w:t>Inability to Determine Rates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6" w:lineRule="auto"/>
        <w:tabs>
          <w:tab w:leader="none" w:pos="12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if, on or prior to the first day of any Interest Period for any SOFR Loan: (i) the Administrative Agent determines (which determination shall be conclusive and binding absent manifest error) that “Term SOFR” cannot be determined pursuant to the definition thereof, or (ii)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funding such Loan, and the Required Lenders have provided notice of such determination to the Administrative Agent, in each case, the Administrative Agent will promptly so notify the Borrower and each Lender.</w:t>
      </w:r>
    </w:p>
    <w:p>
      <w:pPr>
        <w:spacing w:after="0" w:line="187"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12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notice thereof by the Administrative Agent to the Borrower, any obligation of the Lenders to make or maintain SOFR Loans, and any right of the Borrower to continue SOFR Loans or to convert ABR Loans to SOFR Loans shall be suspended (to the extent of the affected Interest Periods) until the Administrative Agent (with respect to clause (a)(ii) above, at the instruction of the Required Lenders) revokes such notice. Upon the Borrower’s receipt of such notice, (i) the Borrower may revoke any pending request for a borrowing of, conversion to or continuation of SOFR Loans (to the extent of the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356235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12" w:name="page113"/>
    <w:bookmarkEnd w:id="112"/>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u w:val="single" w:color="auto"/>
          <w:color w:val="auto"/>
        </w:rPr>
        <w:t>Increased Costs; Illegality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20" w:hanging="516"/>
        <w:spacing w:after="0"/>
        <w:tabs>
          <w:tab w:leader="none" w:pos="18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46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including pursuant to regulations issued from time to time by the Federal Reserve Board for determining any maximum reserve requirement (including any emergency, special, supplemental or other marginal reserve requirement)), special deposit, liquidity, compulsory loan, insurance charge or similar requirement against assets of, deposits with or for the account of, or credit extended or participated in by, any Lender or the L/C Issuer;</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3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63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L/C Issuer any other condition, cost or expense (other than Taxes) affecting this Credit Agreement or Loans made by such Lender or any Letter of Credit or participation therein;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the L/C Issuer or such other Recipient of participating in, issuing or maintaining any Letter of Credit (or of maintaining its obligation to participate in or to issue any Letter of Credit), or to reduce the amount of any sum received or receivable by such Lender, the L/C Issuer or other Recipient hereunder (whether of principal, interest or any other amount) then, upon request of such Lender, L/C Issuer or other Recipient, the Borrower will pay to such Lender, the L/C Issuer or other Recipient, as the case may be, such additional amount or amounts as will compensate such Lender, the L/C Issuer or other Recipient, as the case may be, for such additional costs incurred or reduction suffered.</w:t>
      </w:r>
    </w:p>
    <w:p>
      <w:pPr>
        <w:spacing w:after="0" w:line="189" w:lineRule="exact"/>
        <w:rPr>
          <w:sz w:val="20"/>
          <w:szCs w:val="20"/>
          <w:color w:val="auto"/>
        </w:rPr>
      </w:pPr>
    </w:p>
    <w:p>
      <w:pPr>
        <w:jc w:val="both"/>
        <w:ind w:firstLine="1304"/>
        <w:spacing w:after="0" w:line="254" w:lineRule="auto"/>
        <w:tabs>
          <w:tab w:leader="none" w:pos="182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the L/C Issuer determines that any Change in Law affecting such Lender or the L/C Issuer or any Applicable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Credit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and liquidity),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A certificate of a Lender or the L/C Issuer setting forth the amount or amounts necessary to compensate such Lender or the L/C Issuer or its holding company, as the case may be, as specified in paragraph (a) or (b) of this Section and delivered to the Borrower, shall be conclusive absent manifest error. The Borrower shall pay such Lender or the L/C Issuer, as the case may be, the amount shown as due on any such certificate within 10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jc w:val="both"/>
        <w:ind w:firstLine="1304"/>
        <w:spacing w:after="0" w:line="256" w:lineRule="auto"/>
        <w:tabs>
          <w:tab w:leader="none" w:pos="184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the L/C Issuer to demand compensation pursuant to this Section shall not constitute a waiver of such Lender’s or the L/C Issuer’s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the L/C Issuer pursuant to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83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the Lenders to make or maintain SOFR Loans, and any right of the Borrower to continue SOFR Loans or to convert ABR Loans to SOFR Loans, shall be suspended, and (b) the interest rate on which ABR Loans shall, if necessary to avoid such illegality, be determined by the Administrative Agent without reference to clause (c) of the definition of “Alternate Base Rate”, in each case until such Lender notifies the Administrative Agent and the Borrower that the circumstances giving rise to such determination no longer exist. Upon receipt of such notice, (i) the Borrower shall, if necessary to avoid such illegality, upon demand from any Lender (with a copy to the Administrative Agent), prepay or, if applicable, convert all SOFR Loans to ABR Loans (the interest rate on which ABR Loans of such Lender shall, if necessary to avoid such illegality, be determined by the Administrative Agent without reference to clause (c) of the definition of “Alternate Base Rate”), on the last day of the Interest Period therefor, if all affected Lenders may lawfully continue to maintain such Loans to such day, or immediately, if any Lender may not lawfully continue to maintain such Loans to such day, and (ii) if necessary to avoid such illegality, the Administrative Agent shall during the period of such suspension compute the Alternate Base Rate without reference to clause (c) of the definition of “Alternate Base Rate” in each case until the Administrative Agent is advised in writing by each affected Lender that it is no longer illegal for such Lender to determine or charge interest rates based upon SOFR or Term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Compensation for Losses</w:t>
      </w:r>
      <w:r>
        <w:rPr>
          <w:rFonts w:ascii="Times New Roman" w:cs="Times New Roman" w:eastAsia="Times New Roman" w:hAnsi="Times New Roman"/>
          <w:sz w:val="18"/>
          <w:szCs w:val="18"/>
          <w:color w:val="auto"/>
        </w:rPr>
        <w:t xml:space="preserve">. In the event of (a) the payment or prepayment of any principal of any SOFR Loan other than on the last day of the Interest Period applicable thereto whether voluntary, mandatory, automatic, by reason of acceleration (including as a result of an Event of Default), (b) the conversion of any SOFR Loan other than on the last day of the Interest Period applicable thereto (including as a result of an Event of Default), (c) the failure to borrow, convert, continue or prepay any SOFR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and is revoked in accordance therewith), or (d) the assignment of any SOFR Loan other than on the last day of the Interest Period applicable thereto or maturity date applicable thereto as a result of a request by the Borrower pursuant to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then, in any such event, the Borrower shall compensate each Lender for any loss, cost and expense attributable to such event, including any loss, cost or expense arising from the liquidation or redeployment of funds.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3.6</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20" w:hanging="516"/>
        <w:spacing w:after="0"/>
        <w:tabs>
          <w:tab w:leader="none" w:pos="1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includes the L/C Issuer and the term “applicable law” includes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FATCA.</w:t>
      </w:r>
    </w:p>
    <w:p>
      <w:pPr>
        <w:spacing w:after="0" w:line="207" w:lineRule="exact"/>
        <w:rPr>
          <w:sz w:val="20"/>
          <w:szCs w:val="20"/>
          <w:color w:val="auto"/>
        </w:rPr>
      </w:pPr>
    </w:p>
    <w:p>
      <w:pPr>
        <w:jc w:val="both"/>
        <w:ind w:firstLine="1304"/>
        <w:spacing w:after="0" w:line="254" w:lineRule="auto"/>
        <w:tabs>
          <w:tab w:leader="none" w:pos="186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83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Each of the Loan Parties shall timely pay to the relevant Governmental Authority in accordance with applicable law, or at the option of the Administrative Agent timely reimburse it for the payment of, any Other Taxes.</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2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xml:space="preserve">. Each of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Each of the Loan Parties shall also, and does hereby, jointly and severally indemnify the Administrative Agent, and shall make payment in respect thereof within 10 days after demand therefor, for any amount which a Lender or the L/C Issuer for any reason fails to pay indefeasibly to the Administrative Agent as required pursuant to </w:t>
      </w:r>
      <w:r>
        <w:rPr>
          <w:rFonts w:ascii="Times New Roman" w:cs="Times New Roman" w:eastAsia="Times New Roman" w:hAnsi="Times New Roman"/>
          <w:sz w:val="18"/>
          <w:szCs w:val="18"/>
          <w:u w:val="single" w:color="auto"/>
          <w:color w:val="auto"/>
        </w:rPr>
        <w:t>Section 3.6(e)(ii)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9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10.4(d)</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any Loan Party to a Governmental Authority pursuant 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jc w:val="both"/>
        <w:ind w:left="-1120" w:firstLine="1304"/>
        <w:spacing w:after="0" w:line="253" w:lineRule="auto"/>
        <w:tabs>
          <w:tab w:leader="none" w:pos="72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3.6(g)(ii)(A)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18"/>
          <w:szCs w:val="18"/>
          <w:color w:val="auto"/>
        </w:rPr>
      </w:pPr>
    </w:p>
    <w:p>
      <w:pPr>
        <w:ind w:left="1360" w:hanging="528"/>
        <w:spacing w:after="0"/>
        <w:tabs>
          <w:tab w:leader="none" w:pos="13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09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Credit Agreement (and from time to time thereafter upon the reasonable request of the Borrower or the Administrative Agent), executed copies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27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Credit Agreement (and from time to time thereafter upon the reasonable request of the Borrower or the Administrative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840" w:firstLine="1288"/>
        <w:spacing w:after="0" w:line="256" w:lineRule="auto"/>
        <w:tabs>
          <w:tab w:leader="none" w:pos="2668" w:val="left"/>
        </w:tabs>
        <w:numPr>
          <w:ilvl w:val="3"/>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(A) with respect to payments of interest under any Loan Document, executed copies of IRS Form W-8BEN or IRS Form W-8BEN-E, as applicable, establishing an exemption from, or reduction of, U.S. federal withholding Tax pursuant to the “interest” article of such tax treaty and (B)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87" w:lineRule="exact"/>
        <w:rPr>
          <w:rFonts w:ascii="Times New Roman" w:cs="Times New Roman" w:eastAsia="Times New Roman" w:hAnsi="Times New Roman"/>
          <w:sz w:val="18"/>
          <w:szCs w:val="18"/>
          <w:color w:val="auto"/>
        </w:rPr>
      </w:pPr>
    </w:p>
    <w:p>
      <w:pPr>
        <w:ind w:left="2660" w:hanging="532"/>
        <w:spacing w:after="0"/>
        <w:tabs>
          <w:tab w:leader="none" w:pos="2660" w:val="left"/>
        </w:tabs>
        <w:numPr>
          <w:ilvl w:val="3"/>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5" w:lineRule="exact"/>
        <w:rPr>
          <w:rFonts w:ascii="Times New Roman" w:cs="Times New Roman" w:eastAsia="Times New Roman" w:hAnsi="Times New Roman"/>
          <w:sz w:val="18"/>
          <w:szCs w:val="18"/>
          <w:color w:val="auto"/>
        </w:rPr>
      </w:pPr>
    </w:p>
    <w:p>
      <w:pPr>
        <w:jc w:val="both"/>
        <w:ind w:left="840" w:firstLine="1288"/>
        <w:spacing w:after="0" w:line="256" w:lineRule="auto"/>
        <w:tabs>
          <w:tab w:leader="none" w:pos="2796" w:val="left"/>
        </w:tabs>
        <w:numPr>
          <w:ilvl w:val="3"/>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(A) a certificate substantially in the form of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to the effect that such Foreign Lender is not a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within the meaning of Section 881(c)(3)(A) of the Code, a “10 percent shareholder” of the Borrower within the meaning of Section 881(c)(3)(B) of the Code, or a “</w:t>
      </w:r>
      <w:r>
        <w:rPr>
          <w:rFonts w:ascii="Times New Roman" w:cs="Times New Roman" w:eastAsia="Times New Roman" w:hAnsi="Times New Roman"/>
          <w:sz w:val="18"/>
          <w:szCs w:val="18"/>
          <w:u w:val="single" w:color="auto"/>
          <w:color w:val="auto"/>
        </w:rPr>
        <w:t>controlled foreign corporation</w:t>
      </w:r>
      <w:r>
        <w:rPr>
          <w:rFonts w:ascii="Times New Roman" w:cs="Times New Roman" w:eastAsia="Times New Roman" w:hAnsi="Times New Roman"/>
          <w:sz w:val="18"/>
          <w:szCs w:val="18"/>
          <w:color w:val="auto"/>
        </w:rPr>
        <w:t>”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(B) executed copies of IRS Form W-8BEN or IRS Form W-8BEN-E, as applicable;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353695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16" w:name="page117"/>
    <w:bookmarkEnd w:id="116"/>
    <w:p>
      <w:pPr>
        <w:jc w:val="both"/>
        <w:ind w:left="1960" w:firstLine="1288"/>
        <w:spacing w:after="0" w:line="256" w:lineRule="auto"/>
        <w:tabs>
          <w:tab w:leader="none" w:pos="391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copies of IRS Form W-8IMY, accompanied by IRS Form W-8ECI, IRS Form W-8BEN or IRS Form W-8BEN-E, as applicable, a U.S. Tax Compliance Certificate substantially in the form of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G-3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G-4</w:t>
      </w:r>
      <w:r>
        <w:rPr>
          <w:rFonts w:ascii="Times New Roman" w:cs="Times New Roman" w:eastAsia="Times New Roman" w:hAnsi="Times New Roman"/>
          <w:sz w:val="18"/>
          <w:szCs w:val="18"/>
          <w:color w:val="auto"/>
        </w:rPr>
        <w:t xml:space="preserve"> on behalf of each such direct and indirect partner;</w:t>
      </w:r>
    </w:p>
    <w:p>
      <w:pPr>
        <w:spacing w:after="0" w:line="187" w:lineRule="exact"/>
        <w:rPr>
          <w:rFonts w:ascii="Times New Roman" w:cs="Times New Roman" w:eastAsia="Times New Roman" w:hAnsi="Times New Roman"/>
          <w:sz w:val="18"/>
          <w:szCs w:val="18"/>
          <w:color w:val="auto"/>
        </w:rPr>
      </w:pPr>
    </w:p>
    <w:p>
      <w:pPr>
        <w:jc w:val="both"/>
        <w:ind w:left="1300" w:firstLine="1300"/>
        <w:spacing w:after="0" w:line="256" w:lineRule="auto"/>
        <w:tabs>
          <w:tab w:leader="none" w:pos="339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Credit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7" w:lineRule="exact"/>
        <w:rPr>
          <w:rFonts w:ascii="Times New Roman" w:cs="Times New Roman" w:eastAsia="Times New Roman" w:hAnsi="Times New Roman"/>
          <w:sz w:val="18"/>
          <w:szCs w:val="18"/>
          <w:color w:val="auto"/>
        </w:rPr>
      </w:pPr>
    </w:p>
    <w:p>
      <w:pPr>
        <w:jc w:val="both"/>
        <w:ind w:left="1300" w:firstLine="1300"/>
        <w:spacing w:after="0" w:line="254" w:lineRule="auto"/>
        <w:tabs>
          <w:tab w:leader="none" w:pos="324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Credit Agreement.</w:t>
      </w:r>
    </w:p>
    <w:p>
      <w:pPr>
        <w:spacing w:after="0" w:line="18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2" w:lineRule="exact"/>
        <w:rPr>
          <w:sz w:val="20"/>
          <w:szCs w:val="20"/>
          <w:color w:val="auto"/>
        </w:rPr>
      </w:pPr>
    </w:p>
    <w:p>
      <w:pPr>
        <w:jc w:val="both"/>
        <w:ind w:firstLine="1304"/>
        <w:spacing w:after="0" w:line="253" w:lineRule="auto"/>
        <w:tabs>
          <w:tab w:leader="none" w:pos="186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ind w:left="-660" w:firstLine="1304"/>
        <w:spacing w:after="0" w:line="282" w:lineRule="auto"/>
        <w:tabs>
          <w:tab w:leader="none" w:pos="116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and the Termination Date.</w:t>
      </w:r>
    </w:p>
    <w:p>
      <w:pPr>
        <w:spacing w:after="0" w:line="161" w:lineRule="exact"/>
        <w:rPr>
          <w:rFonts w:ascii="Times New Roman" w:cs="Times New Roman" w:eastAsia="Times New Roman" w:hAnsi="Times New Roman"/>
          <w:sz w:val="18"/>
          <w:szCs w:val="18"/>
          <w:color w:val="auto"/>
        </w:rPr>
      </w:pPr>
    </w:p>
    <w:p>
      <w:pPr>
        <w:ind w:left="-660" w:firstLine="1304"/>
        <w:spacing w:after="0" w:line="282" w:lineRule="auto"/>
        <w:tabs>
          <w:tab w:leader="none" w:pos="11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Nothing contained in this Section shall require any Credit Party or any other indemnified party to make available any of its Tax returns (or any other information that it deems to be confidential or proprietary) to the indemnifying party or any other Person.</w:t>
      </w:r>
    </w:p>
    <w:p>
      <w:pPr>
        <w:spacing w:after="0" w:line="16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3.7</w:t>
      </w:r>
      <w:r>
        <w:rPr>
          <w:sz w:val="20"/>
          <w:szCs w:val="20"/>
          <w:color w:val="auto"/>
        </w:rPr>
        <w:tab/>
      </w:r>
      <w:r>
        <w:rPr>
          <w:rFonts w:ascii="Times New Roman" w:cs="Times New Roman" w:eastAsia="Times New Roman" w:hAnsi="Times New Roman"/>
          <w:sz w:val="17"/>
          <w:szCs w:val="17"/>
          <w:u w:val="single" w:color="auto"/>
          <w:color w:val="auto"/>
        </w:rPr>
        <w:t>Mitigation Obligations; Replacement of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5" w:lineRule="auto"/>
        <w:tabs>
          <w:tab w:leader="none" w:pos="12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requires the Borrower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then such Lender shall (at the request of the Borrower) use reasonable efforts to designate a different Applicable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8" w:lineRule="exact"/>
        <w:rPr>
          <w:rFonts w:ascii="Times New Roman" w:cs="Times New Roman" w:eastAsia="Times New Roman" w:hAnsi="Times New Roman"/>
          <w:sz w:val="18"/>
          <w:szCs w:val="18"/>
          <w:color w:val="auto"/>
        </w:rPr>
      </w:pPr>
    </w:p>
    <w:p>
      <w:pPr>
        <w:jc w:val="both"/>
        <w:ind w:left="-660" w:firstLine="1304"/>
        <w:spacing w:after="0" w:line="254" w:lineRule="auto"/>
        <w:tabs>
          <w:tab w:leader="none" w:pos="132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in each case, such Lender has declined or is unable to designate a different Applicable Lending Office in accordance with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obligations under this Credit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91" w:lineRule="exact"/>
        <w:rPr>
          <w:rFonts w:ascii="Times New Roman" w:cs="Times New Roman" w:eastAsia="Times New Roman" w:hAnsi="Times New Roman"/>
          <w:sz w:val="18"/>
          <w:szCs w:val="18"/>
          <w:color w:val="auto"/>
        </w:rPr>
      </w:pPr>
    </w:p>
    <w:p>
      <w:pPr>
        <w:ind w:right="20" w:firstLine="1292"/>
        <w:spacing w:after="0" w:line="282" w:lineRule="auto"/>
        <w:tabs>
          <w:tab w:leader="none" w:pos="191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waived by the Administrative Agent in its sole discretion, the Borrower shall have paid to the Administrative Agent the assignment fee (if any) specified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292"/>
        <w:spacing w:after="0" w:line="261" w:lineRule="auto"/>
        <w:tabs>
          <w:tab w:leader="none" w:pos="186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and participations in L/C Obligations,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348615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18" w:name="page119"/>
    <w:bookmarkEnd w:id="118"/>
    <w:p>
      <w:pPr>
        <w:ind w:left="660" w:firstLine="1292"/>
        <w:spacing w:after="0" w:line="282" w:lineRule="auto"/>
        <w:tabs>
          <w:tab w:leader="none" w:pos="25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 and</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5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assignment resulting from a Lender becoming a Non-Consenting Lender, the applicable assignee shall have consented (or is willing to consent upon becoming a Lender) to the applicable amendment, waiver or consent.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3.8</w:t>
      </w:r>
      <w:r>
        <w:rPr>
          <w:sz w:val="20"/>
          <w:szCs w:val="20"/>
          <w:color w:val="auto"/>
        </w:rPr>
        <w:tab/>
      </w:r>
      <w:r>
        <w:rPr>
          <w:rFonts w:ascii="Times New Roman" w:cs="Times New Roman" w:eastAsia="Times New Roman" w:hAnsi="Times New Roman"/>
          <w:sz w:val="17"/>
          <w:szCs w:val="17"/>
          <w:u w:val="single" w:color="auto"/>
          <w:color w:val="auto"/>
        </w:rPr>
        <w:t>Benchmark Replacement Setting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20" w:hanging="516"/>
        <w:spacing w:after="0"/>
        <w:tabs>
          <w:tab w:leader="none" w:pos="18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4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(subject to clause (y) below) of any other party to, this Credit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Credit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89"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Swap Agreement shall be deemed not to be a “Loan Document” for purposes of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7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3.8(d)</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selection, will be conclusive and binding absent manifest error and may be made in its or their sole discretion and without consent from any other party to this Credit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jc w:val="both"/>
        <w:ind w:firstLine="1304"/>
        <w:spacing w:after="0" w:line="253" w:lineRule="auto"/>
        <w:tabs>
          <w:tab w:leader="none" w:pos="188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1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9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 TO CREDIT EXTENSIONS</w:t>
      </w:r>
    </w:p>
    <w:p>
      <w:pPr>
        <w:spacing w:after="0" w:line="22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8"/>
          <w:szCs w:val="18"/>
          <w:u w:val="single" w:color="auto"/>
          <w:color w:val="auto"/>
        </w:rPr>
        <w:t>Conditions to Initial Credit Extensions</w:t>
      </w:r>
      <w:r>
        <w:rPr>
          <w:rFonts w:ascii="Times New Roman" w:cs="Times New Roman" w:eastAsia="Times New Roman" w:hAnsi="Times New Roman"/>
          <w:sz w:val="18"/>
          <w:szCs w:val="18"/>
          <w:color w:val="auto"/>
        </w:rPr>
        <w:t>. The effectiveness of this Credit Agreement and the obligation of each Lender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 Issuer to make its initial Credit Extension hereunder on the Closing Date is subject to satisfaction or waiver of the following conditions precedent:</w:t>
      </w:r>
    </w:p>
    <w:p>
      <w:pPr>
        <w:spacing w:after="0" w:line="207" w:lineRule="exact"/>
        <w:rPr>
          <w:sz w:val="20"/>
          <w:szCs w:val="20"/>
          <w:color w:val="auto"/>
        </w:rPr>
      </w:pPr>
    </w:p>
    <w:p>
      <w:pPr>
        <w:jc w:val="both"/>
        <w:ind w:firstLine="1304"/>
        <w:spacing w:after="0" w:line="266" w:lineRule="auto"/>
        <w:tabs>
          <w:tab w:leader="none" w:pos="186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Administrative Agent (or its counsel) shall have received a counterpart of this Credit Agreement (which may include facsimile transmission or electronic mail transmission of a signed signature page of this Credit Agreement) that, when taken together, bear the signatures of the Borrower and each Lender.</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Administrative Agent shall have received a Note for each Lender that shall have requested one, signed on behalf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The Administrative Agent shall have received a favorable written opinion (addressed to the Credit Parties and dated the Closing Date) from Olshan Frome Wolosky LLP, special counsel to the Loan Parties, in form, scope and substance satisfactory to the Administrative Agent. The Borrower hereby requests such counsel to deliver such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ind w:left="-1120" w:firstLine="1304"/>
        <w:spacing w:after="0" w:line="282" w:lineRule="auto"/>
        <w:tabs>
          <w:tab w:leader="none" w:pos="74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Closing Certificate</w:t>
      </w:r>
      <w:r>
        <w:rPr>
          <w:rFonts w:ascii="Times New Roman" w:cs="Times New Roman" w:eastAsia="Times New Roman" w:hAnsi="Times New Roman"/>
          <w:sz w:val="18"/>
          <w:szCs w:val="18"/>
          <w:color w:val="auto"/>
        </w:rPr>
        <w:t xml:space="preserve">. The Administrative Agent shall have received a certificate of the President or a Vice President and the Secretary or Assistant Secretary of each Loan Party, dated the Closing Date,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70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Substantially contemporaneously with the making of the Loans to be made on the Closing Date, the Borrower shall have paid all fees and expenses that under the terms hereof or of the Fee Letter are due and payable on or prior to the Closing Date, as well as the reasonable fees, disbursements and other charges of counsel to the Administrative Agent and the Lead Arrangers in connection with the Transactions to the extent invoiced on or prior to the Closing Date.</w:t>
      </w:r>
    </w:p>
    <w:p>
      <w:pPr>
        <w:spacing w:after="0" w:line="179" w:lineRule="exact"/>
        <w:rPr>
          <w:rFonts w:ascii="Times New Roman" w:cs="Times New Roman" w:eastAsia="Times New Roman" w:hAnsi="Times New Roman"/>
          <w:sz w:val="18"/>
          <w:szCs w:val="18"/>
          <w:color w:val="auto"/>
        </w:rPr>
      </w:pPr>
    </w:p>
    <w:p>
      <w:pPr>
        <w:ind w:left="680" w:hanging="496"/>
        <w:spacing w:after="0"/>
        <w:tabs>
          <w:tab w:leader="none" w:pos="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33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Documents set forth in </w:t>
      </w:r>
      <w:r>
        <w:rPr>
          <w:rFonts w:ascii="Times New Roman" w:cs="Times New Roman" w:eastAsia="Times New Roman" w:hAnsi="Times New Roman"/>
          <w:sz w:val="18"/>
          <w:szCs w:val="18"/>
          <w:u w:val="single" w:color="auto"/>
          <w:color w:val="auto"/>
        </w:rPr>
        <w:t>Schedule 4.1(f)</w:t>
      </w:r>
      <w:r>
        <w:rPr>
          <w:rFonts w:ascii="Times New Roman" w:cs="Times New Roman" w:eastAsia="Times New Roman" w:hAnsi="Times New Roman"/>
          <w:sz w:val="18"/>
          <w:szCs w:val="18"/>
          <w:color w:val="auto"/>
        </w:rPr>
        <w:t xml:space="preserve"> shall have been duly executed and/or delivered by each Loan Party that is to be a party thereto and shall be in full force and effect. The Administrative Agent on behalf of the Secured Parties shall have a security interest in the Collateral of the type and the priority described in each such Collateral Document; and</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399"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Perfection Certificate with respect to each Loan Party dated the Closing Date and duly executed by a Responsible Officer of the Borrower and shall have received the results of a search of the Uniform Commercial Code filings (or equivalent filings) made with respect to the Loan Parties in the states (or other jurisdictions) of formation of such persons, in each case as indicated on such Perfection Certificate, together with copies of the financing statements (or similar documents) disclosed by such search, and accompanied by evidence satisfactory to the Administrative Agent that the Liens indicated in any such financing statement (or similar document) would be permitted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have been or will be contemporaneously released or terminated.</w:t>
      </w:r>
    </w:p>
    <w:p>
      <w:pPr>
        <w:spacing w:after="0" w:line="187" w:lineRule="exact"/>
        <w:rPr>
          <w:rFonts w:ascii="Times New Roman" w:cs="Times New Roman" w:eastAsia="Times New Roman" w:hAnsi="Times New Roman"/>
          <w:sz w:val="18"/>
          <w:szCs w:val="18"/>
          <w:color w:val="auto"/>
        </w:rPr>
      </w:pPr>
    </w:p>
    <w:p>
      <w:pPr>
        <w:ind w:left="-1120" w:firstLine="1304"/>
        <w:spacing w:after="0" w:line="282" w:lineRule="auto"/>
        <w:tabs>
          <w:tab w:leader="none" w:pos="74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The Guarantee Agreement shall have been duly executed and delivered by each Loan Party that is to be a party thereto and shall be in full force and effect.</w:t>
      </w:r>
    </w:p>
    <w:p>
      <w:pPr>
        <w:spacing w:after="0" w:line="161" w:lineRule="exact"/>
        <w:rPr>
          <w:rFonts w:ascii="Times New Roman" w:cs="Times New Roman" w:eastAsia="Times New Roman" w:hAnsi="Times New Roman"/>
          <w:sz w:val="18"/>
          <w:szCs w:val="18"/>
          <w:color w:val="auto"/>
        </w:rPr>
      </w:pPr>
    </w:p>
    <w:p>
      <w:pPr>
        <w:ind w:left="700" w:hanging="516"/>
        <w:spacing w:after="0"/>
        <w:tabs>
          <w:tab w:leader="none" w:pos="7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68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The Administrative Agent shall have received a Solvency Certificate attesting to the Solvency of each Loan Party and its Subsidiaries (taken as a whole) on the Closing Date immediately before and after giving effect to the Transactions, from the chief financial officer or an authorized person performing similar function of the Borrower.</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66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Committed Loan Notice; Letter of Credit Application</w:t>
      </w:r>
      <w:r>
        <w:rPr>
          <w:rFonts w:ascii="Times New Roman" w:cs="Times New Roman" w:eastAsia="Times New Roman" w:hAnsi="Times New Roman"/>
          <w:sz w:val="18"/>
          <w:szCs w:val="18"/>
          <w:color w:val="auto"/>
        </w:rPr>
        <w:t>. The Administrative Agent shall have received a completed Committed Loan Notice and/or Letter of Credit Application, duly executed by a Responsible Officer of the Borrower with respect to any Credit Extensions to be made on the Closing Date.</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7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Administrative Agent shall have received evidence that all insurance required to be maintained pursuant to the Loan Documents has been obtained and is in effect and that the Administrative Agent has been named as lender’s loss payee and/or additional insured, as applicable, under each insurance policy with respect thereto and all endorsements thereto have been delivered, in each case, in accordance with the terms of the Loan Documents, and the Administrative Agent is otherwise satisfied with all of the insurance arrangements of the Loan Parties and their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1" w:name="page122"/>
    <w:bookmarkEnd w:id="121"/>
    <w:p>
      <w:pPr>
        <w:jc w:val="both"/>
        <w:ind w:firstLine="1304"/>
        <w:spacing w:after="0" w:line="266" w:lineRule="auto"/>
        <w:tabs>
          <w:tab w:leader="none" w:pos="180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Pro-Forma Compliance Certificate</w:t>
      </w:r>
      <w:r>
        <w:rPr>
          <w:rFonts w:ascii="Times New Roman" w:cs="Times New Roman" w:eastAsia="Times New Roman" w:hAnsi="Times New Roman"/>
          <w:sz w:val="18"/>
          <w:szCs w:val="18"/>
          <w:color w:val="auto"/>
        </w:rPr>
        <w:t>. The Administrative Agent shall have received a certificate, dated the Closing Date and signed by a Financial Officer of the Borrower, setting forth reasonably detailed calculations demonstrating compliance with the Financial Covenants on a Pro Forma Basis immediately after giving effect to the Transactions occurring on the Closing Date.</w:t>
      </w:r>
    </w:p>
    <w:p>
      <w:pPr>
        <w:spacing w:after="0" w:line="17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 KYC</w:t>
      </w:r>
      <w:r>
        <w:rPr>
          <w:rFonts w:ascii="Times New Roman" w:cs="Times New Roman" w:eastAsia="Times New Roman" w:hAnsi="Times New Roman"/>
          <w:sz w:val="18"/>
          <w:szCs w:val="18"/>
          <w:color w:val="auto"/>
        </w:rPr>
        <w:t>. At least three days prior to the Closing Date, each Lender shall have received:</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53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documentation and other information requested by such Lender in connection with applicable “know your customer” and anti-money-laundering rules and regulations, including the USA PATRIOT Act;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51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Borrower constitutes a “legal entity customer” under the Beneficial Ownership Regulation, a completed Beneficial Ownership Certification in relation to the Borrower.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Administrative Agent shall have received (i) the Audited Financial Statements, (ii) the Unaudited Financial Statements and (iii) the Pro Forma Financial Statements. Availability of the Audited Financial Statements and the Unaudited Financial Statements on the SEC’s website with respect to any fiscal year, or the availability of such report on the SEC’s EDGAR website or the Borrower’s website (to the extent such report complies with the requirements of the applicable definitions), shall be deemed to be compliance by the Borrower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Impediments</w:t>
      </w:r>
      <w:r>
        <w:rPr>
          <w:rFonts w:ascii="Times New Roman" w:cs="Times New Roman" w:eastAsia="Times New Roman" w:hAnsi="Times New Roman"/>
          <w:sz w:val="18"/>
          <w:szCs w:val="18"/>
          <w:color w:val="auto"/>
        </w:rPr>
        <w:t>. No law or regulation shall be applicable that restrains, prevents or imposes materially adverse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Credit Facilities.</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December 31, 2019, there shall not have occurred a Material Adverse Effect or any event or circumstance that could reasonably be expected to result in a Material Adverse Effect and the Administrative Agent shall have received a certificate of a Financial Officer of the Borrower to the foregoing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Officer Certificate</w:t>
      </w:r>
      <w:r>
        <w:rPr>
          <w:rFonts w:ascii="Times New Roman" w:cs="Times New Roman" w:eastAsia="Times New Roman" w:hAnsi="Times New Roman"/>
          <w:sz w:val="18"/>
          <w:szCs w:val="18"/>
          <w:color w:val="auto"/>
        </w:rPr>
        <w:t xml:space="preserve">. The Administrative Agent shall have received a certificate, dated the Closing Date and signed by a Financial Officer of the Borrower confirming that (i) the conditions set forth in paragraph (p)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clauses (a) and (b)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be satisfied and (ii) on a Pro Forma Basis after giving effect to the Transactions to be effected on the Closing Date, the Consolidated Net Leverage Ratio does not exceed 4.00 to 1.00.</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3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Credit Agreement Refinancing</w:t>
      </w:r>
      <w:r>
        <w:rPr>
          <w:rFonts w:ascii="Times New Roman" w:cs="Times New Roman" w:eastAsia="Times New Roman" w:hAnsi="Times New Roman"/>
          <w:sz w:val="18"/>
          <w:szCs w:val="18"/>
          <w:color w:val="auto"/>
        </w:rPr>
        <w:t>. The Existing Credit Agreement Refinancing shall have been consummated substantially contemporaneously with the funding of the Loans to be made on the Closing Date. The Existing Credit Agreement (and each related loan document) and all commitments thereunder shall have been terminated, all obligations thereunder shall have been paid in full (other than obligations that are contingent in nature or unliquidated at such time, which under the terms of the Existing Credit Agreement or related loan documents expressly survive such payment and termination) and all documentation necessary to release or terminate, as applicable, security interests and guarantees in respect thereof shall have been delivered to the Administrative Agent or its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determining whether the Closing Date has occurred, each Lender that has executed this Credit Agreement shall be deemed to have consented to, approved or accepted, or to be satisfied with, each document or other matter required hereunder to be consented to or approved by or acceptable or satisfactory to the Lead Arrangers, Administrative Agent or such Lender, as the case may be, unless such Lender has notified the Administrative Agent of any disagreement prior to the initial Credit Extensions hereunder. Notwithstanding the foregoing, the obligations of the Lenders to make Credit Extension and of the L/C Issuer to issue Letters of Credit hereunder shall not become effective unless each of the foregoing conditions shall have been satisfied (or waived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at or prior to 5:00 p.m. on December 22, 2020 (and, in the event such conditions are not so satisfied or waived, the Commitments shall terminate at such time).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Conditions to All Credit Extensions</w:t>
      </w:r>
      <w:r>
        <w:rPr>
          <w:rFonts w:ascii="Times New Roman" w:cs="Times New Roman" w:eastAsia="Times New Roman" w:hAnsi="Times New Roman"/>
          <w:sz w:val="18"/>
          <w:szCs w:val="18"/>
          <w:color w:val="auto"/>
        </w:rPr>
        <w:t xml:space="preserve">. The obligation of each Lender or the L/C Issuer, as the case may be, to honor any Request for Credit Extension (other than a Committed Loan Notice requesting only a conversion of Loans to the other Type, or a continuation of SOFR Loans) is subject to the satisfaction of the conditions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the following additional conditions precedent:</w:t>
      </w:r>
    </w:p>
    <w:p>
      <w:pPr>
        <w:spacing w:after="0" w:line="176" w:lineRule="exact"/>
        <w:rPr>
          <w:sz w:val="20"/>
          <w:szCs w:val="20"/>
          <w:color w:val="auto"/>
        </w:rPr>
      </w:pPr>
    </w:p>
    <w:p>
      <w:pPr>
        <w:jc w:val="both"/>
        <w:ind w:firstLine="1304"/>
        <w:spacing w:after="0" w:line="258" w:lineRule="auto"/>
        <w:tabs>
          <w:tab w:leader="none" w:pos="19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of the Loan Parties set forth in the Loan Documents shall be true and correct in all material respects, in each case on and as of such date as if made on and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83"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exist, or would result from such proposed Credit Extension or from the application of the proceeds therefrom.</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6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the L/C Issuer or the Swingline Lender shall have received a Request for Credit Extension in accordance with the requirements hereof.</w:t>
      </w:r>
    </w:p>
    <w:p>
      <w:pPr>
        <w:spacing w:after="0" w:line="16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Borrowing under an Incremental Facility, each of the applicable requirements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satisfied.</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2" w:val="left"/>
        </w:tabs>
        <w:numPr>
          <w:ilvl w:val="0"/>
          <w:numId w:val="12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0000FF"/>
        </w:rPr>
        <w:t xml:space="preserve">In the case of any Revolving Borrowing during the 2024 Covenant Relief Period, the Consolidated Net Leverage Ratio, calculated </w:t>
      </w:r>
      <w:r>
        <w:rPr>
          <w:rFonts w:ascii="Times New Roman" w:cs="Times New Roman" w:eastAsia="Times New Roman" w:hAnsi="Times New Roman"/>
          <w:sz w:val="18"/>
          <w:szCs w:val="18"/>
          <w:u w:val="single" w:color="auto"/>
          <w:color w:val="0000FF"/>
        </w:rPr>
        <w:t>on a Pro Forma Basis and giving effect to such Revolving Borrowing, shall be less than or equal to 4.15 to 1:00, as demonstrated by reasonably detailed calculations provided with the Request for Credit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-313055</wp:posOffset>
            </wp:positionV>
            <wp:extent cx="60045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04560" cy="8255"/>
                    </a:xfrm>
                    <a:prstGeom prst="rect">
                      <a:avLst/>
                    </a:prstGeom>
                    <a:noFill/>
                  </pic:spPr>
                </pic:pic>
              </a:graphicData>
            </a:graphic>
          </wp:anchor>
        </w:drawing>
        <w:drawing>
          <wp:anchor simplePos="0" relativeHeight="251657728" behindDoc="1" locked="0" layoutInCell="0" allowOverlap="1">
            <wp:simplePos x="0" y="0"/>
            <wp:positionH relativeFrom="column">
              <wp:posOffset>1125855</wp:posOffset>
            </wp:positionH>
            <wp:positionV relativeFrom="paragraph">
              <wp:posOffset>-295910</wp:posOffset>
            </wp:positionV>
            <wp:extent cx="60045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04560" cy="8890"/>
                    </a:xfrm>
                    <a:prstGeom prst="rect">
                      <a:avLst/>
                    </a:prstGeom>
                    <a:noFill/>
                  </pic:spPr>
                </pic:pic>
              </a:graphicData>
            </a:graphic>
          </wp:anchor>
        </w:drawing>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Each Request for Credit Extension (other than a Committed Loan Notice requesting only a conversion of Loans to the other Type or a continuation of SOFR Loans) submitted by the Borrower shall be deemed to be a representation and warranty that the applicable conditions specified in </w:t>
      </w:r>
      <w:r>
        <w:rPr>
          <w:rFonts w:ascii="Times New Roman" w:cs="Times New Roman" w:eastAsia="Times New Roman" w:hAnsi="Times New Roman"/>
          <w:sz w:val="18"/>
          <w:szCs w:val="18"/>
          <w:u w:val="single" w:color="auto"/>
          <w:color w:val="auto"/>
        </w:rPr>
        <w:t>Sections 4.2(a)</w:t>
      </w:r>
      <w:r>
        <w:rPr>
          <w:rFonts w:ascii="Times New Roman" w:cs="Times New Roman" w:eastAsia="Times New Roman" w:hAnsi="Times New Roman"/>
          <w:sz w:val="18"/>
          <w:szCs w:val="18"/>
          <w:color w:val="auto"/>
        </w:rPr>
        <w:t xml:space="preserve"> and, if applicable,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on and as of the date of the applicable Credit Extension.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represent and warrant to the Administrative Agent and the Lenders that: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Existence, Qualification and Power; Compliance with Laws</w:t>
      </w:r>
      <w:r>
        <w:rPr>
          <w:rFonts w:ascii="Times New Roman" w:cs="Times New Roman" w:eastAsia="Times New Roman" w:hAnsi="Times New Roman"/>
          <w:sz w:val="18"/>
          <w:szCs w:val="18"/>
          <w:color w:val="auto"/>
        </w:rPr>
        <w:t>. Each Loan Party and each of its Subsidiaries (a) is duly incorporated, organized or formed, and validly existing and, where applicable, in good standing under the laws of the jurisdiction of its incorporation or organization, (b) has all requisite power and authority to (i) own or lease its assets and carry on its business as now conducted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and (d) has all requisite governmental licenses, authorizations, consents and approvals to operate its business as currently conducted; except in each case referred to in clause (c) or (d), to the extent that failure to do so could not, individually or in the aggregate, reasonably be expected to have a Material Adverse Effect. The Borrower and its Subsidiaries are in compliance with all laws, rules, regulations and orders of any Governmental Authority applicable to it or its property and maintains all permits and licenses necessary to conduct its business, except where the failure to do so, individually or in the aggregate, would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Authorization; No Contravention</w:t>
      </w:r>
      <w:r>
        <w:rPr>
          <w:rFonts w:ascii="Times New Roman" w:cs="Times New Roman" w:eastAsia="Times New Roman" w:hAnsi="Times New Roman"/>
          <w:sz w:val="18"/>
          <w:szCs w:val="18"/>
          <w:color w:val="auto"/>
        </w:rPr>
        <w:t>. The execution, delivery and performance by each Loan Party of each Loan Document to which such Loan Party is a party, and the consummation of the Transactions, are within such Loan Party’s corporate, limited liability company or other analogous powers, have been duly authorized by all necessary corporate, limited liability company or other analogous action, and do not and will not (a) contravene the terms of any of such Person’s Organizational Documents, (b) conflict with or result in any breach or contravention of, or the creation of any Lien under (other than under the Loan Documents),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with respect to any conflict, breach or contravention or payment (but not creation of Liens) referred to in clause (b)(i), to the extent that such conflict, breach, contravention or payment would not, individually or in the aggregate, reasonably be expected to have a Material Adverse Effect.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any Loan Document to which it is a party,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Loan Documents, except for (i) filings and recordings necessary to satisfy the Collateral and Guarantee Requirement, and (ii) the approvals, consents, exemptions, authorizations, actions, notices and filings which have been duly obtained, taken, given or made and are in full force and effect.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Each Loan Document has been duly executed and delivered by each Loan Party that is party thereto and constitutes a legal, valid and binding obligation of each such Loan Party, enforceable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8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u w:val="single" w:color="auto"/>
          <w:color w:val="auto"/>
        </w:rPr>
        <w:t>Financial Statements; No Material Adverse Effect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20" w:hanging="516"/>
        <w:spacing w:after="0"/>
        <w:tabs>
          <w:tab w:leader="none" w:pos="18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and Unaudited Financial Statements:</w:t>
      </w:r>
    </w:p>
    <w:p>
      <w:pPr>
        <w:spacing w:after="0" w:line="225" w:lineRule="exact"/>
        <w:rPr>
          <w:rFonts w:ascii="Times New Roman" w:cs="Times New Roman" w:eastAsia="Times New Roman" w:hAnsi="Times New Roman"/>
          <w:sz w:val="18"/>
          <w:szCs w:val="18"/>
          <w:color w:val="auto"/>
        </w:rPr>
      </w:pPr>
    </w:p>
    <w:p>
      <w:pPr>
        <w:jc w:val="both"/>
        <w:ind w:left="660" w:right="20" w:firstLine="1292"/>
        <w:spacing w:after="0" w:line="266" w:lineRule="auto"/>
        <w:tabs>
          <w:tab w:leader="none" w:pos="252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 the financial condition of the Borrower and its Subsidiaries, as applicable, as of the dates thereof and its results of operations for the period covered thereby in accordance with GAAP consistently applied throughout the periods covered thereby, subject, in the case of the Unaudited Financial Statements, to normal year-end audit adjustments and the absence of footnotes; and</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9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all material Indebtedness and other liabilities, direct or contingent, of the Borrower and its Subsidiaries, as applicable, as of the date thereof, including liabilities for Taxes, material commitments and contingent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4" w:name="page125"/>
    <w:bookmarkEnd w:id="124"/>
    <w:p>
      <w:pPr>
        <w:jc w:val="both"/>
        <w:ind w:firstLine="1304"/>
        <w:spacing w:after="0" w:line="254" w:lineRule="auto"/>
        <w:tabs>
          <w:tab w:leader="none" w:pos="184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consolidated balance sheet of the Borrower and its Subsidiaries as at September 30, 2020 (including the notes thereto) (the “</w:t>
      </w:r>
      <w:r>
        <w:rPr>
          <w:rFonts w:ascii="Times New Roman" w:cs="Times New Roman" w:eastAsia="Times New Roman" w:hAnsi="Times New Roman"/>
          <w:sz w:val="18"/>
          <w:szCs w:val="18"/>
          <w:u w:val="single" w:color="auto"/>
          <w:color w:val="auto"/>
        </w:rPr>
        <w:t>Pro Forma Balance Sheet</w:t>
      </w:r>
      <w:r>
        <w:rPr>
          <w:rFonts w:ascii="Times New Roman" w:cs="Times New Roman" w:eastAsia="Times New Roman" w:hAnsi="Times New Roman"/>
          <w:sz w:val="18"/>
          <w:szCs w:val="18"/>
          <w:color w:val="auto"/>
        </w:rPr>
        <w:t>”) and the unaudited pro forma consolidated statement of income of the Borrower and its Subsidiaries for the nine month period ending on September 30, 2020 (together with the Pro Forma Balance Sheet, the “</w:t>
      </w: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copies of which have heretofore been furnished to the Administrative Agent, have been prepared giving effect (as if such events had occurred on such date or at the beginning of such periods, as the case may be) to the Transactions. The Pro Forma Financial Statements have been prepared in good faith, based on assumptions believed by the Borrower to be reasonable as of the date of delivery thereof, and present fairly in all material respects on a pro forma basis the estimated financial position of the Borrower and its Subsidiaries as at September 30, 2020 and their estimated results of operations for the periods covered thereby, assuming that the events specified in the preceding sentence had actually occurred at such date or at the beginning of the periods covered thereby.</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84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2019, there has been no event or circumstance, either individually or in the aggregate, that has had or would reasonably be expected to have a Material Adverse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or proceedings by or before any arbitrator or Governmental Authority pending against any Loan Party or, to the knowledge of the Borrower, threatened against or affecting the Loan Parties or any of their Subsidiaries (a) as to which there is a reasonable possibility of an adverse determination and that, if adversely determined, could reasonably be expected, individually or in the aggregate, to result in a Material Adverse Effect (other than the Disclosed Matters) or (b) that involve or affect, or that purport to or could reasonably be expected to involve or affect, any Loan Document or the Transactions.</w:t>
      </w:r>
    </w:p>
    <w:p>
      <w:pPr>
        <w:spacing w:after="0" w:line="18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00" w:hanging="696"/>
        <w:spacing w:after="0"/>
        <w:tabs>
          <w:tab w:leader="none" w:pos="2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Disclosed Matters and except for Environmental Claims which have been fully resolved with no remaining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or conditions:</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47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and its Subsidiaries possess all Environmental Permits required under applicable Environmental Law to conduct their respective businesses and are, and within applicable statutes of limitation, have been, in material compliance with the terms of such Environmental Permits. No Loan Party or any of its Subsidiaries has received written notice that any Environmental Permits possessed by any of them will be revoked, suspended or will not be renewed;</w:t>
      </w:r>
    </w:p>
    <w:p>
      <w:pPr>
        <w:spacing w:after="0" w:line="179"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51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Credit Agreement and the consummation by the Loan Parties of the Transactions does not require any notification, registration, reporting, filing, investigation, or environmental response action under any Environmental Law;</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59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and their Subsidiaries are currently, and within applicable statutes of limitation, have been, in material compliance with all applicable Environmental Law;</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71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nor any of its Subsidiaries has received (A) notice of any pending or threatened civil, criminal or administrative action, suit, demand, claim, hearing, notice of violation, investigation, notice or demand letter or request for information under any Environmental Law, or (B) notice of actual or potential liability under any Environmental Law including any Environmental Liability that such Loan Party or Subsidiary may have retained or assumed either contractually or by operation of law or of any Environmental Claim, in either case with respect to clauses (A) or (B) that reasonably could be expected to result in material expenditure by such Loan Party or Subsidiary. No Loan Party or any of its Subsidiaries has knowledge of any circumstances that reasonably could be expected to result in a material Environmental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jc w:val="both"/>
        <w:ind w:left="-460" w:firstLine="1292"/>
        <w:spacing w:after="0" w:line="258" w:lineRule="auto"/>
        <w:tabs>
          <w:tab w:leader="none" w:pos="137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Agreement Date: (A) no property or facility currently, or to the knowledge of each Loan Party, formerly owned, operated or leased by any Loan Party or any of its current or former Subsidiaries or by any respective predecessor in interest, and (B) no property at which Hazardous Materials generated, owned or controlled by any Loan Party, any of its present or former Subsidiaries or any predecessor in interest have been stored, treated or disposed of, have been identified by a Governmental Authority as recommended for or requiring or potentially requiring environmental assessment and/or response actions under Environmental Law;</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44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has been no disposal, spill, discharge or Release of any Hazardous Material generated, used, owned, stored or controlled by any Loan Party, any of its Subsidiaries or any predecessor in interest, on, at or under any property currently or formerly owned, leased or operated by any Loan Party, any of its current or former Subsidiaries or any predecessor in interest, (B) there are no Hazardous Materials located in, at, on or under such facility or property, or at any other location, in either case (A) or (B), that reasonably would be expected to require investigation, removal, remedial or corrective measures by any Loan Party or any of its Subsidiaries or that reasonably could result in material liabilities of, or material losses, damages or costs to any Loan Party or any of its Subsidiaries under any Environmental Law, and (C) neither the Loan Parties nor any of their Subsidiaries has retained or assumed any liability contractually or by operation of law with regard to the generation, treatment, storage or disposal of Hazardous Materials or compliance with Environmental Law that would reasonably be expected to result in material expenditures by any Loan Party or any of its Subsidiaries;</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47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has not been any underground or aboveground storage tank or other underground storage receptacle or related piping, or any impoundment or other disposal area in each case containing Hazardous Materials located on any facility or property currently or formerly owned, leased or operated by any Loan Party or any of its Subsidiaries, and (B) no asbestos or polychlorinated biphenyls have been used or disposed of, or have been located at, on or under any facility or property currently or formerly owned, leased or operated by any Loan Party or any of its Subsidiaries, in either case (A) or (B) except in material compliance with applicable Environmental Laws or as would not result in material Environmental Liability;</w:t>
      </w:r>
    </w:p>
    <w:p>
      <w:pPr>
        <w:spacing w:after="0" w:line="187"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55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 has been recorded against any properties, assets or facilities currently owned, leased or operated by any Loan Party or any of its Subsidiaries under any Environmental Law.</w:t>
      </w:r>
    </w:p>
    <w:p>
      <w:pPr>
        <w:spacing w:after="0" w:line="161" w:lineRule="exact"/>
        <w:rPr>
          <w:rFonts w:ascii="Times New Roman" w:cs="Times New Roman" w:eastAsia="Times New Roman" w:hAnsi="Times New Roman"/>
          <w:sz w:val="18"/>
          <w:szCs w:val="18"/>
          <w:color w:val="auto"/>
        </w:rPr>
      </w:pPr>
    </w:p>
    <w:p>
      <w:pPr>
        <w:ind w:left="-1120" w:firstLine="1304"/>
        <w:spacing w:after="0" w:line="282" w:lineRule="auto"/>
        <w:tabs>
          <w:tab w:leader="none" w:pos="74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Agreement Date, there has been no change in the status of the Disclosed Matters that, individually or in the aggregate, has resulted in, or materially increased the likelihood of, a Material Adverse Effect.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73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and their Subsidiaries have provided to the Administrative Agent and its authorized representatives all material records and files, including all material assessments, reports, studies, analyses, audits, tests and data in their possession or under their control concerning any Environmental Claim, the existence of Hazardous Materials or any other environmental concern at properties, assets or facilities currently or formerly owned, operated or leased by any Loan Party or any of their present or former Subsidiaries or predecessor in interest, or concerning compliance by any Loan Party or any such Subsidiary with, or liability under any Environmental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351155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6" w:name="page127"/>
    <w:bookmarkEnd w:id="1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Ownership of Properties; Liens</w:t>
      </w:r>
      <w:r>
        <w:rPr>
          <w:rFonts w:ascii="Times New Roman" w:cs="Times New Roman" w:eastAsia="Times New Roman" w:hAnsi="Times New Roman"/>
          <w:sz w:val="18"/>
          <w:szCs w:val="18"/>
          <w:color w:val="auto"/>
        </w:rPr>
        <w:t>. Each Loan Party and its Subsidiaries (a)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(b) owns, or is entitled to use, all trademarks, service marks, trade names, domain names, copyrights, patents, patent rights, technology, software, know-how database rights, design rights and other intellectual property rights material to its business, and the use thereof by the Loan Parties and their respective Subsidiaries does not infringe upon the rights of any other Person, except for any such infringements that, individually or in the aggregate, would not reasonably be expected to result in a Material Adverse Effect, (c) has complied in all material respects with all obligations under all material leases to which it is a party and all such leases are in full force and effect and (d) enjoys peaceful and undisturbed possession under all such material leases.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Casualty, Etc</w:t>
      </w:r>
      <w:r>
        <w:rPr>
          <w:rFonts w:ascii="Times New Roman" w:cs="Times New Roman" w:eastAsia="Times New Roman" w:hAnsi="Times New Roman"/>
          <w:sz w:val="18"/>
          <w:szCs w:val="18"/>
          <w:color w:val="auto"/>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would reasonably be expected to have a Material Adverse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Investment Company Status, Etc</w:t>
      </w:r>
      <w:r>
        <w:rPr>
          <w:rFonts w:ascii="Times New Roman" w:cs="Times New Roman" w:eastAsia="Times New Roman" w:hAnsi="Times New Roman"/>
          <w:sz w:val="18"/>
          <w:szCs w:val="18"/>
          <w:color w:val="auto"/>
        </w:rPr>
        <w:t>. No Loan Party or any of its Subsidiaries is (a) an “investment company” as defined in, or subject to regulation under, the Investment Company Act of 1940 or (b) otherwise subject to any other regulatory scheme limiting its ability to incur debt.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Loan Party and its Subsidiaries has timely filed or caused to be filed all federal, provincial, state, municipal, foreign and other Tax returns and reports required to be filed, and have timely paid all federal, provincial, state, municipal, foreign and Taxes levied or imposed upon them or their properties, income or assets otherwise due and payable, except (a) those which are being Contested in Good Faith and (b) failures to file or pay as could not, either individually or in the aggregate, reasonably be expected to result in a Material Adverse Effect. There are no Tax audits, deficiencies, assessments or other claims with respect to any Loan Party or any of its Subsidiaries that would, either individually or in the aggregate, reasonably be expected to result in a Material Adverse Effect.</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5.12</w:t>
      </w:r>
      <w:r>
        <w:rPr>
          <w:sz w:val="20"/>
          <w:szCs w:val="20"/>
          <w:color w:val="auto"/>
        </w:rPr>
        <w:tab/>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5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and each of its ERISA Affiliates is in compliance in all material respects with the applicable provisions of ERISA and the Code and the regulations and published interpretations thereunder. No ERISA Event has occurred or is reasonably expected to occur that, when taken together with all other such ERISA Events for which liability is reasonably expected to occur, would reasonably be expected to result in a Material Adverse Effect. No event described in Section 4062(e) of ERISA has occurred and is continuing with respect to any Pension Plan. The present value of all accumulated benefit obligations under each Pension Plan (based on the assumptions used for purposes of Statement of Financial Accounting Standards No. 87) did not, as of the date of the most recent financial statements reflecting such amounts, exceed the fair market value of the assets of such Pension Plan and the present value of all accumulated benefit obligations of all underfunded Pension Plans (based on the assumptions used for purposes of Statement of Financial Accounting Standards No. 87) did not, as of the date of the most recent financial statements reflecting such amounts, exceed the fair market value of the assets of all such underfunded Pension Plans.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Pension Plan that is intended to qualify under Section 401(a) of the Code has received a favorable determination letter from the IRS or an application for such a letter is currently being processed by the IRS with respect thereto and, to the knowledge of the Loan Parties, nothing has occurred which would prevent, or cause the loss of, such qualification. Each Loan Party and ERISA Affiliate has made all required contributions to each Pension Plan subject to Section 412 of the Code, and no application for a funding waiver pursuant to Section 412 of the Code has been made with respect to any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7" w:name="page128"/>
    <w:bookmarkEnd w:id="127"/>
    <w:p>
      <w:pPr>
        <w:jc w:val="both"/>
        <w:ind w:firstLine="1304"/>
        <w:spacing w:after="0" w:line="261" w:lineRule="auto"/>
        <w:tabs>
          <w:tab w:leader="none" w:pos="203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Loan Parties, threatened claims, actions, or lawsuits, or action by any Governmental Authority, with respect to any Pension Plan that would reasonably be expected to have a Material Adverse Effect. There has been no violation of the fiduciary responsibility rules of ERISA with respect to any Pension Plan that has resulted in or would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or ERISA Affiliate (i) has incurred, or reasonably expects to incur, any liability under Title IV of ERISA with respect to any Pension Plan (other than premiums due and not delinquent under Section 4007 of ERISA), (ii) has incurred, or reasonably expects to incur, any liability (and no event has occurred which, with the giving of notice under Section 4219 of ERISA, would result in such liability) under Section 4201 of ERISA with respect to a Multiemployer Plan, and (iii) has engaged in a transaction that could be subject to Section 4069 or Section 4212(c) of ERISA.</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4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Pension Plan or trust created thereunder, or party in interest (as defined in Section 3(14) of ERISA), or any fiduciary (as defined in Section 3(21) of ERISA), has engaged in a “prohibited transaction” (as such term is defined in Section 406 of ERISA or Section 4975 of the Code) which would subject such Pension Plan or any other plan of any Loan Party or any of its ERISA Affiliates, any trust created thereunder, or any such party in interest or fiduciary, or any party dealing with any such Pension Plan or any such trust, to any material penalty or tax on “prohibited transactions” imposed by Section 502 of ERISA or Section 4975 of the Code.</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0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Foreign Plan, (i) all employer and employee contributions required by law or by the terms of the Foreign Plan have been made, or, if applicable, accrued, in accordance with normal accounting practices; (ii)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with respect to all current and former participants in such Foreign Plan according to the actuarial assumptions and valuations most recently used to account for such obligations in accordance with applicable generally accepted accounting principles; and (iii) it has been registered as required and has been maintained in good standing with applicable regulatory authorities.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Subsidiaries; Equity Interests</w:t>
      </w:r>
      <w:r>
        <w:rPr>
          <w:rFonts w:ascii="Times New Roman" w:cs="Times New Roman" w:eastAsia="Times New Roman" w:hAnsi="Times New Roman"/>
          <w:sz w:val="18"/>
          <w:szCs w:val="18"/>
          <w:color w:val="auto"/>
        </w:rPr>
        <w:t xml:space="preserve">. As of the Agreement Date, no Loan Party has any direct or indirect Subsidiaries or investments (other than Cash Equivalents) in, or joint ventures or partnerships with, any Person, except as disclosed in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Such Schedule sets forth (a) the name and jurisdiction of organization or incorporation of each Subsidiary and identifies each Subsidiary that is a Subsidiary Guarantor and/or an Excluded Subsidiary on the Agreement Date, (b) the ownership interest of each Loan Party and tier respective Subsidiaries in each of their respective Subsidiaries, including the percentage of such ownership and (c) identifies each Person the Equity Interests of which are required to be pledged on the Closing Date pursuant to the Collateral and Guarantee Requirement. Neither any Loan Party nor any of its Subsidiaries has issued any Disqualified Equity Interests and there are no outstanding options or warrants to purchase Equity Interests of any Loan Party or any of its Subsidiaries of any class or kind, and, except as disclosed in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there are no agreements, voting trusts or understandings with respect thereto or affecting in any manner the sale, pledge, assignment or other disposition thereof, including any right of first refusal, option, redemption, call or other rights with respect thereto, whether similar or dissimilar to any of the foregoing. All of the issued and outstanding Equity Interests owned by any Loan Party in its Subsidiaries have been duly authorized and issued and are fully paid and non-assessable and are free and clear of all Liens other than Liens in favor of the Administrative Agent under the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8" w:name="page129"/>
    <w:bookmarkEnd w:id="128"/>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sets forth a description of all insurance maintained by or on behalf of the Loan Parties and their Subsidiaries on the Agreement Date (including names of carriers, policy number, expiration dates, insurance types and coverage amounts). As of the Agreement Date, all premiums in respect of such insurance that are due and payable have been paid.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Federal Reserve Regulations, Etc</w:t>
      </w:r>
      <w:r>
        <w:rPr>
          <w:rFonts w:ascii="Times New Roman" w:cs="Times New Roman" w:eastAsia="Times New Roman" w:hAnsi="Times New Roman"/>
          <w:sz w:val="18"/>
          <w:szCs w:val="18"/>
          <w:color w:val="auto"/>
        </w:rPr>
        <w:t>. Neither any Loan Party nor any of its Subsidiaries is engaged principally, or as one of their important activities, in the business of extending credit for the purpose of buying or carrying Margin Stock. Immediately before and after giving effect to the making of each Loan and the issuance of each Letter of Credit, Margin Stock will constitute less than 25% of each Loan Party’s assets as determined in accordance with Regulation U. No part of the proceeds of any Loan or any Letter of Credit will be used, whether directly or indirectly, and whether immediately, incidentally or ultimately, (a) to purchase, acquire or carry any Margin Stock or for any purpose that entails a violation of, or that is inconsistent with, the provisions of the regulations of the Board, including Regulation T, U or X or (b) for any purpose that would violate any Anti-Corruption Laws or applicable Sanctions.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The Security Agreement, upon execution and delivery thereof by the parties thereto, will create in favor of the Administrative Agent, for the ratable benefit of the Secured Parties, a legal, valid and enforceable security interest in the Collateral (as defined in the Security Agreement) and the proceeds thereof and (i) when the Pledged Equity Interests (other than uncertificated Equity Interests) and the Pledged Debt Securities (as each such term is defined in the Security Agreement) are delivered to the Administrative Agent together with the proper endorsements, the Lien created under Security Agreement shall constitute a fully perfected first priority Lien on, and security interest in, all right, title and interest of the Loan Parties in such Pledged Equity Interests and Pledged Debt Securities to the extent that the laws of the United States or any state, commonwealth or other political subdivision thereof govern the creation and perfection of any such security interest, in each case prior and superior in right to any other Lien or right of any other person and (ii) when financing statements in appropriate form are filed in the offices specified on </w:t>
      </w:r>
      <w:r>
        <w:rPr>
          <w:rFonts w:ascii="Times New Roman" w:cs="Times New Roman" w:eastAsia="Times New Roman" w:hAnsi="Times New Roman"/>
          <w:sz w:val="18"/>
          <w:szCs w:val="18"/>
          <w:u w:val="single" w:color="auto"/>
          <w:color w:val="auto"/>
        </w:rPr>
        <w:t>Schedule 5.16(a)</w:t>
      </w:r>
      <w:r>
        <w:rPr>
          <w:rFonts w:ascii="Times New Roman" w:cs="Times New Roman" w:eastAsia="Times New Roman" w:hAnsi="Times New Roman"/>
          <w:sz w:val="18"/>
          <w:szCs w:val="18"/>
          <w:color w:val="auto"/>
        </w:rPr>
        <w:t xml:space="preserve"> and, with respect to Collateral consisting of Intellectual Property, when the Security Agreement (or Copyright Security Agreements, Patent Security Agreements and/or Trademark Security Agreements, as applicable) are filed with the United States Patent and Trademark Office or the United States Copyright Office, as applicable, and in each case, all applicable filing fees have been paid, the Lien created under the Security Agreement will constitute a fully perfected Lien on, and security interest in, all right, title and interest of the Loan Parties in the Collateral to the extent such security interest may be perfected by the filing of a UCC financing statement and, with respect to Intellectual Property, the filing of such Copyright Security Agreements, Patent Security Agreements and/or Trademark Security Agreements with the United States Patent and Trademark Office or the United States Copyright Office, as applicable, in each case prior and superior in right to any other Lien or right of any other person, other than Liens expressly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which by operation of law or contract have priority over the Liens securing the Secured Obligations.</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before and after the consummation of each Transaction, each of the Loan Parties and its Subsidiaries, on a consolidated basis, are Solvent.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5.18</w:t>
      </w:r>
      <w:r>
        <w:rPr>
          <w:sz w:val="20"/>
          <w:szCs w:val="20"/>
          <w:color w:val="auto"/>
        </w:rPr>
        <w:tab/>
      </w:r>
      <w:r>
        <w:rPr>
          <w:rFonts w:ascii="Times New Roman" w:cs="Times New Roman" w:eastAsia="Times New Roman" w:hAnsi="Times New Roman"/>
          <w:sz w:val="17"/>
          <w:szCs w:val="17"/>
          <w:u w:val="single" w:color="auto"/>
          <w:color w:val="auto"/>
        </w:rPr>
        <w:t>Anti-Corruption Laws; Sanctions; Anti-Terrorism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90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its Subsidiaries and their respective officers and employees and their directors and agents, are in compliance with Anti-Corruption Laws and applicable Sanctions. Neither any Loan Party, any of its Subsidiaries or any of their respective directors, officers or employees is a Sanctioned Person. Each Loan Party and each of its Subsidiaries has implemented and maintains in effect policies and procedures reasonably designed to ensure compliance by the Loan Party, its Subsidiaries and their respective directors, officers, employees and agents with Anti-Corruption Laws and all applicable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jc w:val="both"/>
        <w:ind w:firstLine="1304"/>
        <w:spacing w:after="0" w:line="261" w:lineRule="auto"/>
        <w:tabs>
          <w:tab w:leader="none" w:pos="188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or Letter of Credit, use of the proceeds of any Loan or Letter of Credit or other transactions contemplated hereby will violate Anti-Corruption Laws or applicable Sanctions. No part of the proceeds of the Loans or the Letters or Credit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Anti-Corruption Laws.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making of the Loans hereunder nor the use of the proceeds thereof will violate the any regulations passed under the USA PATRIOT Act or will violate the Trading with the Enemy Act, the International Emergency Economic Powers Act, or any regulations passed thereunder, including the foreign assets control regulations of the United States Treasury Department (31 C.F.R., Subtitle B, Chapter V) or any enabling legislation or executive order relating thereto or successor statute thereto (together with Sanctions,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Each Loan Party and each of its Subsidiaries are in compliance with applicable Anti-Terrorism Laws.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Material Owned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5.19</w:t>
      </w:r>
      <w:r>
        <w:rPr>
          <w:rFonts w:ascii="Times New Roman" w:cs="Times New Roman" w:eastAsia="Times New Roman" w:hAnsi="Times New Roman"/>
          <w:sz w:val="18"/>
          <w:szCs w:val="18"/>
          <w:color w:val="auto"/>
        </w:rPr>
        <w:t xml:space="preserve"> lists completely and correctly as of the Agreement Date all Material Owned Real Property and the addresses thereof. One or more of the Loan Parties own in fee all the real property set forth on </w:t>
      </w:r>
      <w:r>
        <w:rPr>
          <w:rFonts w:ascii="Times New Roman" w:cs="Times New Roman" w:eastAsia="Times New Roman" w:hAnsi="Times New Roman"/>
          <w:sz w:val="18"/>
          <w:szCs w:val="18"/>
          <w:u w:val="single" w:color="auto"/>
          <w:color w:val="auto"/>
        </w:rPr>
        <w:t>Schedule 5.19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5.20</w:t>
      </w:r>
      <w:r>
        <w:rPr>
          <w:sz w:val="20"/>
          <w:szCs w:val="20"/>
          <w:color w:val="auto"/>
        </w:rPr>
        <w:tab/>
      </w:r>
      <w:r>
        <w:rPr>
          <w:rFonts w:ascii="Times New Roman" w:cs="Times New Roman" w:eastAsia="Times New Roman" w:hAnsi="Times New Roman"/>
          <w:sz w:val="17"/>
          <w:szCs w:val="17"/>
          <w:u w:val="single" w:color="auto"/>
          <w:color w:val="auto"/>
        </w:rPr>
        <w:t>Accuracy of Information, Etc</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7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has disclosed to the Credit Parties all agreements, instruments and corporate or other restrictions to which it or any of its Subsidiaries is subject, and all other matters known to it, that, individually or in the aggregate, would reasonably be expected to result in a Material Adverse Effect. Neither the Information Memorandum nor any of the other reports, financial statements, certificates or other information furnished (whether in writing or orally) by or on behalf of any Loan Party to any Credit Party in connection with the transactions contemplated hereby and the negotiation of this Credit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Loan Parties represent only that such information was prepared in good faith based upon assumptions believed to be reasonable at the time.</w:t>
      </w:r>
    </w:p>
    <w:p>
      <w:pPr>
        <w:spacing w:after="0" w:line="19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information included in the Beneficial Ownership Certification is true and correct in all respects.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There are no strikes, lockouts or slowdowns against any Loan Party or any of its Subsidiaries pending or, to the knowledge of any Loan Party, threatened. The hours worked by and payments made to employees of the Loan Parties and their Subsidiaries have not been in violation in any material respect of the Fair Labor Standards Act or any other applicable Federal, state, local or foreign law dealing with such matters. All material payments due from the Loan Parties or any of their Subsidiaries, or for which any claim may be made against any of the Loan Parties or any of their Subsidiaries, on account of wages and employee health and welfare insurance and other benefits, have been paid or accrued as a liability on the books of such Loan Party or such Subsidiary. The consummation of the Transactions will not give rise to any right of termination or right of renegotiation on the part of any union under any collective bargaining agreement to which any of the Loan Parties or any of their Subsidiaries is bound.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Absence of Certain Restrictions</w:t>
      </w:r>
      <w:r>
        <w:rPr>
          <w:rFonts w:ascii="Times New Roman" w:cs="Times New Roman" w:eastAsia="Times New Roman" w:hAnsi="Times New Roman"/>
          <w:sz w:val="18"/>
          <w:szCs w:val="18"/>
          <w:color w:val="auto"/>
        </w:rPr>
        <w:t>. No indenture, certificate of designation for preferred stock, agreement or instrument to which any Loan Party or any of its Subsidiaries is a party (other than this Credit Agreement), prohibits or limits in any way, directly or indirectly the ability of any Subsidiary to make Restricted Payments or loans to, to make any advance on behalf of, or to repay any Indebtedness to, any Loan Party or to another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0" w:name="page131"/>
    <w:bookmarkEnd w:id="1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5.23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Loan Party nor any of its Subsidiaries is in default in the performance, observance or fulfillment of any of the obligations, covenants or conditions contained in any agreement, instrument or other undertaking to which such Person is a party or by which it or any of its property is bound in any respect that would reasonably be expected to have a Material Adverse Effect. No Default has occurred and is continuing.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5.24 </w:t>
      </w:r>
      <w:r>
        <w:rPr>
          <w:rFonts w:ascii="Times New Roman" w:cs="Times New Roman" w:eastAsia="Times New Roman" w:hAnsi="Times New Roman"/>
          <w:sz w:val="18"/>
          <w:szCs w:val="18"/>
          <w:u w:val="single" w:color="auto"/>
          <w:color w:val="auto"/>
        </w:rPr>
        <w:t>Common Enterprise</w:t>
      </w:r>
      <w:r>
        <w:rPr>
          <w:rFonts w:ascii="Times New Roman" w:cs="Times New Roman" w:eastAsia="Times New Roman" w:hAnsi="Times New Roman"/>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Borrower hereunder, both in their separate capacities and as members of the group of companies. Each Loan Party has determined that execution, delivery, and performance of this Credit Agreement and any other Loan Documents to be executed by such Loan Party is within its purpose, will be of direct and indirect benefit to such Loan Party, and is in its best interest.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None of the Loan Parties or their Subsidiaries has any obligation to any Person in respect of any finder’s, broker’s, investment banking or other similar fee in connection with any of the transactions contemplated under the Loan Documents other than the closing and other fees payable pursuant to this Credit Agreement and as set forth in the Fee Letter.</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5.26</w:t>
      </w:r>
      <w:r>
        <w:rPr>
          <w:sz w:val="20"/>
          <w:szCs w:val="20"/>
          <w:color w:val="auto"/>
        </w:rPr>
        <w:tab/>
      </w:r>
      <w:r>
        <w:rPr>
          <w:rFonts w:ascii="Times New Roman" w:cs="Times New Roman" w:eastAsia="Times New Roman" w:hAnsi="Times New Roman"/>
          <w:sz w:val="17"/>
          <w:szCs w:val="17"/>
          <w:u w:val="single" w:color="auto"/>
          <w:color w:val="auto"/>
        </w:rPr>
        <w:t>Affected Financial Institutions</w:t>
      </w:r>
      <w:r>
        <w:rPr>
          <w:rFonts w:ascii="Times New Roman" w:cs="Times New Roman" w:eastAsia="Times New Roman" w:hAnsi="Times New Roman"/>
          <w:sz w:val="17"/>
          <w:szCs w:val="17"/>
          <w:color w:val="auto"/>
        </w:rPr>
        <w:t>. No Loan Party is an Affected Financial Institution.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Termination Date, the Borrower covenants and agrees with the Credit Parties that: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or caused to be furnished to the Administrative Agent and each Lender either in hard copy or by electronic communication (including by email, internet and intranet websites) pursuant to procedures approved by the Administrative Agent:</w:t>
      </w:r>
    </w:p>
    <w:p>
      <w:pPr>
        <w:spacing w:after="0" w:line="176" w:lineRule="exact"/>
        <w:rPr>
          <w:sz w:val="20"/>
          <w:szCs w:val="20"/>
          <w:color w:val="auto"/>
        </w:rPr>
      </w:pPr>
    </w:p>
    <w:p>
      <w:pPr>
        <w:jc w:val="both"/>
        <w:ind w:firstLine="1304"/>
        <w:spacing w:after="0" w:line="252" w:lineRule="auto"/>
        <w:tabs>
          <w:tab w:leader="none" w:pos="184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end of each Fiscal Year, (i) the Borrower’s Form 10-K containing the audited consolidated balance sheet of the Borrower and its Subsidiaries together with the related statements of income, comprehensive income, stockholders’ equity and cash flows as of the end of and for such year, setting forth in each case in comparative form the figures for the previous Fiscal Year, all reported on by Grant Thornton LLP or another registered independent public accounting firm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Subsidiaries on a consolidated basis in accordance with GAAP consistently applied and (ii) the unaudited consolidating balance sheets of the Borrower and its Subsidiaries and the related statements of income, comprehensive income, stockholders’ equity and cash flows as of the end of and for such year, setting forth in each case in comparative form the figures for the previous Fiscal Year and certified by one of its Financial Officers as presenting fairly in all material respects the financial condition and results of operations of the Borrower and its Subsidiaries on a consolidating basis in accordance with GAAP consistently applied, subject to normal year-end audit adjustments and the absence of footnotes, together with a schedule of other financial information consisting of consolidating or combining details in columnar form with its Subsidiaries separately identified, in accordance with GAAP consistently applied; provided, that delivery by the Borrower to the Administrative Agent of the Borrower’s annual report on Form 10-K to the SEC with respect to any fiscal year, or the Borrower’s notice to the Administrative Agent (email being sufficient) of the availability of such report on the SEC’s EDGAR website or the Borrower’s website (to the extent such report complies with the requirements of this clause (a)), within the period specified above shall be deemed to be compliance by the Borrower with this Section 6.1(a);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jc w:val="both"/>
        <w:ind w:left="-1120" w:firstLine="1304"/>
        <w:spacing w:after="0" w:line="268" w:lineRule="auto"/>
        <w:tabs>
          <w:tab w:leader="none" w:pos="729"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45 days after the end of each of the first three fiscal quarters of each Fiscal Year, (i) the Borrower’s Form 10-Q containing the unaudited consolidated balance sheet of the Borrower and its Subsidiaries and the related unaudited statements of income,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Subsidiaries on a consolidated basis in accordance with GAAP consistently applied, subject to normal year-end audit adjustments and the absence of footnotes and (ii) the unaudited consolidating balance sheet of the Borrower and its Subsidiaries and the related unaudited statements of income,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certified by one of its Financial Officers as presenting fairly in all material respects the financial condition and results of operations of the Borrower and its Subsidiaries on a consolidating basis in accordance with GAAP consistently applied, subject to normal year-end audit adjustments and the absence of footnotes, together with a schedule of other financial information consisting of consolidating or combining details in columnar form with its Subsidiaries separately identified, in accordance with GAAP consistently applied; provided, that delivery by the Borrower to the Administrative Agent of the Borrower’s quarterly report on Form 10-Q to the SEC with respect to any fiscal quarter, or the Borrower’s notice to the Administrative Agent (email being sufficient) of the availability of such report on the SEC’s EDGAR website or the Borrower’s website (to the extent such report complies with the requirements of this clause (b)), within the period specified above shall be deemed to be compliance by the Borrower with this Section 6.1(b);</w:t>
      </w:r>
    </w:p>
    <w:p>
      <w:pPr>
        <w:spacing w:after="0" w:line="179" w:lineRule="exact"/>
        <w:rPr>
          <w:rFonts w:ascii="Times New Roman" w:cs="Times New Roman" w:eastAsia="Times New Roman" w:hAnsi="Times New Roman"/>
          <w:sz w:val="17"/>
          <w:szCs w:val="17"/>
          <w:color w:val="auto"/>
        </w:rPr>
      </w:pPr>
    </w:p>
    <w:p>
      <w:pPr>
        <w:jc w:val="both"/>
        <w:ind w:left="-1120" w:firstLine="1304"/>
        <w:spacing w:after="0" w:line="253" w:lineRule="auto"/>
        <w:tabs>
          <w:tab w:leader="none" w:pos="87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any delivery of financial statements under clause (a) or (b) above, a Compliance Certificate signed by a Financial Officer of the Borrower (i) stating whether any change in GAAP or in the application thereof has occurred since the date of the Audited Financial Statements and, if any such change has occurred, specifying the effect of such change on the financial statements accompanying such Compliance Certificate, (ii) containing either a certification that no Default exists or, specifying the nature of each such Default, the nature and status thereof and any action taken or proposed to be taken with respect thereto, (iii) certifying that there have been no changes to the jurisdiction of organization or legal name of any Loan Party since the date of the last Compliance Certificate delivered pursuant to the Credit Agreement, (iv) attaching reasonably detailed calculations demonstrating compliance with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and (v) certifying that the Borrower has no Subsidiaries other than (A) those that existed on the Closing Date and were reflected in the Perfection Certificate on such date, (B) those formed or acquired after the Closing Date with respect to which the Administrative Agent was previously notified either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Credit Agreement, in an additional Perfection Certificate or in a previous Compliance Certificate, and (C) those other Subsidiaries set forth on the relevant Schedule to such Compliance Certificate, which Schedule sets forth for each such Subsidiary whether such Subsidiary is (w) a Domestic Subsidiary, (x) a Subsidiary Guarantor (including the basis for it not being a Subsidiary Guarantor, if applicable), (y) a first tier Foreign Subsidiary or (z) an Excluded Subsidiary (including the basis for its constituting an Excluded Subsidiary)</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354965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32" w:name="page133"/>
    <w:bookmarkEnd w:id="132"/>
    <w:p>
      <w:pPr>
        <w:jc w:val="both"/>
        <w:ind w:firstLine="1304"/>
        <w:spacing w:after="0" w:line="266" w:lineRule="auto"/>
        <w:tabs>
          <w:tab w:leader="none" w:pos="184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the beginning of each Fiscal Year, an annual consolidated and consolidating forecast for the Borrower and its Subsidiaries for such Fiscal Year and the following two Fiscal Years, including projected consolidated and consolidating statements of income and comprehensive income of the Borrower and its Subsidiaries, all in reasonable detail acceptable to the Administrative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[reserved];</w:t>
      </w:r>
      <w:r>
        <w:rPr>
          <w:rFonts w:ascii="Times New Roman" w:cs="Times New Roman" w:eastAsia="Times New Roman" w:hAnsi="Times New Roman"/>
          <w:sz w:val="18"/>
          <w:szCs w:val="18"/>
          <w:u w:val="single" w:color="auto"/>
          <w:color w:val="0000FF"/>
          <w:strike w:val="1"/>
        </w:rPr>
        <w:t>during the 2024 Covenant Relief Period, (i) as soon as available, and in any event no later than every fourteen (14)</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days, a 13-week cash flow forecast setting forth all projected cash inflows and outflows of the Loan Parties on a line-item basis in form and substance consistent with the presentation format previously provided to the Administrative Agent and (ii) within thirty (30) days after the end of each calendar month, the unaudited consolidated balance sheet of the Borrower and its Subsidiaries and the related unaudited statements of income and cash flows as of the end of and for such calendar month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Subsidiaries on a consolidated basis in accordance with GAAP consistently applied, subject to normal year-end audit adjustments and the absence of footnotes;</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20" w:val="left"/>
        </w:tabs>
        <w:numPr>
          <w:ilvl w:val="0"/>
          <w:numId w:val="13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on the Fourth Amendment Effective Date, and then together with the quarterly reporting package pursuant to Section 6.1(b) herein for each period after the Fourth Amendment Effective Date and during the 2024 Covenant Relief Period (i) accounts receivable aging reports and account payable aging reports, (ii) a certification from a Responsible Officer of the Borrower as to the amount of cash and Cash Equivalents of the Borrower at such time, detailed by region and currency of such cash and Cash Equivalents, (iii) a certification from a Responsible Officer of the Borrower as to the accounts receivable of the Borrower at such time, detailed by region of such accounts receivable and (iv) a certification from a Responsible Officer as to the inventory of the Borrower at such time, detailed by region of such inventory; and</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g</w:t>
      </w:r>
      <w:r>
        <w:rPr>
          <w:rFonts w:ascii="Times New Roman" w:cs="Times New Roman" w:eastAsia="Times New Roman" w:hAnsi="Times New Roman"/>
          <w:sz w:val="18"/>
          <w:szCs w:val="18"/>
          <w:u w:val="single" w:color="auto"/>
          <w:color w:val="0000FF"/>
        </w:rPr>
        <w:t>h</w:t>
      </w:r>
      <w:r>
        <w:rPr>
          <w:rFonts w:ascii="Times New Roman" w:cs="Times New Roman" w:eastAsia="Times New Roman" w:hAnsi="Times New Roman"/>
          <w:sz w:val="18"/>
          <w:szCs w:val="18"/>
          <w:color w:val="auto"/>
        </w:rPr>
        <w:t>) promptly following any request therefor, (i) such other information and documentation reasonably requested by the Administrative Agent or any Lender for purposes of compliance with applicable “know your customer” requirements under the USA Patriot Act, the Beneficial Ownership Regulation or other applicable Anti-Corruption and Anti-Terrorism Laws (including those passed pursuant to the USA PATRIOT Act), and (ii) such other information regarding the operations, business affairs and financial condition of the Borrower or any Subsidiary, or compliance with the terms of the Loan Documents, as any Credit Party may reasonably request.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or caused to be furnished to the Administrative Agent and each Lender prompt written notice of the following:</w:t>
      </w:r>
    </w:p>
    <w:p>
      <w:pPr>
        <w:spacing w:after="0" w:line="162" w:lineRule="exact"/>
        <w:rPr>
          <w:sz w:val="20"/>
          <w:szCs w:val="20"/>
          <w:color w:val="auto"/>
        </w:rPr>
      </w:pPr>
    </w:p>
    <w:p>
      <w:pPr>
        <w:ind w:left="1820" w:hanging="516"/>
        <w:spacing w:after="0"/>
        <w:tabs>
          <w:tab w:leader="none" w:pos="18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specifying the nature and extent thereof;</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or any threat or notice of intention of any Person to file or commence, any action, suit or proceeding, whether at law or in equity or by or before any Governmental Authority, against, or affecting, any Loan Party or any of its Subsidiaries that would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jc w:val="both"/>
        <w:ind w:firstLine="1304"/>
        <w:spacing w:after="0" w:line="258" w:lineRule="auto"/>
        <w:tabs>
          <w:tab w:leader="none" w:pos="186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Administrative Agent from time to time, copies of any annual report required to be filed in connection with each Pension Plan or Foreign Plan, and as soon as possible after, and in any event within 10 days after any Loan Party or any ERISA Affiliate knows or has reason to know that, any ERISA Event (or any similar event with respect to a Foreign Plan) has occurred that, alone or together with any other ERISA Event (or any similar event with respect to a Foreign Plan) would reasonably be expected to result in liability of any Loan Party or any ERISA Affiliate in an aggregate amount exceeding the Threshold Amount;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no event later than five Business Days after the receipt by any Loan Party or any of its Subsidiaries, of a copy of any notice, summons, citation or other written communication concerning any actual, alleged, suspected or threatened violation of any Environmental Law by, Environmental Claim against or Environmental Liability of, any Loan Party or any of its Subsidiaries, in each case, which would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5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other materials filed by any Loan Party or any of its Subsidiaries with the Securities and Exchange Commission, or any Governmental Authority succeeding to any or all of the functions of said Commission, or with any national securities exchange, or distributed by any Loan Party to its shareholders generally, as the case may be;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9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furnishing thereof, copies of any statement or report furnished to any holder of debt securities of any Loan Party or of any of its Subsidiaries pursuant to the terms of any indenture, loan or credit or similar agreement and not otherwise required to be furnished to the Lenders pursuant to any other clause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1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Loan Party or any of its Subsidiaries (i) being required to file reports under Section 15(d) of the Securities Exchange Act of 1934, or (ii) registering securities under Section 12 of the Securities Exchange Act of 1934;</w:t>
      </w:r>
    </w:p>
    <w:p>
      <w:pPr>
        <w:spacing w:after="0" w:line="16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Person becomes, or ceases to be, a Subsidiary or a Guarantor, an updated list of Subsidiaries or Guarantors,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case may be;</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5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Business Days following the consummation of any acquisition for which the value of the total consideration paid by the Borrower or any Subsidiary (whether in cash or otherwise) is greater than or equal to $1,000,000, (1) a notice of such acquisition, which notice shall set forth evidence of pro forma compliance with all the financial covenants under the Loan Documents, and (2) true and complete copies of each acquisition document together with all schedules thereto, each executed by all of the parties thereto;</w:t>
      </w:r>
    </w:p>
    <w:p>
      <w:pPr>
        <w:spacing w:after="0" w:line="17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development that has resulted in, or would reasonably be expected to result in, a Material Adverse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88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information provided in the most recently delivered Beneficial Ownership Certification that would result in a change to the list of beneficial owners identified therein.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statement of a Financial Officer of the Borrower or other executive officer of the Borrower setting forth the details of the event or development requiring such notice and any action taken or proposed to be taken with respect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The Borrower will, and will cause each of its Subsidiaries to, do or 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any sale, lease, transfer or other disposition permitted by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Payment and Performance of Obligations</w:t>
      </w:r>
      <w:r>
        <w:rPr>
          <w:rFonts w:ascii="Times New Roman" w:cs="Times New Roman" w:eastAsia="Times New Roman" w:hAnsi="Times New Roman"/>
          <w:sz w:val="18"/>
          <w:szCs w:val="18"/>
          <w:color w:val="auto"/>
        </w:rPr>
        <w:t xml:space="preserve">. The Borrower will, and will cause each of its Subsidiaries to, pay or perform its obligations, including Tax liabilities, that, if not paid or performed, would reasonably be expected to result in a Material Adverse Effect before the same shall become delinquent or in default, except where (a) the validity or amount thereof is being Contested in Good Faith and (b) the failure to make payment pending such contest would not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shall be deemed to require any Loan Party to pay any subordinated Indebtedness in violation of the subordination provisions applicable thereto.</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The Borrower will, and will cause each of its Subsidiaries to, keep and maintain all property material to the conduct of its business in good working order and condition, ordinary wear and tear excepted.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xml:space="preserve">. The Borrower will, and will cause each of its Subsidiaries to, (a) keep adequate books of record and account in which full, true and correct entries are made of all transactions in relation to its business and activities and (b) permit any representatives designated by any Credit Party, upon reasonable prior notice, to visit and inspect its properties, to examine and make extracts from its books and records, and to discuss its affairs, finances and condition with its officers and independent accounting firm, all at the expense of the Borrower and at such reasonable times and as often as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during the existence of an Event of Default, the Administrative Agent or any Lender (or any of their respective representatives or independent contractors) may do any of the foregoing at the expense of the Borrower at any time during normal business hours and without advance notice.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Borrower will, and will cause each of its Subsidiaries to, comply with all laws, rules, regulations and orders of any Governmental Authority applicable to it or its property and maintain all permits and licenses necessary to conduct its business, except where the failure to do so, individually or in the aggregate, would not reasonably be expected to result in a Material Adverse Effect. In addition, and without limiting the foregoing sentence, each Loan Party will, and will cause each of its Subsidiaries to, comply with all applicable Environmental Laws in all material respects, and with Anti-Corruption Laws, applicable Sanctions and the USA PATRIOT Act and the regulations promulgated thereunder in all respects.</w:t>
      </w:r>
    </w:p>
    <w:p>
      <w:pPr>
        <w:spacing w:after="0" w:line="18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6.8</w:t>
      </w:r>
      <w:r>
        <w:rPr>
          <w:sz w:val="20"/>
          <w:szCs w:val="20"/>
          <w:color w:val="auto"/>
        </w:rPr>
        <w:tab/>
      </w: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81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Loans and the Letters of Credit will be used only as follows: (i) on the Closing Date, the proceeds of the Term Loans and the Revolving Loans will be used to consummate the Existing Credit Agreement Refinancing and to pay Transaction Expenses, and (ii) thereafter the proceeds of the Loans and the Letters of Credit will be used (A) to reimburse the L/C Issuer in respect of amounts drawn under Letters of Credit and to reimburse the Swingline Lender in respect of Swingline Loans, (B) to finance Permitted Acquisitions and (C) for general corporate and working capital purposes not inconsistent with the terms hereof or in contravention of any Law or any Loan Document.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4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proceeds of any Loan or any Letter of Credit will be used, whether directly or indirectly, and whether immediately, incidentally or ultimately, (a) to purchase, acquire or carry any Margin Stock or (b) for any purpose that entails a violation of any of the regulations of the Board, including Regulations T, U and X. The Borrower will not request any Credit Extension, and the Borrower shall not use, and shall ensure that each Loan Party, their respective Subsidiaries and their respective directors, officers, employees and agents shall not use, the proceeds of any Credit Extension</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3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an offer, payment, promise to pay, or authorization of the payment or giving of money, or anything else of value, to any Person in violation of any Anti-Corruption Laws or (ii) in any manner that would result in the violation of any applicable Sanctions or any Anti-Terrorism Laws by any Person, including any Credit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Information Concerning Collateral</w:t>
      </w:r>
      <w:r>
        <w:rPr>
          <w:rFonts w:ascii="Times New Roman" w:cs="Times New Roman" w:eastAsia="Times New Roman" w:hAnsi="Times New Roman"/>
          <w:sz w:val="18"/>
          <w:szCs w:val="18"/>
          <w:color w:val="auto"/>
        </w:rPr>
        <w:t>. The Borrower will furnish to the Administrative Agent at least 10 days prior written notice of any change in (a) the legal name or jurisdiction of incorporation or formation of any Loan Party, (b) the location of the chief executive office of any Loan Party, its principal place of business, any office in which it maintains books or records relating to Collateral owned or held by it or on its behalf or, except as provided in the applicable Collateral Documents, any office or facility at which Collateral owned or held by it or on its behalf with an aggregate book value in excess of $2,000,000 is located (including the establishment of any such new office or facility), (c) the identity or organizational structure of any Loan Party such that a filed financing statement becomes misleading or (d) the Federal Taxpayer Identification Number or company organizational number of any Loan Party. The Borrower agrees not to effect or permit any change referred to in the preceding sentence unless all filings have been made under the UCC or otherwise that are required in order for the Administrative Agent to continue at all times following such change to have a valid, legal and perfected security interest in all the Collateral. The Borrower also agrees promptly to notify the Administrative Agent if any material portion of the Collateral is damaged or destroyed.</w:t>
      </w:r>
    </w:p>
    <w:p>
      <w:pPr>
        <w:spacing w:after="0" w:line="19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81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of its Subsidiaries to, maintain, with financially sound and reputable insurance companies, adequate insurance for its insurable properties, all to such extent and against such risks, including fire, casualty, business interruption and other risks insured against by extended coverage, as is customary with companies in the same or similar businesses operating in the same or similar locations and of same or similar size, including public liability insurance against claims for personal injury or death or property damage occurring upon, in, about or in connection with the use of any properties owned, occupied or controlled by it (including the insurance required pursuant to the Collateral Documents); and maintain such other insurance as may be required by law.</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portion of any Mortgaged Property that is located in a Flood Zone within a community participating in the Flood Program, the Borrower will, and will cause any applicable Loan Party to, maintain through the Flood Program or through private insurance policies, with financially sound and reputable insurance companies (except to the extent that any insurance company insuring the Mortgaged Property of the Borrower and each other Loan Party ceases to be financially sound and reputable after the Closing Date, in which case, the Borrower shall promptly replace such insurance company with a financially sound and reputable insurance company), (A) such flood insurance coverage under policies issued pursuant to and in compliance with the Flood Insurance Laws (“</w:t>
      </w:r>
      <w:r>
        <w:rPr>
          <w:rFonts w:ascii="Times New Roman" w:cs="Times New Roman" w:eastAsia="Times New Roman" w:hAnsi="Times New Roman"/>
          <w:sz w:val="18"/>
          <w:szCs w:val="18"/>
          <w:u w:val="single" w:color="auto"/>
          <w:color w:val="auto"/>
        </w:rPr>
        <w:t>Flood Insurance Policies</w:t>
      </w:r>
      <w:r>
        <w:rPr>
          <w:rFonts w:ascii="Times New Roman" w:cs="Times New Roman" w:eastAsia="Times New Roman" w:hAnsi="Times New Roman"/>
          <w:sz w:val="18"/>
          <w:szCs w:val="18"/>
          <w:color w:val="auto"/>
        </w:rPr>
        <w:t>”) in an amount equal to the maximum limit of coverage available for such Mortgaged Property under Flood Insurance Laws, subject only to deductibles consistent in scope and amount with those permitted under the Flood Program and (B) such additional coverage as required by Administrative Agent, if any, under supplemental private insurance policies in an amount so required by the Administrative Agent.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of its Subsidiaries to, (i) cause all such policies of such Loan Party and its Subsidiaries to be endorsed or otherwise amended to include an additional insured endorsement or a “standard” or “New York” lender’s loss payable endorsement, as appropriate, each in form and substance reasonably satisfactory to the Administrative Agent, and which lender’s loss payable endorsement or amendment shall provide that, from and after the Closing Date, if the insurance carrier shall have received written notice from the Administrative Agent of the occurrence of an Event of Default, the insurance carrier shall pay all proceeds otherwise payable to such Loan Party under such policies directly to the Administrative Agent, (ii) cause all such policies to provide that neither such Loan Party, any Subsidiary or the Administrative Agent nor any other party shall be a co-insurer thereunder and to contain a “Replacement Cost Endorsement”, without any deduction for depreciation, and such other provisions as the Administrative Agent may reasonably require from time to time to protect its interests, (iii) deliver original or certified copies of all such policies to the Administrative Agent, (iv) cause each such policy to provide that it shall not be canceled, modified or not renewed for any other reason upon not less than 30 days’ (or in the case of Flood Insurance Policies issued by private insurance companies, 45 days’) prior written notice thereof by the insurer to the Administrative Agent, (v) deliver to the Administrative Agent, prior to the cancellation, modification or non-renewal of any such policy of insurance, a copy of a renewal or replacement policy (or other evidence of renewal of a policy previously delivered to the Administrative Agent) together with evidence satisfactory to the Administrative Agent of payment of the premium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6" w:name="page137"/>
    <w:bookmarkEnd w:id="136"/>
    <w:p>
      <w:pPr>
        <w:jc w:val="both"/>
        <w:ind w:left="-660" w:firstLine="1304"/>
        <w:spacing w:after="0" w:line="266" w:lineRule="auto"/>
        <w:tabs>
          <w:tab w:leader="none" w:pos="125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promptly upon request of the Administrative Agent or any other Lender, deliver to the Administrative Agent (for distribution to all Lenders), evidence of compliance by all Loan Parties with the requirements contained </w:t>
      </w:r>
      <w:r>
        <w:rPr>
          <w:rFonts w:ascii="Times New Roman" w:cs="Times New Roman" w:eastAsia="Times New Roman" w:hAnsi="Times New Roman"/>
          <w:sz w:val="18"/>
          <w:szCs w:val="18"/>
          <w:u w:val="single" w:color="auto"/>
          <w:color w:val="auto"/>
        </w:rPr>
        <w:t>Sections 6.10(a)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in form and substance reasonably acceptable to the Administrative Agent and the Lenders, including, without limitation, evidence of annual renewals of such insurance.</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15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and will cause each of its Subsidiaries to, notify the Administrative Agent immediately whenever any separate insurance concurrent in form or contributing in the event of loss with that required to be maintained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is taken out by any Loan Party; and promptly deliver to the Administrative Agent a duplicate original copy of such policy or policies.</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55" w:lineRule="auto"/>
        <w:tabs>
          <w:tab w:leader="none" w:pos="126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covenants set forth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it is understood and agreed that no Credit Party or any of its Related Parties shall be liable for any loss or damage insured by the insurance policies required to be maintained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it being understood that (A) each Loan Party shall look solely to its insurance companies or any other parties other than the aforesaid parties for the recovery of such loss or damage and (B) such insurance companies shall have no rights of subrogation against any Credit Party or any of their Related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insurance policies do not provide waiver of subrogation rights against such parties, as required above, then the Borrower (for itself and each of its Subsidiaries) hereby agrees, to the extent permitted by law, to waive its right of recovery, if any, against the Credit Parties and their Related Parties.</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7"/>
          <w:szCs w:val="17"/>
          <w:u w:val="single" w:color="auto"/>
          <w:color w:val="auto"/>
        </w:rPr>
        <w:t>Casualty Events; Extraordinary Receipts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61" w:lineRule="auto"/>
        <w:tabs>
          <w:tab w:leader="none" w:pos="129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of its Subsidiaries to, furnish to the Credit Parties prompt written notice of (i) each Casualty Event or other insured damage to any portion of any property owned or held by or on behalf of itself or any of its Subsidiaries or the commencement of any action or proceeding for the condemnation or other taking of any such property or any part thereof or interest therein under power of eminent domain or by condemnation or similar proceeding, and (ii) each Extraordinary Receipt.</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54" w:lineRule="auto"/>
        <w:tabs>
          <w:tab w:leader="none" w:pos="138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Casualty Event results in Net Cash Proceeds (whether in the form of insurance proceeds, condemnation award or otherwise), the Administrative Agent is authorized to collect such Net Cash Proceeds in excess of $3,000,000 and, if received by any Loan Party or any of its Subsidiaries, such Net Cash Proceeds shall not be commingled with any of its other funds or property but shall be held separate and apart therefrom, shall be held in trust for the benefit of the Administrative Agent hereunder and shall be forthwith paid over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to the extent that any Loan Party or any of its Subsidiaries intends to use any such Net Cash Proceeds to repair, restore, reinvest or replace assets of the Borrower or any of its Subsidiaries as provided in the definition of Net Cash Proceeds, the Administrative Agent shall, subject to the terms and conditions of such proviso, deliver such Net Cash Proceeds to the Borrower on behalf of the applicable Loan Party, (ii) otherwise, the Administrative Agent shall, and each Loan Party hereby authorizes the Administrative Agent to, apply such Net Cash Proceeds to prepay the Loans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(iii) all proceeds of business interruption insurance shall be paid over to the Borrower unless a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354330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37" w:name="page138"/>
    <w:bookmarkEnd w:id="137"/>
    <w:p>
      <w:pPr>
        <w:ind w:firstLine="1304"/>
        <w:spacing w:after="0" w:line="282" w:lineRule="auto"/>
        <w:tabs>
          <w:tab w:leader="none" w:pos="187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received by or paid to the Administrative Agent that do not constitute Net Cash Proceeds shall be paid over to the Borrower on behalf of the applicable Loan Party unless a Default has occurred and is continuing.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Covenant to Guarantee and Provide Security</w:t>
      </w:r>
      <w:r>
        <w:rPr>
          <w:rFonts w:ascii="Times New Roman" w:cs="Times New Roman" w:eastAsia="Times New Roman" w:hAnsi="Times New Roman"/>
          <w:sz w:val="18"/>
          <w:szCs w:val="18"/>
          <w:color w:val="auto"/>
        </w:rPr>
        <w:t>. If any Domestic Subsidiary of a Loan Party (other than an Excluded Subsidiary or a Subsidiary that is a party to this Credit Agreement and the Collateral Documents) is formed or acquired after the Agreement Date or if an Excluded Subsidiary ceases to be an Excluded Subsidiary, the Borrower will notify the Credit Parties in writing thereof within 10 Business Days following the date on which such Subsidiary is formed or acquired or such Excluded Subsidiary ceases to be an Excluded Subsidiary (or such later date as may be acceptable to the Administrative Agent in its sole discretion) and, by such date:</w:t>
      </w:r>
    </w:p>
    <w:p>
      <w:pPr>
        <w:spacing w:after="0" w:line="183" w:lineRule="exact"/>
        <w:rPr>
          <w:sz w:val="20"/>
          <w:szCs w:val="20"/>
          <w:color w:val="auto"/>
        </w:rPr>
      </w:pPr>
    </w:p>
    <w:p>
      <w:pPr>
        <w:jc w:val="both"/>
        <w:ind w:firstLine="1304"/>
        <w:spacing w:after="0" w:line="256" w:lineRule="auto"/>
        <w:tabs>
          <w:tab w:leader="none" w:pos="198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cause each such Subsidiary to (A) execute and deliver a Subsidiary Joinder Agreement and a Perfection Certificate and (B) promptly take such actions to create and perfect Liens on such Subsidiary’s assets to secure the Secured Obligations as the Administrative Agent shall reasonably request (including the execution and delivery of any collateral document necessary or appropriate to create and perfect Liens with respect to such Subsidiary’s owned or leased real property or any Collateral Access Agreement or similar document) (it being understood that not more than 100% of the non-voting Equity Interests (if any) and 65% of the voting Equity Interests in each First Tier Foreign Subsidiary that is a Controlled Foreign Corporation shall be pledged),</w:t>
      </w:r>
    </w:p>
    <w:p>
      <w:pPr>
        <w:spacing w:after="0" w:line="187"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1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Equity Interests issued by any such Subsidiary are owned or held by or on behalf of any Loan Party, the Borrower will cause such Equity Interests to be pledged pursuant to the Collateral Documents not later than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the date on which such Subsidiary is formed or acquired,</w:t>
      </w:r>
    </w:p>
    <w:p>
      <w:pPr>
        <w:spacing w:after="0" w:line="200" w:lineRule="exact"/>
        <w:rPr>
          <w:rFonts w:ascii="Times New Roman" w:cs="Times New Roman" w:eastAsia="Times New Roman" w:hAnsi="Times New Roman"/>
          <w:sz w:val="18"/>
          <w:szCs w:val="18"/>
          <w:color w:val="auto"/>
        </w:rPr>
      </w:pPr>
    </w:p>
    <w:p>
      <w:pPr>
        <w:ind w:firstLine="1304"/>
        <w:spacing w:after="0" w:line="199" w:lineRule="auto"/>
        <w:tabs>
          <w:tab w:leader="none" w:pos="186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cause each such Subsidiary to become a party to the Master Intercompany Note not later than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the date on which such Subsidiary is formed or acquired, and</w:t>
      </w:r>
    </w:p>
    <w:p>
      <w:pPr>
        <w:spacing w:after="0" w:line="19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deliver or cause to be delivered to the Administrative Agent such certificates and legal opinions (provided, that the Administrative Agent may agree in writing, in its discretion, to waive delivery of such legal opinion) as would have been required had such Subsidiary been a Subsidiary Guarantor on the Closing Date.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xml:space="preserve">. The Borrower will, and will cause each of its Subsidiaries to, (a) conduct its operations in material compliance with all applicable Environmental Laws, (b) implement any and all investigation, remediation, removal and response actions that either are necessary to materially comply with Environmental Laws pertaining to the presence, generation, treatment, storage, use, disposal, transportation or Release of any Hazardous Material on, at, under, or from any of their owned or leased property or are requested by Government Authorities pursuant to Environmental Law, (c) notify the Administrative Agent promptly upon becoming aware of any violation of Environmental Laws or any Release of Hazardous Materials on, at, under, or from, any property that is reasonably likely to result in an Environmental Claim against any Loan Party or any of its Subsidiaries in excess of the Threshold Amount in the aggregate and promptly forward to the Administrative Agent a copy of any written communication received in connection therewith. If the Administrative Agent at any time has a reasonable basis to believe that there may be a violation of any Environmental Laws or a Release of Hazardous Materials on, at, under, or from any property owned or leased by any Loan Party or any of its Subsidiaries that would reasonably be expected to have a Material Adverse Effect, then, subject to </w:t>
      </w:r>
      <w:r>
        <w:rPr>
          <w:rFonts w:ascii="Times New Roman" w:cs="Times New Roman" w:eastAsia="Times New Roman" w:hAnsi="Times New Roman"/>
          <w:sz w:val="18"/>
          <w:szCs w:val="18"/>
          <w:u w:val="single" w:color="auto"/>
          <w:color w:val="auto"/>
        </w:rPr>
        <w:t>Section 9.3(d)</w:t>
      </w:r>
      <w:r>
        <w:rPr>
          <w:rFonts w:ascii="Times New Roman" w:cs="Times New Roman" w:eastAsia="Times New Roman" w:hAnsi="Times New Roman"/>
          <w:sz w:val="18"/>
          <w:szCs w:val="18"/>
          <w:color w:val="auto"/>
        </w:rPr>
        <w:t>, upon request by the Administrative Agent the Borrower shall cause such Loan Party to permit the Administrative Agent to appoint a nationally-recognized independent environmental testing firm or such other consultant as the Administrative Agent shall determine, at the Loan Parties’ expense, to have access to all property owned or leased by each Loan Party and each of its Subsidiaries for the purpose of conducting such environmental testing, including subsurface sampling of soil and groundwater, as the Administrative Agent deems appropriate to investigate the subject of the potential violation 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Certain Post-Closing Obligations</w:t>
      </w:r>
      <w:r>
        <w:rPr>
          <w:rFonts w:ascii="Times New Roman" w:cs="Times New Roman" w:eastAsia="Times New Roman" w:hAnsi="Times New Roman"/>
          <w:sz w:val="18"/>
          <w:szCs w:val="18"/>
          <w:color w:val="auto"/>
        </w:rPr>
        <w:t>. As promptly as practicable, and in any event within the time periods after the Closing Date specified in Schedule 6.14 or such later date as the Administrative Agent reasonably agrees to in writing, the Borrower and each other Loan Party shall deliver the documents or take the actions specified on Schedule 6.14, in each case except to the extent otherwise agreed by the Administrative Agent pursuant to its authority as set forth in the definition of the term “Collateral and Guarantee Requirement”.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Termination Date, the Borrower covenants and agrees with the Credit Parties that:</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u w:val="single" w:color="auto"/>
          <w:color w:val="auto"/>
        </w:rPr>
        <w:t>Indebtedness; Equity Interests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00" w:hanging="596"/>
        <w:spacing w:after="0"/>
        <w:tabs>
          <w:tab w:leader="none" w:pos="19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of its Subsidiaries to, create, incur, assume or permit to exist any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w:t>
      </w:r>
    </w:p>
    <w:p>
      <w:pPr>
        <w:spacing w:after="0" w:line="207" w:lineRule="exact"/>
        <w:rPr>
          <w:sz w:val="20"/>
          <w:szCs w:val="20"/>
          <w:color w:val="auto"/>
        </w:rPr>
      </w:pPr>
    </w:p>
    <w:p>
      <w:pPr>
        <w:ind w:left="2480" w:hanging="528"/>
        <w:spacing w:after="0"/>
        <w:tabs>
          <w:tab w:leader="none" w:pos="24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created under the Loan Documents;</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Agreement Date and set forth in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 and any Refinancing Indebtedness with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 thereto;</w:t>
      </w:r>
    </w:p>
    <w:p>
      <w:pPr>
        <w:spacing w:after="0" w:line="207" w:lineRule="exact"/>
        <w:rPr>
          <w:sz w:val="20"/>
          <w:szCs w:val="20"/>
          <w:color w:val="auto"/>
        </w:rPr>
      </w:pPr>
    </w:p>
    <w:p>
      <w:pPr>
        <w:jc w:val="both"/>
        <w:ind w:left="660" w:firstLine="1292"/>
        <w:spacing w:after="0" w:line="255" w:lineRule="auto"/>
        <w:tabs>
          <w:tab w:leader="none" w:pos="2483"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of its Subsidiaries incurred to finance the acquisition, construction or improvement of any fixed or capital assets, including Finance Lease Obligations and any Indebtedness assumed in connection with the acquisition of any such assets or secured by a Lien on any such assets prior to the acquisition thereof, and any Refinancing Indebtedness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Indebtedness is incurred prior to or within 90 days after such acquisition or the completion of such construction or improvement and</w:t>
      </w:r>
    </w:p>
    <w:p>
      <w:pPr>
        <w:spacing w:after="0" w:line="2" w:lineRule="exact"/>
        <w:rPr>
          <w:rFonts w:ascii="Times New Roman" w:cs="Times New Roman" w:eastAsia="Times New Roman" w:hAnsi="Times New Roman"/>
          <w:sz w:val="18"/>
          <w:szCs w:val="18"/>
          <w:color w:val="auto"/>
        </w:rPr>
      </w:pPr>
    </w:p>
    <w:p>
      <w:pPr>
        <w:ind w:left="660" w:hanging="4"/>
        <w:spacing w:after="0" w:line="260" w:lineRule="auto"/>
        <w:tabs>
          <w:tab w:leader="none" w:pos="95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amount of Indebtedness permitted by this clause (iii) shall not, without duplication, exceed $1,000,000 at any time;</w:t>
      </w:r>
    </w:p>
    <w:p>
      <w:pPr>
        <w:spacing w:after="0" w:line="18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7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Subsidiary of the Borrower after the Agreement Date, and any Refinancing Indebtedness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Indebtedness exists at the time such Person becomes a Subsidiary and is not created in contemplation of or in connection with such Person becoming a Subsidiary and (B) the aggregate outstanding principal amount of Indebtedness permitted by this clause (iv) shall not, without duplication, exceed $1,000,000 at any time;</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583"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Indebtedness of the Borrower or any Subsidiary owing to and held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if the Borrower or any Subsidiary Guarantor is the obligor on such Indebtedness and any Subsidiary (other than a Subsidiary Guarantor) is the obligee thereof, such Indebtedness must be unsecured and expressly subordinated to the prior payment in full in cash of all Secured Obligations (including, with respect to any Subsidiary Guarantor, its obligations under the Security Agreement), (B) Indebtedness owed to the Borrower or any Subsidiary Guarantor must be evidenced by the Master Intercompany Note or an unsubordinated promissory note pledged to the Administrative Agent under the Security Agreement and (C) Indebtedness of Subsidiaries (other than Subsidiary Guarantors) owed to the Borrower and/or a Subsidiary Guarantor may not exceed $1,000,000 in the aggregate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9" w:name="page140"/>
    <w:bookmarkEnd w:id="139"/>
    <w:p>
      <w:pPr>
        <w:jc w:val="both"/>
        <w:ind w:left="660" w:firstLine="1292"/>
        <w:spacing w:after="0" w:line="266" w:lineRule="auto"/>
        <w:tabs>
          <w:tab w:leader="none" w:pos="265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(A) any Loan Party of Indebtedness of any other Loan Party, (B) any Non-Loan Party Subsidiary of Indebtedness of any other Non-Loan Party Subsidiary, and (C) any Non-Loan Party Subsidiary of any Indebtedness of any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 Indebtedness is otherwise permitted by this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under any Swap Agreements permitted by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80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the honoring by a bank or other financial institution of a check, draft or other similar instrument drawn against insufficient funds in the ordinary course of business;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5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guarantees arising as a result of customary indemnification obligations to purchasers that are not Affiliates of a Loan Party in connection with any Disposition permitted by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5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the ordinary course of business under (A) appeal bonds or similar instruments and (B) surety bonds, payment bonds, performance bonds, bid bonds, completion guarantees and similar obligations, workers’ compensation claims, health, disability or other employee benefits, and bankers acceptances issued for the account of any Loan Party or its Subsidiaries and unsecured guarantees thereof;</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Obligations owing to sellers incurred in connection with a Permitted Acquisition so long as the maximum amount of potential liability in respect of such Earn-Out Obligations does not exceed $1,000,000 in the aggregate at any time outstanding and are subject to payment and subordination terms reasonably acceptable to the Administrative Agent in its discretion;</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0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payment obligations and contingent liabilities in respect of any indemnification obligations and adjustments of purchase price, in each case in connection with a Permitted Acquisition;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78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unsecured Indebtedness (in addition to Indebtedness described in clauses (i) through (xii) above) in an aggregate principal amount not to exceed $1,000,000 at any one time outstanding</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0000FF"/>
        </w:rPr>
        <w:t>provided, that, no Indebtedness pursuant to clauses (iii), (iv), (v) (solely with respect to Indebtedness owed by a Non-Loan Party Subsidiary to a Loan Party), (vi), (vii), (xi) and (xiii) of this Section 7.1 shall be incurred after the Fourth Amendment Effective Date until the end of the 2024 Covenant Relief Period other than (i) in the case of clause (v) intercompany Indebtedness in connection with the US Systems and Legal Entity Consolidation Project and (ii) in the case of clauses (v) and (xiii) Indebtedness incurred in the ordinary course of business consistent with past practice.</w:t>
      </w:r>
    </w:p>
    <w:p>
      <w:pPr>
        <w:spacing w:after="0" w:line="180" w:lineRule="exact"/>
        <w:rPr>
          <w:sz w:val="20"/>
          <w:szCs w:val="20"/>
          <w:color w:val="auto"/>
        </w:rPr>
      </w:pPr>
    </w:p>
    <w:p>
      <w:pPr>
        <w:jc w:val="both"/>
        <w:ind w:firstLine="1304"/>
        <w:spacing w:after="0" w:line="266" w:lineRule="auto"/>
        <w:tabs>
          <w:tab w:leader="none" w:pos="195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not, and will not permit any of its Subsidiaries to, (i) issue any Disqualified Equity Interests, or (ii) be or become liable in respect of any obligation (contingent or otherwise) to purchase, redeem, retire, acquire or make any other payment in respect of any Equity Interests of any Loan Party or any of its Subsidiaries, except as permitted under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0" w:name="page141"/>
    <w:bookmarkEnd w:id="1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Borrower will not, and will not permit any of its Subsidiaries to, create, incur, assume or permit to exist any Lien on any property or asset now owned or hereafter acquired by it, or assign or sell any income or revenues (including accounts receivable) or rights in respect of any thereof, except:</w:t>
      </w:r>
    </w:p>
    <w:p>
      <w:pPr>
        <w:spacing w:after="0" w:line="176" w:lineRule="exact"/>
        <w:rPr>
          <w:sz w:val="20"/>
          <w:szCs w:val="20"/>
          <w:color w:val="auto"/>
        </w:rPr>
      </w:pPr>
    </w:p>
    <w:p>
      <w:pPr>
        <w:ind w:left="1820" w:hanging="516"/>
        <w:spacing w:after="0"/>
        <w:tabs>
          <w:tab w:leader="none" w:pos="18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under the Loan Documents;</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1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or asset of the Borrower or any Subsidiary existing on the Agreement Date and set forth in </w:t>
      </w:r>
      <w:r>
        <w:rPr>
          <w:rFonts w:ascii="Times New Roman" w:cs="Times New Roman" w:eastAsia="Times New Roman" w:hAnsi="Times New Roman"/>
          <w:sz w:val="18"/>
          <w:szCs w:val="18"/>
          <w:u w:val="single" w:color="auto"/>
          <w:color w:val="auto"/>
        </w:rPr>
        <w:t>Schedule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of the Borrower or any Subsidiary and (ii) such Lien shall secure only those obligations which it secures on the Agreement Date and any extensions, renewals and replacements thereof that do not increase the outstanding principal amount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9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fixed or capital assets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secures Indebtedness permitted by </w:t>
      </w:r>
      <w:r>
        <w:rPr>
          <w:rFonts w:ascii="Times New Roman" w:cs="Times New Roman" w:eastAsia="Times New Roman" w:hAnsi="Times New Roman"/>
          <w:sz w:val="18"/>
          <w:szCs w:val="18"/>
          <w:u w:val="single" w:color="auto"/>
          <w:color w:val="auto"/>
        </w:rPr>
        <w:t>Section 7.1(a)(iii)</w:t>
      </w:r>
      <w:r>
        <w:rPr>
          <w:rFonts w:ascii="Times New Roman" w:cs="Times New Roman" w:eastAsia="Times New Roman" w:hAnsi="Times New Roman"/>
          <w:sz w:val="18"/>
          <w:szCs w:val="18"/>
          <w:color w:val="auto"/>
        </w:rPr>
        <w:t>, (ii) such Lien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 shall not apply to any other property or assets of the Borrower or any Subsidiary;</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7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prior to the acquisition thereof by the Borrower or any Subsidiary or existing on any property or asset of any Person that becomes a Subsidiary after the Agreement Date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secures Indebtedness permitted by </w:t>
      </w:r>
      <w:r>
        <w:rPr>
          <w:rFonts w:ascii="Times New Roman" w:cs="Times New Roman" w:eastAsia="Times New Roman" w:hAnsi="Times New Roman"/>
          <w:sz w:val="18"/>
          <w:szCs w:val="18"/>
          <w:u w:val="single" w:color="auto"/>
          <w:color w:val="auto"/>
        </w:rPr>
        <w:t>Section 7.1(a)(iv)</w:t>
      </w:r>
      <w:r>
        <w:rPr>
          <w:rFonts w:ascii="Times New Roman" w:cs="Times New Roman" w:eastAsia="Times New Roman" w:hAnsi="Times New Roman"/>
          <w:sz w:val="18"/>
          <w:szCs w:val="18"/>
          <w:color w:val="auto"/>
        </w:rPr>
        <w:t>, (ii) such Lien is not created in contemplation of or in connection with such acquisition or such Person becoming a Subsidiary, as applicable, (iii) such Lien shall not apply to any other property or assets of the Borrower or any Subsidiary and (iv) such Lien shall secure only the Indebtedness and other obligations that it secures on the date of such acquisition or the date such Person becomes a Subsidiary, as applicable, and any extensions, renewals and replacements thereof that do not increase the outstanding principal amount thereof; and</w:t>
      </w:r>
    </w:p>
    <w:p>
      <w:pPr>
        <w:spacing w:after="0" w:line="187"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depository bank or securities intermediary permitted by any Control Agreement.</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7"/>
          <w:szCs w:val="17"/>
          <w:u w:val="single" w:color="auto"/>
          <w:color w:val="auto"/>
        </w:rPr>
        <w:t>Fundamental Changes; Business; Fiscal Year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85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not, and will not permit any of its Subsidiaries to, merge into or consolidate with any other Person, or permit any other Person to merge into or consolidate with it, or sell, transfer, lease or otherwise Dispose of (in one transaction or in a series of transactions) all or substantially all of its assets, or all or substantially all of the Equity Interests issued by any of its Subsidiaries (in each case, whether now owned or hereafter acquired), or liquidate or dissolve or consummate a Division,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thereof and immediately after giving effect thereto, no Default shall or would have occurred and be continuing:</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48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Wholly-Owned Subsidiary of the Borrower may merge into or consolidate with (A) the Borrower in a transaction in which the Borrower is the surviving entity, (B) any Subsidiary Guarantor in a transaction in which such Subsidiary Guarantor is the surviving entity, and (C) to the extent such Subsidiary is a Non-Loan Party Subsidiary, any other Non-Loan Party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1" w:name="page142"/>
    <w:bookmarkEnd w:id="141"/>
    <w:p>
      <w:pPr>
        <w:jc w:val="both"/>
        <w:ind w:left="660" w:firstLine="1292"/>
        <w:spacing w:after="0" w:line="261" w:lineRule="auto"/>
        <w:tabs>
          <w:tab w:leader="none" w:pos="25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Subsidiary may merge into or consolidate with any Person in a transaction that is not permitted by </w:t>
      </w:r>
      <w:r>
        <w:rPr>
          <w:rFonts w:ascii="Times New Roman" w:cs="Times New Roman" w:eastAsia="Times New Roman" w:hAnsi="Times New Roman"/>
          <w:sz w:val="18"/>
          <w:szCs w:val="18"/>
          <w:u w:val="single" w:color="auto"/>
          <w:color w:val="auto"/>
        </w:rPr>
        <w:t>Section 7.3(a)(i)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a merger involving the Borrower, the Borrower shall be the surviving entity of such merger, (y) such merger is permitted by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either (A) the Subsidiary Guarantor shall be the surviving entity or (B) such other Person shall become a Subsidiary Guarantor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(z) such merger shall not be prohibited by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4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Subsidiary of a Loan Party may sell, transfer, lease or otherwise Dispose of all or substantially all of its assets to the Borrower or to any Subsidiary Guarantor and (B) any Non-Loan Party Subsidiary may sell, transfer, lease or otherwise Dispose of all or substantially all of its assets to the Borrower or any Subsidiary of the Borrower;</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561"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any of its Subsidiaries may sell, transfer, lease or otherwise Dispose of its assets in a transaction that is not permitted by </w:t>
      </w:r>
      <w:r>
        <w:rPr>
          <w:rFonts w:ascii="Times New Roman" w:cs="Times New Roman" w:eastAsia="Times New Roman" w:hAnsi="Times New Roman"/>
          <w:sz w:val="18"/>
          <w:szCs w:val="18"/>
          <w:u w:val="single" w:color="auto"/>
          <w:color w:val="auto"/>
        </w:rPr>
        <w:t>Section 7.3(a)(iii)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sale, transfer, lease or other Disposition is permitted by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522"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any Non-Loan Party Subsidiary may liquidate or dissolve so long as any remaining assets are transferred to another Non-Loan Party Subsidiary or a Loan Party and (B) any Subsidiary Guarantor may liquidate or dissolve so long as any remaining assets of such Subsidiary Guarantor are transferred to another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the Borrower determines in good faith that such liquidation or dissolution is in the best interests of Borrower and its Subsidiaries and is not disadvantageous to the Administrative Agent or any Lender in any material respect;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8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of its Subsidiaries to, engage to any material extent in any business other than an Approved Line of Business; and</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of its Subsidiaries to, change its Fiscal Year.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The Borrower will not, and will not permit any of its Subsidiaries to, purchase, hold or acquire (including pursuant to any merger or Division) any Investment, make or permit to exist any Guarantees of any obligations of, or make or permit to exist any investment or any other interest in, any other Person, make any Acquisition or purchase or otherwise enter into or become party to any derivative transaction, except:</w:t>
      </w:r>
    </w:p>
    <w:p>
      <w:pPr>
        <w:spacing w:after="0" w:line="180" w:lineRule="exact"/>
        <w:rPr>
          <w:sz w:val="20"/>
          <w:szCs w:val="20"/>
          <w:color w:val="auto"/>
        </w:rPr>
      </w:pPr>
    </w:p>
    <w:p>
      <w:pPr>
        <w:ind w:left="1820" w:hanging="516"/>
        <w:spacing w:after="0"/>
        <w:tabs>
          <w:tab w:leader="none" w:pos="18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Agreement Date and set forth in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7.4;</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Investments made by the Borrower in the Equity Interests of any Subsidiary Guarantor or any Non-Loan Party Subsidiary and made by any Subsidiary Guarantor in the Equity Interests of any other Subsidiary Guarantor or any Non-Loan Party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Investments pursuant to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in any Non-Loan Party Subsidiary shall not exceed $1,000,000 in the aggregate after the Agreement Date less any amounts expended pursuant to subsection (e) below;</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0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constituting Indebtedness made by (i) any Loan Party to any Subsidiary thereof or (ii) any Subsidiary to any Loan Party or another Subsidiary, in each case subject to the limitations set forth in </w:t>
      </w:r>
      <w:r>
        <w:rPr>
          <w:rFonts w:ascii="Times New Roman" w:cs="Times New Roman" w:eastAsia="Times New Roman" w:hAnsi="Times New Roman"/>
          <w:sz w:val="18"/>
          <w:szCs w:val="18"/>
          <w:u w:val="single" w:color="auto"/>
          <w:color w:val="auto"/>
        </w:rPr>
        <w:t>Section 7.1(a)(v)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jc w:val="both"/>
        <w:ind w:firstLine="1304"/>
        <w:spacing w:after="0" w:line="258" w:lineRule="auto"/>
        <w:tabs>
          <w:tab w:leader="none" w:pos="182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made by (i) any Loan Party from any other Loan Party; (ii) any Non-Loan Party Subsidiary from any other Non-Loan Party Subsidiary; and (iii) any Non-Loan Party Subsidiary from any Loan Party; provided, that, with respect to this clause (iii), the amount of any such Investments shall not exceed $1,000,000 in the aggregate after the Closing Date less any amounts expended pursuant to subsection (c) above and provided, further, that no material assets of the Loan Parties (including, without limitation, any Intellectual Property) shall be acquired by a Non-Loan Party pursuant to this clause (iii);</w:t>
      </w:r>
    </w:p>
    <w:p>
      <w:pPr>
        <w:spacing w:after="0" w:line="183"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permitted by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Swap Agreements permitted by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4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commission, travel and other similar cash advances made to directors (or comparable Persons), officers or employees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promissory notes and other non-cash consideration received in connection with Dispositions permitted by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(ii) Investments received in settlement of amounts due to any Loan Party or any of its Subsidiaries effected in the ordinary course of business as a result of insolvency, bankruptcy, reorganization, or other similar proceeding involving an account debtor or upon the foreclosure or enforcement of any Lien in favor of a Loan Party or its Subsidiaries;</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83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Person existing at the time such Person becomes a Subsidiary or consolidates or merges with Borrower or any Subsidiary thereof (including in connection with a Permitted Acquisition) so long as such Investments were not made in contemplation of such Person becoming a Subsidiary or of such consolidation or merger;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of cash made in the ordinary course of business to secure performance of (i) operating leases and (ii) other contractual obligations that do not constitute Indebtedness, including earnest money deposits made in cash in connection with any letter of intent or purchase agreement in connection with a Permitted Acquisition;</w:t>
      </w:r>
    </w:p>
    <w:p>
      <w:pPr>
        <w:spacing w:after="0" w:line="17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negotiable instruments deposited or to be deposited for collection in the ordinary course of business; 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3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shall have occurred and be continuing or would immediately result therefrom, other Investments by the Borrower and its Subsidiaries after the Agreement Date in an aggregate amount not to exceed $1,000,000</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u w:val="single" w:color="auto"/>
          <w:color w:val="0000FF"/>
        </w:rPr>
        <w:t>provided, that no Investments pursuant to clauses (c), (d), (e), (f), (g), (h), (j), (k), and (n) of this Section 7.4 shall be made after the Fourth Amendment Effective Date until the end of the 2024 Covenant Relief Period, other than (i) in connection with the US Systems and Legal Entity Consolidation Project and (ii) in the case of clauses (c) and (d) Investments made in the ordinary course of business consistent with past practice.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determining the amount of Investments, acquisitions, loans, and advances permitted under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Investments and acquisitions shall always be taken at the original cost thereof (regardless of any subsequent appreciation or depreciation therein)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all returns of principal, capital, dividends, distributions and other cash returns thereof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all liabilities expressly assumed by another Person in connection with the sale or other Disposition of any Investment, and loans and advances shall be taken at the principal amount thereof then remaining unpaid.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7.5</w:t>
      </w:r>
      <w:r>
        <w:rPr>
          <w:sz w:val="20"/>
          <w:szCs w:val="20"/>
          <w:color w:val="auto"/>
        </w:rPr>
        <w:tab/>
      </w:r>
      <w:r>
        <w:rPr>
          <w:rFonts w:ascii="Times New Roman" w:cs="Times New Roman" w:eastAsia="Times New Roman" w:hAnsi="Times New Roman"/>
          <w:sz w:val="17"/>
          <w:szCs w:val="17"/>
          <w:u w:val="single" w:color="auto"/>
          <w:color w:val="auto"/>
        </w:rPr>
        <w:t>Dispositions</w:t>
      </w:r>
      <w:r>
        <w:rPr>
          <w:rFonts w:ascii="Times New Roman" w:cs="Times New Roman" w:eastAsia="Times New Roman" w:hAnsi="Times New Roman"/>
          <w:sz w:val="17"/>
          <w:szCs w:val="17"/>
          <w:color w:val="auto"/>
        </w:rPr>
        <w:t>. The Borrower will not, and will not permit any of its Subsidiaries to, Dispose of any of its assets except:</w:t>
      </w:r>
    </w:p>
    <w:p>
      <w:pPr>
        <w:spacing w:after="0" w:line="225" w:lineRule="exact"/>
        <w:rPr>
          <w:sz w:val="20"/>
          <w:szCs w:val="20"/>
          <w:color w:val="auto"/>
        </w:rPr>
      </w:pPr>
    </w:p>
    <w:p>
      <w:pPr>
        <w:ind w:firstLine="1304"/>
        <w:spacing w:after="0" w:line="282" w:lineRule="auto"/>
        <w:tabs>
          <w:tab w:leader="none" w:pos="184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issuances of Qualified Equity Interests by any Wholly-Owned Subsidiary of a Loan Party to a Loan Party, in each case subject to the Collateral and Guarantee Requirement and </w:t>
      </w:r>
      <w:r>
        <w:rPr>
          <w:rFonts w:ascii="Times New Roman" w:cs="Times New Roman" w:eastAsia="Times New Roman" w:hAnsi="Times New Roman"/>
          <w:sz w:val="18"/>
          <w:szCs w:val="18"/>
          <w:u w:val="single" w:color="auto"/>
          <w:color w:val="auto"/>
        </w:rPr>
        <w:t>Section 2.7(b)(i)(B)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lease of inventory in the ordinary course of business;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transfer of money, cash or Cash Equivalents in a manner that is not prohibited by the terms of this Credit Agreement or the other Loan Documents;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and sublicensing on a non-exclusive basis of patents, trademarks, copyrights, and other intellectual property rights in the ordinary course of business, and the leasing and subleasing of any other property;</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granting of Liens permitted hereunder and the other transactions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Casualty Event and the Disposition of any property subject thereto;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cancellation or lapse of issued patents, registered trademarks and other registered intellectual property of a Loan Party or Subsidiary thereof to the extent, in such Loan Party’s reasonable business judgment, not economically desirable in the conduct of such Loan Party’s business or so long as such lapse is not materially adverse to the interests of the Lenders and (ii) the expiration of patents in accordance with their statutory terms;</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4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of assets (other than Equity Interests of any Wholly-Owned Subsidiary, unless all of the Equity Interests of such Wholly-Owned Subsidiary (other than the Borrower) are sold in accordance with this clause (h)) for at least fair market value, so long as (A) no Default then exists or would immediately result therefrom, (B) at least 75% of the consideration received by the applicable Loan Party consists of cash or Cash Equivalents and is paid at the time of the closing of such sale, (C) the Net Cash Proceeds therefrom are applied and/or reinvested as (and to the extent) required by </w:t>
      </w:r>
      <w:r>
        <w:rPr>
          <w:rFonts w:ascii="Times New Roman" w:cs="Times New Roman" w:eastAsia="Times New Roman" w:hAnsi="Times New Roman"/>
          <w:sz w:val="18"/>
          <w:szCs w:val="18"/>
          <w:u w:val="single" w:color="auto"/>
          <w:color w:val="auto"/>
        </w:rPr>
        <w:t>Section 2.7(b)(i)(A)</w:t>
      </w:r>
      <w:r>
        <w:rPr>
          <w:rFonts w:ascii="Times New Roman" w:cs="Times New Roman" w:eastAsia="Times New Roman" w:hAnsi="Times New Roman"/>
          <w:sz w:val="18"/>
          <w:szCs w:val="18"/>
          <w:color w:val="auto"/>
        </w:rPr>
        <w:t xml:space="preserve"> and (D) the aggregate amount of the cash and non-cash proceeds received from all assets sold pursuant to this clause (i) shall not exceed $2,500,000 in the aggregate during the term of this Credit Agreement (for this purpose, using the fair market value of property other than cash and Cash Equivalents);</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8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acquired by the Borrower and its Subsidiaries pursuant to a Permitted Acquisition consummated within 12 months of the date of such Permitted Acquisition in an aggregate amount not to exceed $500,000 for each such Permitted Acquisition;</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trade in of equipment in exchange for other equipment in the ordinary course of business; and</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or terminating of hedging arrangements or transactions contemplated by any Swap Agreement which are not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prohibited hereunder.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To the extent the Required Lenders or all the Lenders, as applicable, waive the provisions of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with respect to the sale of any Collateral, or any Collateral is sold as permitted by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such Collateral (unless sold to a Loan Party) shall be sold automatically free and clear of the Liens created by the Collateral Documents and, at the expense of the Loan Parties, the Administrative Agent shall take all reasonable actions any Loan Party reasonably requests in writing in order to effect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4" w:name="page145"/>
    <w:bookmarkEnd w:id="14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Sale and Lease Back Transactions.</w:t>
      </w:r>
      <w:r>
        <w:rPr>
          <w:rFonts w:ascii="Times New Roman" w:cs="Times New Roman" w:eastAsia="Times New Roman" w:hAnsi="Times New Roman"/>
          <w:sz w:val="18"/>
          <w:szCs w:val="18"/>
          <w:color w:val="auto"/>
        </w:rPr>
        <w:t xml:space="preserve"> The Borrower will not, and will not permit any of its Subsidiaries to, enter into any Sale and Leaseback arrangement, directly or indirectly, with any Person.</w:t>
      </w:r>
    </w:p>
    <w:p>
      <w:pPr>
        <w:spacing w:after="0" w:line="16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7.7</w:t>
      </w:r>
      <w:r>
        <w:rPr>
          <w:sz w:val="20"/>
          <w:szCs w:val="20"/>
          <w:color w:val="auto"/>
        </w:rPr>
        <w:tab/>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The Borrower will not, and will not permit any of its Subsidiaries to, enter into any Swap Agreement, except</w:t>
      </w:r>
    </w:p>
    <w:p>
      <w:pPr>
        <w:spacing w:after="0" w:line="27" w:lineRule="exact"/>
        <w:rPr>
          <w:sz w:val="20"/>
          <w:szCs w:val="20"/>
          <w:color w:val="auto"/>
        </w:rPr>
      </w:pPr>
    </w:p>
    <w:p>
      <w:pPr>
        <w:jc w:val="both"/>
        <w:ind w:firstLine="8"/>
        <w:spacing w:after="0" w:line="253" w:lineRule="auto"/>
        <w:tabs>
          <w:tab w:leader="none" w:pos="27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 Agreements entered into in the ordinary course of business to hedge or mitigate risks to which the Borrower or any Subsidiary has actual exposure (other than those in respect of Equity Interests of the Borrower or any Subsidiary) and that are not for speculative purposes, and (b) Swap Agreements entered into in order to effectively cap, collar or exchange interest rates (from fixed to floating rates, from one floating rate to another floating rate or otherwise) with respect to any interest-bearing liability or investment of such Loan Party or Subsidiary.</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The Borrower will not, and will not permit any of its Subsidiaries to, declare or make, or agree to pay for or make, directly or indirectly, any Restricted Payment, or incur any obligation (contingent or otherwise) to do so, except:</w:t>
      </w:r>
    </w:p>
    <w:p>
      <w:pPr>
        <w:spacing w:after="0" w:line="162" w:lineRule="exact"/>
        <w:rPr>
          <w:sz w:val="20"/>
          <w:szCs w:val="20"/>
          <w:color w:val="auto"/>
        </w:rPr>
      </w:pPr>
    </w:p>
    <w:p>
      <w:pPr>
        <w:jc w:val="both"/>
        <w:ind w:firstLine="1304"/>
        <w:spacing w:after="0" w:line="266" w:lineRule="auto"/>
        <w:tabs>
          <w:tab w:leader="none" w:pos="193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Collateral and Guarantee Requirement, any Subsidiary of the Borrower may declare and pay, and agree to pay, dividends and other distributions with respect to its Equity Interests payable solely in perpetual common Equity Interests (other than Disqualified Equity Interests),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Borrower may declare and pay dividends or other distributions with respect to its Equity Interests to the Borrower or any Subsidiary Guarantor,</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1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(i) no Default shall have occurred and be continuing both before and after giving effect thereto and (ii) the Consolidated Net Leverage Ratio, calculated on a Pro Forma Basis after giving effect thereto, shall be no greater than 0.25x less than the maximum Consolidated Net Leverage Ratio permitted by Section 7.12(a) for the subject period, the Borrower may make additional Restricted Payments in an aggregate amount not to exceed $500,000; and</w:t>
      </w:r>
    </w:p>
    <w:p>
      <w:pPr>
        <w:spacing w:after="0" w:line="179" w:lineRule="exact"/>
        <w:rPr>
          <w:rFonts w:ascii="Times New Roman" w:cs="Times New Roman" w:eastAsia="Times New Roman" w:hAnsi="Times New Roman"/>
          <w:sz w:val="18"/>
          <w:szCs w:val="18"/>
          <w:color w:val="auto"/>
        </w:rPr>
      </w:pPr>
    </w:p>
    <w:p>
      <w:pPr>
        <w:ind w:right="100" w:firstLine="1304"/>
        <w:spacing w:after="0" w:line="500" w:lineRule="auto"/>
        <w:tabs>
          <w:tab w:leader="none" w:pos="182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dividends or distributions by a Non-Loan Party Subsidiary to a Loan Party or another Non-Loan Party Subsidiary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provided, that, during the 2024 Covenant Relief Period, no Restricted Payments pursuant to clauses (a) and (c) of this Section 7.8 shall be permitted.</w:t>
      </w:r>
    </w:p>
    <w:p>
      <w:pPr>
        <w:spacing w:after="0" w:line="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The Borrower will not, and will not permit any of its Subsidiaries to, Dispose (including pursuant to a merger or Division) of any property or assets to, or purchase, lease or otherwise acquire (including pursuant to a merger or Division) any property or assets from, or otherwise engage in any other transactions with, any of its Affiliates, except (a) transactions in the ordinary course of business and at prices and on terms and conditions not less favorable to such Loan Party or such Subsidiary than could be obtained on an arm’s-length basis from unrelated third parties (it being understood that this Section shall not apply to any transaction that is expressly permitted under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7.8</w:t>
      </w:r>
      <w:r>
        <w:rPr>
          <w:rFonts w:ascii="Times New Roman" w:cs="Times New Roman" w:eastAsia="Times New Roman" w:hAnsi="Times New Roman"/>
          <w:sz w:val="18"/>
          <w:szCs w:val="18"/>
          <w:color w:val="auto"/>
        </w:rPr>
        <w:t xml:space="preserve"> of this Credit Agreement between or among the Loan Parties and not involving any other Affiliate) and (b) the Transactions.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xml:space="preserve">. The Borrower will not, and will not permit any of its Subsidiaries to, directly or indirectly, enter into, incur or permit to exist any agreement or other arrangement that prohibits, restricts or imposes any condition upon (a) the ability of any Loan Party or any of its Subsidiaries to create, incur or permit to exist any Lien upon any of its property or assets (unless such agreement or arrangement does not prohibit, restrict or impose any condition upon the ability of any Loan Party to create, incur or permit to exist, or the ability of the Administrative Agent to exercise any right or remedy with respect to, any Lien in favor of the Secured Parties created under the Loan Documents) or (b) the ability of any Subsidiary to pay dividends or make other distributions with respect to any of its Equity Interests or to make or repay loans or advances to the Borrower or any other Subsidiary or to Guarantee Indebtedness of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foregoing shall not apply to (A) restrictions and conditions imposed by law or by the Loan Documents, (B) restrictions and conditions existing on the Agreement Date identified on </w:t>
      </w:r>
      <w:r>
        <w:rPr>
          <w:rFonts w:ascii="Times New Roman" w:cs="Times New Roman" w:eastAsia="Times New Roman" w:hAnsi="Times New Roman"/>
          <w:sz w:val="18"/>
          <w:szCs w:val="18"/>
          <w:u w:val="single" w:color="auto"/>
          <w:color w:val="auto"/>
        </w:rPr>
        <w:t>Schedule 7.10</w:t>
      </w:r>
      <w:r>
        <w:rPr>
          <w:rFonts w:ascii="Times New Roman" w:cs="Times New Roman" w:eastAsia="Times New Roman" w:hAnsi="Times New Roman"/>
          <w:sz w:val="18"/>
          <w:szCs w:val="18"/>
          <w:color w:val="auto"/>
        </w:rPr>
        <w:t xml:space="preserve"> (but shall apply to any extension or renewal of, or any amendment or modification expanding the scope of, any such restriction or condition), and (C) customary restrictions and conditions contained in agreements relating to the sale of a subsidiary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its Subsidiary that is to be sold and such sale is permitted hereunder, (ii) clause (a) of this Section shall not apply to restrictions or conditions imposed by any agreement relating to secured Indebtedness permitted by this Credit Agreement if such restrictions or conditions apply only to the property or assets securing such Indebtedness, and (iii) clause (a) of this Section shall not apply to customary provisions in agreements restricting the assignment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5" w:name="page146"/>
    <w:bookmarkEnd w:id="14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xml:space="preserve">. The Borrower will not, and will not permit any of its Subsidiaries to, amend, supplement modify or waive any of its rights under any Subordinated Debt Document or any of its Organizational Documents, other than immaterial amendments, modifications or waivers that would not reasonably be expected to adversely affect the Credit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deliver or cause to be delivered to the Administrative Agent and each Lender a copy of all amendments, modifications or waivers thereto promptly after the execution and delivery thereof.</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7"/>
          <w:szCs w:val="17"/>
          <w:u w:val="single" w:color="auto"/>
          <w:color w:val="auto"/>
        </w:rPr>
        <w:t>Financial Covenants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85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The Borrower will not permit the Consolidated Net Leverage Ratio as of the end of any fiscal quarter during any period set forth in the following table to be greater than the ratio set forth therein with respect to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3354705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6" w:name="page147"/>
    <w:bookmarkEnd w:id="146"/>
    <w:tbl>
      <w:tblPr>
        <w:tblLayout w:type="fixed"/>
        <w:tblInd w:w="10" w:type="dxa"/>
        <w:tblCellMar>
          <w:top w:w="0" w:type="dxa"/>
          <w:left w:w="0" w:type="dxa"/>
          <w:bottom w:w="0" w:type="dxa"/>
          <w:right w:w="0" w:type="dxa"/>
        </w:tblCellMar>
      </w:tblPr>
      <w:tr>
        <w:trPr>
          <w:trHeight w:val="346"/>
        </w:trPr>
        <w:tc>
          <w:tcPr>
            <w:tcW w:w="60" w:type="dxa"/>
            <w:vAlign w:val="bottom"/>
            <w:tcBorders>
              <w:top w:val="single" w:sz="8" w:color="auto"/>
              <w:left w:val="single" w:sz="8" w:color="auto"/>
              <w:right w:val="single" w:sz="8" w:color="auto"/>
            </w:tcBorders>
          </w:tcPr>
          <w:p>
            <w:pPr>
              <w:spacing w:after="0"/>
              <w:rPr>
                <w:sz w:val="24"/>
                <w:szCs w:val="24"/>
                <w:color w:val="auto"/>
              </w:rPr>
            </w:pPr>
          </w:p>
        </w:tc>
        <w:tc>
          <w:tcPr>
            <w:tcW w:w="2640" w:type="dxa"/>
            <w:vAlign w:val="bottom"/>
            <w:tcBorders>
              <w:top w:val="single" w:sz="8" w:color="auto"/>
              <w:bottom w:val="single" w:sz="8" w:color="CCCCCC"/>
            </w:tcBorders>
            <w:shd w:val="clear" w:color="auto" w:fill="CCCCCC"/>
          </w:tcPr>
          <w:p>
            <w:pPr>
              <w:spacing w:after="0"/>
              <w:rPr>
                <w:sz w:val="24"/>
                <w:szCs w:val="24"/>
                <w:color w:val="auto"/>
              </w:rPr>
            </w:pPr>
          </w:p>
        </w:tc>
        <w:tc>
          <w:tcPr>
            <w:tcW w:w="4380" w:type="dxa"/>
            <w:vAlign w:val="bottom"/>
            <w:tcBorders>
              <w:top w:val="single" w:sz="8" w:color="auto"/>
              <w:bottom w:val="single" w:sz="8" w:color="CCCCCC"/>
              <w:right w:val="single" w:sz="8" w:color="auto"/>
            </w:tcBorders>
            <w:gridSpan w:val="12"/>
            <w:shd w:val="clear" w:color="auto" w:fill="CCCCCC"/>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rPr>
              <w:t>Fiscal Quarter Ended</w:t>
            </w:r>
          </w:p>
        </w:tc>
        <w:tc>
          <w:tcPr>
            <w:tcW w:w="4160" w:type="dxa"/>
            <w:vAlign w:val="bottom"/>
            <w:tcBorders>
              <w:top w:val="single" w:sz="8" w:color="auto"/>
              <w:bottom w:val="single" w:sz="8" w:color="CCCCCC"/>
              <w:right w:val="single" w:sz="8" w:color="auto"/>
            </w:tcBorders>
            <w:gridSpan w:val="3"/>
            <w:shd w:val="clear" w:color="auto" w:fill="CCCCC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Net Leverage Ratio</w:t>
            </w: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26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180" w:type="dxa"/>
            <w:vAlign w:val="bottom"/>
            <w:tcBorders>
              <w:top w:val="single" w:sz="8" w:color="auto"/>
              <w:right w:val="single" w:sz="8" w:color="auto"/>
            </w:tcBorders>
            <w:gridSpan w:val="10"/>
          </w:tcPr>
          <w:p>
            <w:pPr>
              <w:jc w:val="center"/>
              <w:ind w:right="2760"/>
              <w:spacing w:after="0"/>
              <w:rPr>
                <w:sz w:val="20"/>
                <w:szCs w:val="20"/>
                <w:color w:val="auto"/>
              </w:rPr>
            </w:pPr>
            <w:r>
              <w:rPr>
                <w:rFonts w:ascii="Times New Roman" w:cs="Times New Roman" w:eastAsia="Times New Roman" w:hAnsi="Times New Roman"/>
                <w:sz w:val="18"/>
                <w:szCs w:val="18"/>
                <w:color w:val="auto"/>
              </w:rPr>
              <w:t>December 31, 2020</w:t>
            </w:r>
          </w:p>
        </w:tc>
        <w:tc>
          <w:tcPr>
            <w:tcW w:w="1680" w:type="dxa"/>
            <w:vAlign w:val="bottom"/>
            <w:tcBorders>
              <w:top w:val="single" w:sz="8" w:color="auto"/>
            </w:tcBorders>
          </w:tcPr>
          <w:p>
            <w:pPr>
              <w:spacing w:after="0"/>
              <w:rPr>
                <w:sz w:val="21"/>
                <w:szCs w:val="21"/>
                <w:color w:val="auto"/>
              </w:rPr>
            </w:pPr>
          </w:p>
        </w:tc>
        <w:tc>
          <w:tcPr>
            <w:tcW w:w="2480" w:type="dxa"/>
            <w:vAlign w:val="bottom"/>
            <w:tcBorders>
              <w:top w:val="single" w:sz="8" w:color="auto"/>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4.00 to 1.00</w:t>
            </w:r>
          </w:p>
        </w:tc>
      </w:tr>
      <w:tr>
        <w:trPr>
          <w:trHeight w:val="40"/>
        </w:trPr>
        <w:tc>
          <w:tcPr>
            <w:tcW w:w="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40" w:type="dxa"/>
            <w:vAlign w:val="bottom"/>
            <w:tcBorders>
              <w:right w:val="single" w:sz="8" w:color="auto"/>
            </w:tcBorders>
            <w:gridSpan w:val="9"/>
          </w:tcPr>
          <w:p>
            <w:pPr>
              <w:jc w:val="center"/>
              <w:ind w:right="2900"/>
              <w:spacing w:after="0"/>
              <w:rPr>
                <w:sz w:val="20"/>
                <w:szCs w:val="20"/>
                <w:color w:val="auto"/>
              </w:rPr>
            </w:pPr>
            <w:r>
              <w:rPr>
                <w:rFonts w:ascii="Times New Roman" w:cs="Times New Roman" w:eastAsia="Times New Roman" w:hAnsi="Times New Roman"/>
                <w:sz w:val="18"/>
                <w:szCs w:val="18"/>
                <w:color w:val="auto"/>
                <w:w w:val="99"/>
              </w:rPr>
              <w:t>March 31, 2021</w:t>
            </w:r>
          </w:p>
        </w:tc>
        <w:tc>
          <w:tcPr>
            <w:tcW w:w="1680" w:type="dxa"/>
            <w:vAlign w:val="bottom"/>
          </w:tcPr>
          <w:p>
            <w:pPr>
              <w:spacing w:after="0"/>
              <w:rPr>
                <w:sz w:val="21"/>
                <w:szCs w:val="21"/>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3.75 to 1.00</w:t>
            </w:r>
          </w:p>
        </w:tc>
      </w:tr>
      <w:tr>
        <w:trPr>
          <w:trHeight w:val="41"/>
        </w:trPr>
        <w:tc>
          <w:tcPr>
            <w:tcW w:w="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80" w:type="dxa"/>
            <w:vAlign w:val="bottom"/>
            <w:tcBorders>
              <w:right w:val="single" w:sz="8" w:color="auto"/>
            </w:tcBorders>
            <w:gridSpan w:val="8"/>
          </w:tcPr>
          <w:p>
            <w:pPr>
              <w:jc w:val="center"/>
              <w:ind w:right="2980"/>
              <w:spacing w:after="0"/>
              <w:rPr>
                <w:sz w:val="20"/>
                <w:szCs w:val="20"/>
                <w:color w:val="auto"/>
              </w:rPr>
            </w:pPr>
            <w:r>
              <w:rPr>
                <w:rFonts w:ascii="Times New Roman" w:cs="Times New Roman" w:eastAsia="Times New Roman" w:hAnsi="Times New Roman"/>
                <w:sz w:val="18"/>
                <w:szCs w:val="18"/>
                <w:color w:val="auto"/>
                <w:w w:val="99"/>
              </w:rPr>
              <w:t>June 30, 2021</w:t>
            </w:r>
          </w:p>
        </w:tc>
        <w:tc>
          <w:tcPr>
            <w:tcW w:w="1680" w:type="dxa"/>
            <w:vAlign w:val="bottom"/>
          </w:tcPr>
          <w:p>
            <w:pPr>
              <w:spacing w:after="0"/>
              <w:rPr>
                <w:sz w:val="21"/>
                <w:szCs w:val="21"/>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3.50 to 1.00</w:t>
            </w:r>
          </w:p>
        </w:tc>
      </w:tr>
      <w:tr>
        <w:trPr>
          <w:trHeight w:val="40"/>
        </w:trPr>
        <w:tc>
          <w:tcPr>
            <w:tcW w:w="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0" w:type="dxa"/>
            <w:vAlign w:val="bottom"/>
            <w:tcBorders>
              <w:right w:val="single" w:sz="8" w:color="auto"/>
            </w:tcBorders>
            <w:gridSpan w:val="11"/>
          </w:tcPr>
          <w:p>
            <w:pPr>
              <w:jc w:val="center"/>
              <w:ind w:right="2760"/>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1680" w:type="dxa"/>
            <w:vAlign w:val="bottom"/>
          </w:tcPr>
          <w:p>
            <w:pPr>
              <w:spacing w:after="0"/>
              <w:rPr>
                <w:sz w:val="21"/>
                <w:szCs w:val="21"/>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3.25 to 1.00</w:t>
            </w:r>
          </w:p>
        </w:tc>
      </w:tr>
      <w:tr>
        <w:trPr>
          <w:trHeight w:val="41"/>
        </w:trPr>
        <w:tc>
          <w:tcPr>
            <w:tcW w:w="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Borders>
              <w:right w:val="single" w:sz="8" w:color="auto"/>
            </w:tcBorders>
            <w:gridSpan w:val="10"/>
          </w:tcPr>
          <w:p>
            <w:pPr>
              <w:jc w:val="center"/>
              <w:ind w:right="2760"/>
              <w:spacing w:after="0"/>
              <w:rPr>
                <w:sz w:val="20"/>
                <w:szCs w:val="20"/>
                <w:color w:val="auto"/>
              </w:rPr>
            </w:pPr>
            <w:r>
              <w:rPr>
                <w:rFonts w:ascii="Times New Roman" w:cs="Times New Roman" w:eastAsia="Times New Roman" w:hAnsi="Times New Roman"/>
                <w:sz w:val="18"/>
                <w:szCs w:val="18"/>
                <w:color w:val="auto"/>
              </w:rPr>
              <w:t>December 31, 2021</w:t>
            </w:r>
          </w:p>
        </w:tc>
        <w:tc>
          <w:tcPr>
            <w:tcW w:w="1680" w:type="dxa"/>
            <w:vAlign w:val="bottom"/>
          </w:tcPr>
          <w:p>
            <w:pPr>
              <w:spacing w:after="0"/>
              <w:rPr>
                <w:sz w:val="21"/>
                <w:szCs w:val="21"/>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3.00 to 1.00</w:t>
            </w:r>
          </w:p>
        </w:tc>
      </w:tr>
      <w:tr>
        <w:trPr>
          <w:trHeight w:val="40"/>
        </w:trPr>
        <w:tc>
          <w:tcPr>
            <w:tcW w:w="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40" w:type="dxa"/>
            <w:vAlign w:val="bottom"/>
            <w:tcBorders>
              <w:right w:val="single" w:sz="8" w:color="auto"/>
            </w:tcBorders>
            <w:gridSpan w:val="9"/>
          </w:tcPr>
          <w:p>
            <w:pPr>
              <w:jc w:val="center"/>
              <w:ind w:right="2900"/>
              <w:spacing w:after="0"/>
              <w:rPr>
                <w:sz w:val="20"/>
                <w:szCs w:val="20"/>
                <w:color w:val="auto"/>
              </w:rPr>
            </w:pPr>
            <w:r>
              <w:rPr>
                <w:rFonts w:ascii="Times New Roman" w:cs="Times New Roman" w:eastAsia="Times New Roman" w:hAnsi="Times New Roman"/>
                <w:sz w:val="18"/>
                <w:szCs w:val="18"/>
                <w:color w:val="auto"/>
                <w:w w:val="99"/>
              </w:rPr>
              <w:t>March 31, 2022</w:t>
            </w:r>
          </w:p>
        </w:tc>
        <w:tc>
          <w:tcPr>
            <w:tcW w:w="1680" w:type="dxa"/>
            <w:vAlign w:val="bottom"/>
          </w:tcPr>
          <w:p>
            <w:pPr>
              <w:spacing w:after="0"/>
              <w:rPr>
                <w:sz w:val="21"/>
                <w:szCs w:val="21"/>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3.75 to 1.00</w:t>
            </w:r>
          </w:p>
        </w:tc>
      </w:tr>
      <w:tr>
        <w:trPr>
          <w:trHeight w:val="40"/>
        </w:trPr>
        <w:tc>
          <w:tcPr>
            <w:tcW w:w="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80" w:type="dxa"/>
            <w:vAlign w:val="bottom"/>
            <w:tcBorders>
              <w:right w:val="single" w:sz="8" w:color="auto"/>
            </w:tcBorders>
            <w:gridSpan w:val="8"/>
          </w:tcPr>
          <w:p>
            <w:pPr>
              <w:jc w:val="center"/>
              <w:ind w:right="2980"/>
              <w:spacing w:after="0"/>
              <w:rPr>
                <w:sz w:val="20"/>
                <w:szCs w:val="20"/>
                <w:color w:val="auto"/>
              </w:rPr>
            </w:pPr>
            <w:r>
              <w:rPr>
                <w:rFonts w:ascii="Times New Roman" w:cs="Times New Roman" w:eastAsia="Times New Roman" w:hAnsi="Times New Roman"/>
                <w:sz w:val="18"/>
                <w:szCs w:val="18"/>
                <w:color w:val="auto"/>
                <w:w w:val="99"/>
              </w:rPr>
              <w:t>June 30, 2022</w:t>
            </w:r>
          </w:p>
        </w:tc>
        <w:tc>
          <w:tcPr>
            <w:tcW w:w="1680" w:type="dxa"/>
            <w:vAlign w:val="bottom"/>
          </w:tcPr>
          <w:p>
            <w:pPr>
              <w:spacing w:after="0"/>
              <w:rPr>
                <w:sz w:val="21"/>
                <w:szCs w:val="21"/>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3.75 to 1.00</w:t>
            </w:r>
          </w:p>
        </w:tc>
      </w:tr>
      <w:tr>
        <w:trPr>
          <w:trHeight w:val="41"/>
        </w:trPr>
        <w:tc>
          <w:tcPr>
            <w:tcW w:w="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0" w:type="dxa"/>
            <w:vAlign w:val="bottom"/>
            <w:tcBorders>
              <w:right w:val="single" w:sz="8" w:color="auto"/>
            </w:tcBorders>
            <w:gridSpan w:val="11"/>
          </w:tcPr>
          <w:p>
            <w:pPr>
              <w:jc w:val="center"/>
              <w:ind w:right="2760"/>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1680" w:type="dxa"/>
            <w:vAlign w:val="bottom"/>
          </w:tcPr>
          <w:p>
            <w:pPr>
              <w:spacing w:after="0"/>
              <w:rPr>
                <w:sz w:val="21"/>
                <w:szCs w:val="21"/>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3.75 to 1.00</w:t>
            </w:r>
          </w:p>
        </w:tc>
      </w:tr>
      <w:tr>
        <w:trPr>
          <w:trHeight w:val="40"/>
        </w:trPr>
        <w:tc>
          <w:tcPr>
            <w:tcW w:w="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Borders>
              <w:right w:val="single" w:sz="8" w:color="auto"/>
            </w:tcBorders>
            <w:gridSpan w:val="10"/>
          </w:tcPr>
          <w:p>
            <w:pPr>
              <w:jc w:val="center"/>
              <w:ind w:right="2760"/>
              <w:spacing w:after="0"/>
              <w:rPr>
                <w:sz w:val="20"/>
                <w:szCs w:val="20"/>
                <w:color w:val="auto"/>
              </w:rPr>
            </w:pPr>
            <w:r>
              <w:rPr>
                <w:rFonts w:ascii="Times New Roman" w:cs="Times New Roman" w:eastAsia="Times New Roman" w:hAnsi="Times New Roman"/>
                <w:sz w:val="18"/>
                <w:szCs w:val="18"/>
                <w:color w:val="auto"/>
              </w:rPr>
              <w:t>December 31, 2022</w:t>
            </w:r>
          </w:p>
        </w:tc>
        <w:tc>
          <w:tcPr>
            <w:tcW w:w="1680" w:type="dxa"/>
            <w:vAlign w:val="bottom"/>
          </w:tcPr>
          <w:p>
            <w:pPr>
              <w:spacing w:after="0"/>
              <w:rPr>
                <w:sz w:val="21"/>
                <w:szCs w:val="21"/>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4.25 to 1.00</w:t>
            </w:r>
          </w:p>
        </w:tc>
      </w:tr>
      <w:tr>
        <w:trPr>
          <w:trHeight w:val="41"/>
        </w:trPr>
        <w:tc>
          <w:tcPr>
            <w:tcW w:w="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40" w:type="dxa"/>
            <w:vAlign w:val="bottom"/>
            <w:tcBorders>
              <w:right w:val="single" w:sz="8" w:color="auto"/>
            </w:tcBorders>
            <w:gridSpan w:val="9"/>
          </w:tcPr>
          <w:p>
            <w:pPr>
              <w:jc w:val="center"/>
              <w:ind w:right="2900"/>
              <w:spacing w:after="0"/>
              <w:rPr>
                <w:sz w:val="20"/>
                <w:szCs w:val="20"/>
                <w:color w:val="auto"/>
              </w:rPr>
            </w:pPr>
            <w:r>
              <w:rPr>
                <w:rFonts w:ascii="Times New Roman" w:cs="Times New Roman" w:eastAsia="Times New Roman" w:hAnsi="Times New Roman"/>
                <w:sz w:val="18"/>
                <w:szCs w:val="18"/>
                <w:color w:val="auto"/>
                <w:w w:val="99"/>
              </w:rPr>
              <w:t>March 31, 2023</w:t>
            </w:r>
          </w:p>
        </w:tc>
        <w:tc>
          <w:tcPr>
            <w:tcW w:w="1680" w:type="dxa"/>
            <w:vAlign w:val="bottom"/>
          </w:tcPr>
          <w:p>
            <w:pPr>
              <w:spacing w:after="0"/>
              <w:rPr>
                <w:sz w:val="21"/>
                <w:szCs w:val="21"/>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4.00 to 1.00</w:t>
            </w:r>
          </w:p>
        </w:tc>
      </w:tr>
      <w:tr>
        <w:trPr>
          <w:trHeight w:val="40"/>
        </w:trPr>
        <w:tc>
          <w:tcPr>
            <w:tcW w:w="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80" w:type="dxa"/>
            <w:vAlign w:val="bottom"/>
            <w:tcBorders>
              <w:right w:val="single" w:sz="8" w:color="auto"/>
            </w:tcBorders>
            <w:gridSpan w:val="8"/>
          </w:tcPr>
          <w:p>
            <w:pPr>
              <w:jc w:val="center"/>
              <w:ind w:right="2980"/>
              <w:spacing w:after="0"/>
              <w:rPr>
                <w:sz w:val="20"/>
                <w:szCs w:val="20"/>
                <w:color w:val="auto"/>
              </w:rPr>
            </w:pPr>
            <w:r>
              <w:rPr>
                <w:rFonts w:ascii="Times New Roman" w:cs="Times New Roman" w:eastAsia="Times New Roman" w:hAnsi="Times New Roman"/>
                <w:sz w:val="18"/>
                <w:szCs w:val="18"/>
                <w:color w:val="auto"/>
                <w:w w:val="99"/>
              </w:rPr>
              <w:t>June 30, 2023</w:t>
            </w:r>
          </w:p>
        </w:tc>
        <w:tc>
          <w:tcPr>
            <w:tcW w:w="1680" w:type="dxa"/>
            <w:vAlign w:val="bottom"/>
          </w:tcPr>
          <w:p>
            <w:pPr>
              <w:spacing w:after="0"/>
              <w:rPr>
                <w:sz w:val="21"/>
                <w:szCs w:val="21"/>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3.75 to 1.00</w:t>
            </w:r>
          </w:p>
        </w:tc>
      </w:tr>
      <w:tr>
        <w:trPr>
          <w:trHeight w:val="41"/>
        </w:trPr>
        <w:tc>
          <w:tcPr>
            <w:tcW w:w="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50"/>
        </w:trPr>
        <w:tc>
          <w:tcPr>
            <w:tcW w:w="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0" w:type="dxa"/>
            <w:vAlign w:val="bottom"/>
            <w:tcBorders>
              <w:right w:val="single" w:sz="8" w:color="auto"/>
            </w:tcBorders>
            <w:gridSpan w:val="11"/>
          </w:tcPr>
          <w:p>
            <w:pPr>
              <w:jc w:val="center"/>
              <w:ind w:right="276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1680" w:type="dxa"/>
            <w:vAlign w:val="bottom"/>
          </w:tcPr>
          <w:p>
            <w:pPr>
              <w:spacing w:after="0"/>
              <w:rPr>
                <w:sz w:val="21"/>
                <w:szCs w:val="21"/>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3.25 to 1.00</w:t>
            </w:r>
          </w:p>
        </w:tc>
      </w:tr>
      <w:tr>
        <w:trPr>
          <w:trHeight w:val="40"/>
        </w:trPr>
        <w:tc>
          <w:tcPr>
            <w:tcW w:w="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Borders>
              <w:right w:val="single" w:sz="8" w:color="auto"/>
            </w:tcBorders>
            <w:gridSpan w:val="10"/>
          </w:tcPr>
          <w:p>
            <w:pPr>
              <w:jc w:val="center"/>
              <w:ind w:right="2760"/>
              <w:spacing w:after="0"/>
              <w:rPr>
                <w:sz w:val="20"/>
                <w:szCs w:val="20"/>
                <w:color w:val="auto"/>
              </w:rPr>
            </w:pPr>
            <w:r>
              <w:rPr>
                <w:rFonts w:ascii="Times New Roman" w:cs="Times New Roman" w:eastAsia="Times New Roman" w:hAnsi="Times New Roman"/>
                <w:sz w:val="18"/>
                <w:szCs w:val="18"/>
                <w:color w:val="0000FF"/>
              </w:rPr>
              <w:t>December 31, 2023</w:t>
            </w:r>
          </w:p>
        </w:tc>
        <w:tc>
          <w:tcPr>
            <w:tcW w:w="1680" w:type="dxa"/>
            <w:vAlign w:val="bottom"/>
          </w:tcPr>
          <w:p>
            <w:pPr>
              <w:spacing w:after="0"/>
              <w:rPr>
                <w:sz w:val="18"/>
                <w:szCs w:val="18"/>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0000FF"/>
                <w:w w:val="99"/>
              </w:rPr>
              <w:t>3.00 to 1.00</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760" w:type="dxa"/>
            <w:vAlign w:val="bottom"/>
            <w:tcBorders>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r>
      <w:tr>
        <w:trPr>
          <w:trHeight w:val="21"/>
        </w:trPr>
        <w:tc>
          <w:tcPr>
            <w:tcW w:w="60" w:type="dxa"/>
            <w:vAlign w:val="bottom"/>
            <w:tcBorders>
              <w:left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Borders>
              <w:right w:val="single" w:sz="8" w:color="auto"/>
            </w:tcBorders>
            <w:gridSpan w:val="9"/>
          </w:tcPr>
          <w:p>
            <w:pPr>
              <w:jc w:val="center"/>
              <w:ind w:right="2900"/>
              <w:spacing w:after="0"/>
              <w:rPr>
                <w:sz w:val="20"/>
                <w:szCs w:val="20"/>
                <w:color w:val="auto"/>
              </w:rPr>
            </w:pPr>
            <w:r>
              <w:rPr>
                <w:rFonts w:ascii="Times New Roman" w:cs="Times New Roman" w:eastAsia="Times New Roman" w:hAnsi="Times New Roman"/>
                <w:sz w:val="18"/>
                <w:szCs w:val="18"/>
                <w:color w:val="0000FF"/>
                <w:w w:val="99"/>
              </w:rPr>
              <w:t>March 31, 2024</w:t>
            </w:r>
          </w:p>
        </w:tc>
        <w:tc>
          <w:tcPr>
            <w:tcW w:w="1680" w:type="dxa"/>
            <w:vAlign w:val="bottom"/>
          </w:tcPr>
          <w:p>
            <w:pPr>
              <w:spacing w:after="0"/>
              <w:rPr>
                <w:sz w:val="18"/>
                <w:szCs w:val="18"/>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0000FF"/>
                <w:w w:val="99"/>
              </w:rPr>
              <w:t>3.00 to 1.00</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Borders>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r>
      <w:tr>
        <w:trPr>
          <w:trHeight w:val="21"/>
        </w:trPr>
        <w:tc>
          <w:tcPr>
            <w:tcW w:w="60" w:type="dxa"/>
            <w:vAlign w:val="bottom"/>
            <w:tcBorders>
              <w:left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tcBorders>
              <w:right w:val="single" w:sz="8" w:color="auto"/>
            </w:tcBorders>
            <w:gridSpan w:val="8"/>
          </w:tcPr>
          <w:p>
            <w:pPr>
              <w:jc w:val="center"/>
              <w:ind w:right="2980"/>
              <w:spacing w:after="0"/>
              <w:rPr>
                <w:sz w:val="20"/>
                <w:szCs w:val="20"/>
                <w:color w:val="auto"/>
              </w:rPr>
            </w:pPr>
            <w:r>
              <w:rPr>
                <w:rFonts w:ascii="Times New Roman" w:cs="Times New Roman" w:eastAsia="Times New Roman" w:hAnsi="Times New Roman"/>
                <w:sz w:val="18"/>
                <w:szCs w:val="18"/>
                <w:color w:val="0000FF"/>
                <w:w w:val="99"/>
              </w:rPr>
              <w:t>June 30, 2024</w:t>
            </w:r>
          </w:p>
        </w:tc>
        <w:tc>
          <w:tcPr>
            <w:tcW w:w="1680" w:type="dxa"/>
            <w:vAlign w:val="bottom"/>
          </w:tcPr>
          <w:p>
            <w:pPr>
              <w:spacing w:after="0"/>
              <w:rPr>
                <w:sz w:val="18"/>
                <w:szCs w:val="18"/>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0000FF"/>
                <w:w w:val="99"/>
              </w:rPr>
              <w:t>3.75 to 1.00</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Borders>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r>
      <w:tr>
        <w:trPr>
          <w:trHeight w:val="21"/>
        </w:trPr>
        <w:tc>
          <w:tcPr>
            <w:tcW w:w="60" w:type="dxa"/>
            <w:vAlign w:val="bottom"/>
            <w:tcBorders>
              <w:left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0" w:type="dxa"/>
            <w:vAlign w:val="bottom"/>
            <w:tcBorders>
              <w:right w:val="single" w:sz="8" w:color="auto"/>
            </w:tcBorders>
            <w:gridSpan w:val="11"/>
          </w:tcPr>
          <w:p>
            <w:pPr>
              <w:jc w:val="center"/>
              <w:ind w:right="2760"/>
              <w:spacing w:after="0"/>
              <w:rPr>
                <w:sz w:val="20"/>
                <w:szCs w:val="20"/>
                <w:color w:val="auto"/>
              </w:rPr>
            </w:pPr>
            <w:r>
              <w:rPr>
                <w:rFonts w:ascii="Times New Roman" w:cs="Times New Roman" w:eastAsia="Times New Roman" w:hAnsi="Times New Roman"/>
                <w:sz w:val="18"/>
                <w:szCs w:val="18"/>
                <w:color w:val="0000FF"/>
                <w:w w:val="99"/>
              </w:rPr>
              <w:t>September 30, 2024</w:t>
            </w:r>
          </w:p>
        </w:tc>
        <w:tc>
          <w:tcPr>
            <w:tcW w:w="1680" w:type="dxa"/>
            <w:vAlign w:val="bottom"/>
          </w:tcPr>
          <w:p>
            <w:pPr>
              <w:spacing w:after="0"/>
              <w:rPr>
                <w:sz w:val="18"/>
                <w:szCs w:val="18"/>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0000FF"/>
                <w:w w:val="99"/>
              </w:rPr>
              <w:t>4.50 to 1.00</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760" w:type="dxa"/>
            <w:vAlign w:val="bottom"/>
            <w:tcBorders>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r>
      <w:tr>
        <w:trPr>
          <w:trHeight w:val="21"/>
        </w:trPr>
        <w:tc>
          <w:tcPr>
            <w:tcW w:w="60" w:type="dxa"/>
            <w:vAlign w:val="bottom"/>
            <w:tcBorders>
              <w:left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Borders>
              <w:right w:val="single" w:sz="8" w:color="auto"/>
            </w:tcBorders>
            <w:gridSpan w:val="10"/>
          </w:tcPr>
          <w:p>
            <w:pPr>
              <w:jc w:val="center"/>
              <w:ind w:right="2760"/>
              <w:spacing w:after="0"/>
              <w:rPr>
                <w:sz w:val="20"/>
                <w:szCs w:val="20"/>
                <w:color w:val="auto"/>
              </w:rPr>
            </w:pPr>
            <w:r>
              <w:rPr>
                <w:rFonts w:ascii="Times New Roman" w:cs="Times New Roman" w:eastAsia="Times New Roman" w:hAnsi="Times New Roman"/>
                <w:sz w:val="18"/>
                <w:szCs w:val="18"/>
                <w:color w:val="0000FF"/>
              </w:rPr>
              <w:t>December 31, 2024</w:t>
            </w:r>
          </w:p>
        </w:tc>
        <w:tc>
          <w:tcPr>
            <w:tcW w:w="1680" w:type="dxa"/>
            <w:vAlign w:val="bottom"/>
          </w:tcPr>
          <w:p>
            <w:pPr>
              <w:spacing w:after="0"/>
              <w:rPr>
                <w:sz w:val="18"/>
                <w:szCs w:val="18"/>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0000FF"/>
                <w:w w:val="99"/>
              </w:rPr>
              <w:t>4.00 to 1.00</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760" w:type="dxa"/>
            <w:vAlign w:val="bottom"/>
            <w:tcBorders>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r>
      <w:tr>
        <w:trPr>
          <w:trHeight w:val="21"/>
        </w:trPr>
        <w:tc>
          <w:tcPr>
            <w:tcW w:w="60" w:type="dxa"/>
            <w:vAlign w:val="bottom"/>
            <w:tcBorders>
              <w:left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2640" w:type="dxa"/>
            <w:vAlign w:val="bottom"/>
          </w:tcPr>
          <w:p>
            <w:pPr>
              <w:ind w:left="1900"/>
              <w:spacing w:after="0"/>
              <w:rPr>
                <w:sz w:val="20"/>
                <w:szCs w:val="20"/>
                <w:color w:val="auto"/>
              </w:rPr>
            </w:pPr>
            <w:r>
              <w:rPr>
                <w:rFonts w:ascii="Times New Roman" w:cs="Times New Roman" w:eastAsia="Times New Roman" w:hAnsi="Times New Roman"/>
                <w:sz w:val="18"/>
                <w:szCs w:val="18"/>
                <w:color w:val="FF0000"/>
                <w:strike w:val="1"/>
                <w:w w:val="97"/>
              </w:rPr>
              <w:t>December</w:t>
            </w:r>
          </w:p>
        </w:tc>
        <w:tc>
          <w:tcPr>
            <w:tcW w:w="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 xml:space="preserve">March </w:t>
            </w:r>
            <w:r>
              <w:rPr>
                <w:rFonts w:ascii="Times New Roman" w:cs="Times New Roman" w:eastAsia="Times New Roman" w:hAnsi="Times New Roman"/>
                <w:sz w:val="18"/>
                <w:szCs w:val="18"/>
                <w:color w:val="000000"/>
              </w:rPr>
              <w:t>31,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4"/>
              </w:rPr>
              <w:t>2023</w:t>
            </w:r>
          </w:p>
        </w:tc>
        <w:tc>
          <w:tcPr>
            <w:tcW w:w="32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FF"/>
              </w:rPr>
              <w:t xml:space="preserve">2025 </w:t>
            </w:r>
            <w:r>
              <w:rPr>
                <w:rFonts w:ascii="Times New Roman" w:cs="Times New Roman" w:eastAsia="Times New Roman" w:hAnsi="Times New Roman"/>
                <w:sz w:val="18"/>
                <w:szCs w:val="18"/>
                <w:color w:val="000000"/>
              </w:rPr>
              <w:t>and thereafter</w:t>
            </w:r>
          </w:p>
        </w:tc>
        <w:tc>
          <w:tcPr>
            <w:tcW w:w="1680" w:type="dxa"/>
            <w:vAlign w:val="bottom"/>
          </w:tcPr>
          <w:p>
            <w:pPr>
              <w:spacing w:after="0"/>
              <w:rPr>
                <w:sz w:val="18"/>
                <w:szCs w:val="18"/>
                <w:color w:val="auto"/>
              </w:rPr>
            </w:pPr>
          </w:p>
        </w:tc>
        <w:tc>
          <w:tcPr>
            <w:tcW w:w="2480" w:type="dxa"/>
            <w:vAlign w:val="bottom"/>
            <w:tcBorders>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3.00 to 1.00</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Borders>
              <w:righ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r>
      <w:tr>
        <w:trPr>
          <w:trHeight w:val="45"/>
        </w:trPr>
        <w:tc>
          <w:tcPr>
            <w:tcW w:w="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bl>
    <w:p>
      <w:pPr>
        <w:spacing w:after="0" w:line="194" w:lineRule="exact"/>
        <w:rPr>
          <w:sz w:val="20"/>
          <w:szCs w:val="20"/>
          <w:color w:val="auto"/>
        </w:rPr>
      </w:pPr>
    </w:p>
    <w:p>
      <w:pPr>
        <w:jc w:val="both"/>
        <w:ind w:firstLine="1304"/>
        <w:spacing w:after="0" w:line="266" w:lineRule="auto"/>
        <w:tabs>
          <w:tab w:leader="none" w:pos="187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xml:space="preserve">. The Borrower will not permit the Consolidated Fixed Charge Coverage Ratio as of the end of any fiscal quarter </w:t>
      </w:r>
      <w:r>
        <w:rPr>
          <w:rFonts w:ascii="Times New Roman" w:cs="Times New Roman" w:eastAsia="Times New Roman" w:hAnsi="Times New Roman"/>
          <w:sz w:val="18"/>
          <w:szCs w:val="18"/>
          <w:u w:val="single" w:color="auto"/>
          <w:color w:val="0000FF"/>
        </w:rPr>
        <w:t>during any period set forth in the following table</w:t>
      </w:r>
      <w:r>
        <w:rPr>
          <w:rFonts w:ascii="Times New Roman" w:cs="Times New Roman" w:eastAsia="Times New Roman" w:hAnsi="Times New Roman"/>
          <w:sz w:val="18"/>
          <w:szCs w:val="18"/>
          <w:color w:val="auto"/>
        </w:rPr>
        <w:t xml:space="preserve"> to be less than </w:t>
      </w:r>
      <w:r>
        <w:rPr>
          <w:rFonts w:ascii="Times New Roman" w:cs="Times New Roman" w:eastAsia="Times New Roman" w:hAnsi="Times New Roman"/>
          <w:sz w:val="18"/>
          <w:szCs w:val="18"/>
          <w:color w:val="FF0000"/>
          <w:strike w:val="1"/>
        </w:rPr>
        <w:t>1.25 to 1.00.</w:t>
      </w:r>
      <w:r>
        <w:rPr>
          <w:rFonts w:ascii="Times New Roman" w:cs="Times New Roman" w:eastAsia="Times New Roman" w:hAnsi="Times New Roman"/>
          <w:sz w:val="18"/>
          <w:szCs w:val="18"/>
          <w:u w:val="single" w:color="auto"/>
          <w:color w:val="0000FF"/>
        </w:rPr>
        <w:t>the ratio set forth therein with respect to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period:</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60" w:type="dxa"/>
            <w:vAlign w:val="bottom"/>
            <w:tcBorders>
              <w:top w:val="single" w:sz="8" w:color="auto"/>
              <w:left w:val="single" w:sz="8" w:color="auto"/>
              <w:right w:val="single" w:sz="8" w:color="auto"/>
            </w:tcBorders>
          </w:tcPr>
          <w:p>
            <w:pPr>
              <w:spacing w:after="0"/>
              <w:rPr>
                <w:sz w:val="24"/>
                <w:szCs w:val="24"/>
                <w:color w:val="auto"/>
              </w:rPr>
            </w:pPr>
          </w:p>
        </w:tc>
        <w:tc>
          <w:tcPr>
            <w:tcW w:w="1940" w:type="dxa"/>
            <w:vAlign w:val="bottom"/>
            <w:tcBorders>
              <w:top w:val="single" w:sz="8" w:color="auto"/>
              <w:bottom w:val="single" w:sz="8" w:color="auto"/>
            </w:tcBorders>
            <w:shd w:val="clear" w:color="auto" w:fill="CCCCCC"/>
          </w:tcPr>
          <w:p>
            <w:pPr>
              <w:spacing w:after="0"/>
              <w:rPr>
                <w:sz w:val="24"/>
                <w:szCs w:val="24"/>
                <w:color w:val="auto"/>
              </w:rPr>
            </w:pPr>
          </w:p>
        </w:tc>
        <w:tc>
          <w:tcPr>
            <w:tcW w:w="520" w:type="dxa"/>
            <w:vAlign w:val="bottom"/>
            <w:tcBorders>
              <w:top w:val="single" w:sz="8" w:color="auto"/>
              <w:bottom w:val="single" w:sz="8" w:color="auto"/>
            </w:tcBorders>
            <w:shd w:val="clear" w:color="auto" w:fill="CCCCCC"/>
          </w:tcPr>
          <w:p>
            <w:pPr>
              <w:spacing w:after="0"/>
              <w:rPr>
                <w:sz w:val="24"/>
                <w:szCs w:val="24"/>
                <w:color w:val="auto"/>
              </w:rPr>
            </w:pPr>
          </w:p>
        </w:tc>
        <w:tc>
          <w:tcPr>
            <w:tcW w:w="240" w:type="dxa"/>
            <w:vAlign w:val="bottom"/>
            <w:tcBorders>
              <w:top w:val="single" w:sz="8" w:color="auto"/>
              <w:bottom w:val="single" w:sz="8" w:color="auto"/>
            </w:tcBorders>
            <w:shd w:val="clear" w:color="auto" w:fill="CCCCCC"/>
          </w:tcPr>
          <w:p>
            <w:pPr>
              <w:spacing w:after="0"/>
              <w:rPr>
                <w:sz w:val="24"/>
                <w:szCs w:val="24"/>
                <w:color w:val="auto"/>
              </w:rPr>
            </w:pPr>
          </w:p>
        </w:tc>
        <w:tc>
          <w:tcPr>
            <w:tcW w:w="4320" w:type="dxa"/>
            <w:vAlign w:val="bottom"/>
            <w:tcBorders>
              <w:top w:val="single" w:sz="8" w:color="auto"/>
              <w:bottom w:val="single" w:sz="8" w:color="auto"/>
              <w:right w:val="single" w:sz="8" w:color="auto"/>
            </w:tcBorders>
            <w:gridSpan w:val="9"/>
            <w:shd w:val="clear" w:color="auto" w:fill="CCCCCC"/>
          </w:tcPr>
          <w:p>
            <w:pPr>
              <w:jc w:val="center"/>
              <w:ind w:right="2640"/>
              <w:spacing w:after="0"/>
              <w:rPr>
                <w:sz w:val="20"/>
                <w:szCs w:val="20"/>
                <w:color w:val="auto"/>
              </w:rPr>
            </w:pPr>
            <w:r>
              <w:rPr>
                <w:rFonts w:ascii="Times New Roman" w:cs="Times New Roman" w:eastAsia="Times New Roman" w:hAnsi="Times New Roman"/>
                <w:sz w:val="18"/>
                <w:szCs w:val="18"/>
                <w:b w:val="1"/>
                <w:bCs w:val="1"/>
                <w:color w:val="0000FF"/>
              </w:rPr>
              <w:t>Fiscal Quarter Ended</w:t>
            </w:r>
          </w:p>
        </w:tc>
        <w:tc>
          <w:tcPr>
            <w:tcW w:w="440" w:type="dxa"/>
            <w:vAlign w:val="bottom"/>
            <w:tcBorders>
              <w:top w:val="single" w:sz="8" w:color="auto"/>
              <w:bottom w:val="single" w:sz="8" w:color="auto"/>
            </w:tcBorders>
            <w:shd w:val="clear" w:color="auto" w:fill="CCCCCC"/>
          </w:tcPr>
          <w:p>
            <w:pPr>
              <w:spacing w:after="0"/>
              <w:rPr>
                <w:sz w:val="24"/>
                <w:szCs w:val="24"/>
                <w:color w:val="auto"/>
              </w:rPr>
            </w:pPr>
          </w:p>
        </w:tc>
        <w:tc>
          <w:tcPr>
            <w:tcW w:w="3720" w:type="dxa"/>
            <w:vAlign w:val="bottom"/>
            <w:tcBorders>
              <w:top w:val="single" w:sz="8" w:color="auto"/>
              <w:bottom w:val="single" w:sz="8" w:color="auto"/>
              <w:right w:val="single" w:sz="8" w:color="auto"/>
            </w:tcBorders>
            <w:gridSpan w:val="4"/>
            <w:shd w:val="clear" w:color="auto" w:fill="CCCCCC"/>
          </w:tcPr>
          <w:p>
            <w:pPr>
              <w:jc w:val="center"/>
              <w:ind w:right="380"/>
              <w:spacing w:after="0"/>
              <w:rPr>
                <w:sz w:val="20"/>
                <w:szCs w:val="20"/>
                <w:color w:val="auto"/>
              </w:rPr>
            </w:pPr>
            <w:r>
              <w:rPr>
                <w:rFonts w:ascii="Times New Roman" w:cs="Times New Roman" w:eastAsia="Times New Roman" w:hAnsi="Times New Roman"/>
                <w:sz w:val="18"/>
                <w:szCs w:val="18"/>
                <w:b w:val="1"/>
                <w:bCs w:val="1"/>
                <w:color w:val="0000FF"/>
                <w:w w:val="99"/>
              </w:rPr>
              <w:t>Consolidated Fixed Charge Coverage Ratio</w:t>
            </w: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7020" w:type="dxa"/>
            <w:vAlign w:val="bottom"/>
            <w:tcBorders>
              <w:right w:val="single" w:sz="8" w:color="auto"/>
            </w:tcBorders>
            <w:gridSpan w:val="12"/>
          </w:tcPr>
          <w:p>
            <w:pPr>
              <w:jc w:val="center"/>
              <w:spacing w:after="0"/>
              <w:rPr>
                <w:sz w:val="20"/>
                <w:szCs w:val="20"/>
                <w:color w:val="auto"/>
              </w:rPr>
            </w:pPr>
            <w:r>
              <w:rPr>
                <w:rFonts w:ascii="Times New Roman" w:cs="Times New Roman" w:eastAsia="Times New Roman" w:hAnsi="Times New Roman"/>
                <w:sz w:val="18"/>
                <w:szCs w:val="18"/>
                <w:color w:val="0000FF"/>
                <w:w w:val="99"/>
              </w:rPr>
              <w:t>December 31, 2020 through March 31, 2024</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80" w:type="dxa"/>
            <w:vAlign w:val="bottom"/>
            <w:tcBorders>
              <w:right w:val="single" w:sz="8" w:color="auto"/>
            </w:tcBorders>
            <w:gridSpan w:val="3"/>
          </w:tcPr>
          <w:p>
            <w:pPr>
              <w:jc w:val="center"/>
              <w:ind w:right="1620"/>
              <w:spacing w:after="0"/>
              <w:rPr>
                <w:sz w:val="20"/>
                <w:szCs w:val="20"/>
                <w:color w:val="auto"/>
              </w:rPr>
            </w:pPr>
            <w:r>
              <w:rPr>
                <w:rFonts w:ascii="Times New Roman" w:cs="Times New Roman" w:eastAsia="Times New Roman" w:hAnsi="Times New Roman"/>
                <w:sz w:val="18"/>
                <w:szCs w:val="18"/>
                <w:color w:val="0000FF"/>
                <w:w w:val="99"/>
              </w:rPr>
              <w:t>1.25 to 1.00</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00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Borders>
              <w:top w:val="single" w:sz="8" w:color="0000FF"/>
              <w:bottom w:val="single" w:sz="8" w:color="0000FF"/>
            </w:tcBorders>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r>
      <w:tr>
        <w:trPr>
          <w:trHeight w:val="21"/>
        </w:trPr>
        <w:tc>
          <w:tcPr>
            <w:tcW w:w="60" w:type="dxa"/>
            <w:vAlign w:val="bottom"/>
            <w:tcBorders>
              <w:left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1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tcBorders>
              <w:right w:val="single" w:sz="8" w:color="auto"/>
            </w:tcBorders>
            <w:gridSpan w:val="6"/>
          </w:tcPr>
          <w:p>
            <w:pPr>
              <w:jc w:val="center"/>
              <w:ind w:right="2980"/>
              <w:spacing w:after="0"/>
              <w:rPr>
                <w:sz w:val="20"/>
                <w:szCs w:val="20"/>
                <w:color w:val="auto"/>
              </w:rPr>
            </w:pPr>
            <w:r>
              <w:rPr>
                <w:rFonts w:ascii="Times New Roman" w:cs="Times New Roman" w:eastAsia="Times New Roman" w:hAnsi="Times New Roman"/>
                <w:sz w:val="18"/>
                <w:szCs w:val="18"/>
                <w:color w:val="0000FF"/>
                <w:w w:val="99"/>
              </w:rPr>
              <w:t>June 30, 2024</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80" w:type="dxa"/>
            <w:vAlign w:val="bottom"/>
            <w:tcBorders>
              <w:right w:val="single" w:sz="8" w:color="auto"/>
            </w:tcBorders>
            <w:gridSpan w:val="3"/>
          </w:tcPr>
          <w:p>
            <w:pPr>
              <w:jc w:val="center"/>
              <w:ind w:right="1620"/>
              <w:spacing w:after="0"/>
              <w:rPr>
                <w:sz w:val="20"/>
                <w:szCs w:val="20"/>
                <w:color w:val="auto"/>
              </w:rPr>
            </w:pPr>
            <w:r>
              <w:rPr>
                <w:rFonts w:ascii="Times New Roman" w:cs="Times New Roman" w:eastAsia="Times New Roman" w:hAnsi="Times New Roman"/>
                <w:sz w:val="18"/>
                <w:szCs w:val="18"/>
                <w:color w:val="0000FF"/>
                <w:w w:val="99"/>
              </w:rPr>
              <w:t>0.95 to 1.00</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r>
      <w:tr>
        <w:trPr>
          <w:trHeight w:val="21"/>
        </w:trPr>
        <w:tc>
          <w:tcPr>
            <w:tcW w:w="60" w:type="dxa"/>
            <w:vAlign w:val="bottom"/>
            <w:tcBorders>
              <w:left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1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gridSpan w:val="8"/>
          </w:tcPr>
          <w:p>
            <w:pPr>
              <w:jc w:val="center"/>
              <w:ind w:right="2760"/>
              <w:spacing w:after="0"/>
              <w:rPr>
                <w:sz w:val="20"/>
                <w:szCs w:val="20"/>
                <w:color w:val="auto"/>
              </w:rPr>
            </w:pPr>
            <w:r>
              <w:rPr>
                <w:rFonts w:ascii="Times New Roman" w:cs="Times New Roman" w:eastAsia="Times New Roman" w:hAnsi="Times New Roman"/>
                <w:sz w:val="18"/>
                <w:szCs w:val="18"/>
                <w:color w:val="0000FF"/>
                <w:w w:val="99"/>
              </w:rPr>
              <w:t>September 30, 2024</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80" w:type="dxa"/>
            <w:vAlign w:val="bottom"/>
            <w:tcBorders>
              <w:right w:val="single" w:sz="8" w:color="auto"/>
            </w:tcBorders>
            <w:gridSpan w:val="3"/>
          </w:tcPr>
          <w:p>
            <w:pPr>
              <w:jc w:val="center"/>
              <w:ind w:right="1620"/>
              <w:spacing w:after="0"/>
              <w:rPr>
                <w:sz w:val="20"/>
                <w:szCs w:val="20"/>
                <w:color w:val="auto"/>
              </w:rPr>
            </w:pPr>
            <w:r>
              <w:rPr>
                <w:rFonts w:ascii="Times New Roman" w:cs="Times New Roman" w:eastAsia="Times New Roman" w:hAnsi="Times New Roman"/>
                <w:sz w:val="18"/>
                <w:szCs w:val="18"/>
                <w:color w:val="0000FF"/>
                <w:w w:val="99"/>
              </w:rPr>
              <w:t>0.70 to 1.00</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00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r>
      <w:tr>
        <w:trPr>
          <w:trHeight w:val="21"/>
        </w:trPr>
        <w:tc>
          <w:tcPr>
            <w:tcW w:w="60" w:type="dxa"/>
            <w:vAlign w:val="bottom"/>
            <w:tcBorders>
              <w:left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1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Borders>
              <w:right w:val="single" w:sz="8" w:color="auto"/>
            </w:tcBorders>
            <w:gridSpan w:val="7"/>
          </w:tcPr>
          <w:p>
            <w:pPr>
              <w:jc w:val="center"/>
              <w:ind w:right="2760"/>
              <w:spacing w:after="0"/>
              <w:rPr>
                <w:sz w:val="20"/>
                <w:szCs w:val="20"/>
                <w:color w:val="auto"/>
              </w:rPr>
            </w:pPr>
            <w:r>
              <w:rPr>
                <w:rFonts w:ascii="Times New Roman" w:cs="Times New Roman" w:eastAsia="Times New Roman" w:hAnsi="Times New Roman"/>
                <w:sz w:val="18"/>
                <w:szCs w:val="18"/>
                <w:color w:val="0000FF"/>
              </w:rPr>
              <w:t>December 31, 2024</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80" w:type="dxa"/>
            <w:vAlign w:val="bottom"/>
            <w:tcBorders>
              <w:right w:val="single" w:sz="8" w:color="auto"/>
            </w:tcBorders>
            <w:gridSpan w:val="3"/>
          </w:tcPr>
          <w:p>
            <w:pPr>
              <w:jc w:val="center"/>
              <w:ind w:right="1620"/>
              <w:spacing w:after="0"/>
              <w:rPr>
                <w:sz w:val="20"/>
                <w:szCs w:val="20"/>
                <w:color w:val="auto"/>
              </w:rPr>
            </w:pPr>
            <w:r>
              <w:rPr>
                <w:rFonts w:ascii="Times New Roman" w:cs="Times New Roman" w:eastAsia="Times New Roman" w:hAnsi="Times New Roman"/>
                <w:sz w:val="18"/>
                <w:szCs w:val="18"/>
                <w:color w:val="0000FF"/>
                <w:w w:val="99"/>
              </w:rPr>
              <w:t>0.70 to 1.00</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00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r>
      <w:tr>
        <w:trPr>
          <w:trHeight w:val="21"/>
        </w:trPr>
        <w:tc>
          <w:tcPr>
            <w:tcW w:w="60" w:type="dxa"/>
            <w:vAlign w:val="bottom"/>
            <w:tcBorders>
              <w:left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60" w:type="dxa"/>
            <w:vAlign w:val="bottom"/>
            <w:tcBorders>
              <w:left w:val="single" w:sz="8" w:color="auto"/>
              <w:right w:val="single" w:sz="8" w:color="auto"/>
            </w:tcBorders>
          </w:tcPr>
          <w:p>
            <w:pPr>
              <w:spacing w:after="0"/>
              <w:rPr>
                <w:sz w:val="18"/>
                <w:szCs w:val="18"/>
                <w:color w:val="auto"/>
              </w:rPr>
            </w:pPr>
          </w:p>
        </w:tc>
        <w:tc>
          <w:tcPr>
            <w:tcW w:w="1940" w:type="dxa"/>
            <w:vAlign w:val="bottom"/>
          </w:tcPr>
          <w:p>
            <w:pPr>
              <w:spacing w:after="0"/>
              <w:rPr>
                <w:sz w:val="18"/>
                <w:szCs w:val="18"/>
                <w:color w:val="auto"/>
              </w:rPr>
            </w:pPr>
          </w:p>
        </w:tc>
        <w:tc>
          <w:tcPr>
            <w:tcW w:w="5080" w:type="dxa"/>
            <w:vAlign w:val="bottom"/>
            <w:tcBorders>
              <w:right w:val="single" w:sz="8" w:color="auto"/>
            </w:tcBorders>
            <w:gridSpan w:val="11"/>
          </w:tcPr>
          <w:p>
            <w:pPr>
              <w:jc w:val="center"/>
              <w:ind w:right="1860"/>
              <w:spacing w:after="0"/>
              <w:rPr>
                <w:sz w:val="20"/>
                <w:szCs w:val="20"/>
                <w:color w:val="auto"/>
              </w:rPr>
            </w:pPr>
            <w:r>
              <w:rPr>
                <w:rFonts w:ascii="Times New Roman" w:cs="Times New Roman" w:eastAsia="Times New Roman" w:hAnsi="Times New Roman"/>
                <w:sz w:val="18"/>
                <w:szCs w:val="18"/>
                <w:color w:val="0000FF"/>
                <w:w w:val="99"/>
              </w:rPr>
              <w:t>March 31, 2025 and thereafter</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80" w:type="dxa"/>
            <w:vAlign w:val="bottom"/>
            <w:tcBorders>
              <w:right w:val="single" w:sz="8" w:color="auto"/>
            </w:tcBorders>
            <w:gridSpan w:val="3"/>
          </w:tcPr>
          <w:p>
            <w:pPr>
              <w:jc w:val="center"/>
              <w:ind w:right="1620"/>
              <w:spacing w:after="0"/>
              <w:rPr>
                <w:sz w:val="20"/>
                <w:szCs w:val="20"/>
                <w:color w:val="auto"/>
              </w:rPr>
            </w:pPr>
            <w:r>
              <w:rPr>
                <w:rFonts w:ascii="Times New Roman" w:cs="Times New Roman" w:eastAsia="Times New Roman" w:hAnsi="Times New Roman"/>
                <w:sz w:val="18"/>
                <w:szCs w:val="18"/>
                <w:color w:val="0000FF"/>
                <w:w w:val="99"/>
              </w:rPr>
              <w:t>1.25 to 1.00</w:t>
            </w: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100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r>
      <w:tr>
        <w:trPr>
          <w:trHeight w:val="45"/>
        </w:trPr>
        <w:tc>
          <w:tcPr>
            <w:tcW w:w="60" w:type="dxa"/>
            <w:vAlign w:val="bottom"/>
            <w:tcBorders>
              <w:left w:val="single" w:sz="8" w:color="auto"/>
              <w:bottom w:val="single" w:sz="8" w:color="auto"/>
              <w:right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r>
    </w:tbl>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Payments on Subordinated Debt</w:t>
      </w:r>
      <w:r>
        <w:rPr>
          <w:rFonts w:ascii="Times New Roman" w:cs="Times New Roman" w:eastAsia="Times New Roman" w:hAnsi="Times New Roman"/>
          <w:sz w:val="18"/>
          <w:szCs w:val="18"/>
          <w:color w:val="auto"/>
        </w:rPr>
        <w:t>. The Borrower will not, and will not permit any of its Subsidiaries to, declare or make, or agree to pay for or make, directly or indirectly, any payment of principal or interest or any purchase, redemption, retirement, acquisition or defeasance with respect to any Indebtedness of such Person which is subordinated to the payment of the Loan Document Obligations except that so long as no Default shall have occurred and shall be continuing or would immediately result therefrom, the Borrower or any Subsidiary may make payments of Subordinated Debt to the extent permitted by the subordination provisions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7" w:name="page148"/>
    <w:bookmarkEnd w:id="14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Government Regulation</w:t>
      </w:r>
      <w:r>
        <w:rPr>
          <w:rFonts w:ascii="Times New Roman" w:cs="Times New Roman" w:eastAsia="Times New Roman" w:hAnsi="Times New Roman"/>
          <w:sz w:val="18"/>
          <w:szCs w:val="18"/>
          <w:color w:val="auto"/>
        </w:rPr>
        <w:t>. The Borrower will not, and will not permit any of its Subsidiaries to, (a) at any time be or become the subject of any law, regulation, or list of any government agency (including the United States Office of Foreign Asset Control list) that prohibits or limits any Lender from making any loans or extension of credit (including the Loans and the Letters of Credit) to any Loan Party or from otherwise conducting business with any Loan Party, or (b) fail to provide documentary and other evidence of any Loan Party’s identity as may be requested by any Credit Party at any time to enable such Credit Party to verify any Loan Party’s identity or to comply with any applicable law or regulation, including Section 326 of the USA PATRIOT Act.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The Borrower will not, and will not permit any of its Subsidiaries to, cause or permit a Release or threat of Release of Hazardous Materials on, at, in, above, to, from or about any of the property where such Release or threat of Release would (a) violate, or form the basis for any Environmental Claims under, any Environmental Law or any Environmental Permit or (b) otherwise adversely impact the value or marketability of any property of any Loan Party or any of its Subsidiaries or any of the Collateral, other than such Release, violation or Environmental Claim as would not reasonably be expected to result in a material Environmental Liability.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Any of the following shall constitute an Event of Default:</w:t>
      </w:r>
    </w:p>
    <w:p>
      <w:pPr>
        <w:spacing w:after="0" w:line="225" w:lineRule="exact"/>
        <w:rPr>
          <w:sz w:val="20"/>
          <w:szCs w:val="20"/>
          <w:color w:val="auto"/>
        </w:rPr>
      </w:pPr>
    </w:p>
    <w:p>
      <w:pPr>
        <w:jc w:val="both"/>
        <w:ind w:firstLine="1304"/>
        <w:spacing w:after="0" w:line="266" w:lineRule="auto"/>
        <w:tabs>
          <w:tab w:leader="none" w:pos="181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 of Principal or L/C Disbursement</w:t>
      </w:r>
      <w:r>
        <w:rPr>
          <w:rFonts w:ascii="Times New Roman" w:cs="Times New Roman" w:eastAsia="Times New Roman" w:hAnsi="Times New Roman"/>
          <w:sz w:val="18"/>
          <w:szCs w:val="18"/>
          <w:color w:val="auto"/>
        </w:rPr>
        <w:t>. 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Non-Payment</w:t>
      </w:r>
      <w:r>
        <w:rPr>
          <w:rFonts w:ascii="Times New Roman" w:cs="Times New Roman" w:eastAsia="Times New Roman" w:hAnsi="Times New Roman"/>
          <w:sz w:val="18"/>
          <w:szCs w:val="18"/>
          <w:color w:val="auto"/>
        </w:rPr>
        <w:t>. Any Loan Party shall fail to pay any interest on any Loan or on any reimbursement obligation in respect of any L/C Disbursement or any fee, commission or any other amount (other than an amount referred to in clause (a) of this Section) payable under any Loan Document, when and as the same shall become due and payable, and such failure shall continue unremedied for a period of three Business Days.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5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or warranty made or deemed made by or on behalf of any Loan Party or any of its Subsidiaries in or in connection with any Loan Document or any amendment or modification 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Any Loan Party shall fail to observe or perform any covenant, condition or agreement contained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6.14</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or any Loan Party shall fail to observe or perform any covenant, condition or agreement contained in the Guarantee Agreement or any Collateral Document to which it is a party.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 Any Loan Party shall fail to observe or perform any covenant, condition or agreement contained in any Loan Document to which it is a party (other than those specified in clause (a), (b) or (d) of this Article), and such failure shall continue unremedied for a period of 30 days after the occurrence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8" w:name="page149"/>
    <w:bookmarkEnd w:id="148"/>
    <w:p>
      <w:pPr>
        <w:jc w:val="both"/>
        <w:ind w:left="-8" w:firstLine="1304"/>
        <w:spacing w:after="0" w:line="266" w:lineRule="auto"/>
        <w:tabs>
          <w:tab w:leader="none" w:pos="1809"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 Default - Payment Default on Material Indebtedness</w:t>
      </w:r>
      <w:r>
        <w:rPr>
          <w:rFonts w:ascii="Times New Roman" w:cs="Times New Roman" w:eastAsia="Times New Roman" w:hAnsi="Times New Roman"/>
          <w:sz w:val="18"/>
          <w:szCs w:val="18"/>
          <w:color w:val="auto"/>
        </w:rPr>
        <w:t>. Any Loan Party shall fail to make any payment (whether of principal, interest or otherwise and regardless of amount) in respect of any Material Indebtedness when and as the same shall become due and payable (after giving effect to any applicable grace period).</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1975"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Cross-Defaults</w:t>
      </w:r>
      <w:r>
        <w:rPr>
          <w:rFonts w:ascii="Times New Roman" w:cs="Times New Roman" w:eastAsia="Times New Roman" w:hAnsi="Times New Roman"/>
          <w:sz w:val="18"/>
          <w:szCs w:val="18"/>
          <w:color w:val="auto"/>
        </w:rPr>
        <w:t xml:space="preserve">. (i) Any event or condition occurs that results in any Material Indebtedness becoming due prior to its scheduled maturity or payment date, or that enables or permits (with or without the giving of notice, the lapse of time or both) the holder or holders of any Material Indebtedness or any trustee or agent on its or their behalf to cause any Material Indebtedness to become due prior to their scheduled maturity or payment date or to require the prepayment, repurchase, redemption or defeasance thereof prior to their scheduled maturity or payment date (in each case after giving effect to any applicable notice and any applicable cure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secured Indebtedness that becomes due solely as a result of the voluntary sale, transfer or other disposition of the property or assets securing such Indebtedness; or (ii) any Loan Party or any of its Subsidiaries shall breach or default on any payment obligation constituting a Swap Agreement Obligation.</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193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Proceedings</w:t>
      </w:r>
      <w:r>
        <w:rPr>
          <w:rFonts w:ascii="Times New Roman" w:cs="Times New Roman" w:eastAsia="Times New Roman" w:hAnsi="Times New Roman"/>
          <w:sz w:val="18"/>
          <w:szCs w:val="18"/>
          <w:color w:val="auto"/>
        </w:rPr>
        <w:t>. An involuntary proceeding shall be commenced or an involuntary petition shall be filed seeking (i) liquidation, reorganization or other relief in respect of any Loan Party or any of its Subsidiaries or its debts, or of a substantial part of its assets, under any Debtor Relief Law now or hereafter in effect or (ii) the appointment of a receiver, trustee, custodian, sequestrator, conservator or similar official for any Loan Party or any of its Subsidiaries or for a substantial part of its assets, and, in any such case, such proceeding or petition shall continue undismissed for 60 days or an order or decree approving or ordering any of the foregoing shall be entered.</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55" w:lineRule="auto"/>
        <w:tabs>
          <w:tab w:leader="none" w:pos="192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Proceedings</w:t>
      </w:r>
      <w:r>
        <w:rPr>
          <w:rFonts w:ascii="Times New Roman" w:cs="Times New Roman" w:eastAsia="Times New Roman" w:hAnsi="Times New Roman"/>
          <w:sz w:val="18"/>
          <w:szCs w:val="18"/>
          <w:color w:val="auto"/>
        </w:rPr>
        <w:t>. Any Loan Party or any of its Subsidiaries shall (i) voluntarily commence any proceeding or file any petition seeking liquidation, reorganization or other relief under any Debtor Relief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any Loan Party or any of its Subsidiaries or for a substantial part of its assets,</w:t>
      </w:r>
    </w:p>
    <w:p>
      <w:pPr>
        <w:spacing w:after="0" w:line="2" w:lineRule="exact"/>
        <w:rPr>
          <w:rFonts w:ascii="Times New Roman" w:cs="Times New Roman" w:eastAsia="Times New Roman" w:hAnsi="Times New Roman"/>
          <w:sz w:val="18"/>
          <w:szCs w:val="18"/>
          <w:color w:val="auto"/>
        </w:rPr>
      </w:pPr>
    </w:p>
    <w:p>
      <w:pPr>
        <w:ind w:left="-8" w:right="20" w:firstLine="8"/>
        <w:spacing w:after="0" w:line="260" w:lineRule="auto"/>
        <w:tabs>
          <w:tab w:leader="none" w:pos="30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 answer admitting the material allegations of a petition filed against it in any such proceeding, (v) make a general assignment for the benefit of creditors or (vi) take any action for the purpose of effecting any of the foregoing.</w:t>
      </w:r>
    </w:p>
    <w:p>
      <w:pPr>
        <w:spacing w:after="0" w:line="181" w:lineRule="exact"/>
        <w:rPr>
          <w:rFonts w:ascii="Times New Roman" w:cs="Times New Roman" w:eastAsia="Times New Roman" w:hAnsi="Times New Roman"/>
          <w:sz w:val="18"/>
          <w:szCs w:val="18"/>
          <w:color w:val="auto"/>
        </w:rPr>
      </w:pPr>
    </w:p>
    <w:p>
      <w:pPr>
        <w:ind w:left="-8" w:right="20" w:firstLine="1304"/>
        <w:spacing w:after="0" w:line="282" w:lineRule="auto"/>
        <w:tabs>
          <w:tab w:leader="none" w:pos="1935"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Pay Debts</w:t>
      </w:r>
      <w:r>
        <w:rPr>
          <w:rFonts w:ascii="Times New Roman" w:cs="Times New Roman" w:eastAsia="Times New Roman" w:hAnsi="Times New Roman"/>
          <w:sz w:val="18"/>
          <w:szCs w:val="18"/>
          <w:color w:val="auto"/>
        </w:rPr>
        <w:t>. Any Loan Party or any of its Subsidiaries shall become unable, admit in writing its inability or fail generally to pay its debts as they become due.</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189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One or more (i) non-monetary judgments which would, individually or in the aggregate, reasonably be expected to have a Material Adverse Effect, or (ii) judgments for the payment of money in an aggregate amount in excess of the Threshold Amount shall be rendered against any Loan Party or any of its Subsidiaries or any combination thereof (which shall not be fully covered (without taking into account any applicable deductibles) by insurance from an unaffiliated insurance company with an A.M. Best financial strength rating of at least A-, it being understood that even if such amounts are covered by insurance from such an insurance company, such amounts shall count against such basket if responsibility for such amounts has been denied by such insurance company) and the same shall remain undischarged or unbonded for a period of 30 consecutive days during which execution shall not be effectively stayed, or any action shall be legally taken by a judgment creditor to attach or levy upon any assets of any Loan Party or any of its Subsidiaries to enforce any such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356235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49" w:name="page150"/>
    <w:bookmarkEnd w:id="149"/>
    <w:p>
      <w:pPr>
        <w:jc w:val="both"/>
        <w:ind w:firstLine="1304"/>
        <w:spacing w:after="0" w:line="253" w:lineRule="auto"/>
        <w:tabs>
          <w:tab w:leader="none" w:pos="179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Events</w:t>
      </w:r>
      <w:r>
        <w:rPr>
          <w:rFonts w:ascii="Times New Roman" w:cs="Times New Roman" w:eastAsia="Times New Roman" w:hAnsi="Times New Roman"/>
          <w:sz w:val="18"/>
          <w:szCs w:val="18"/>
          <w:color w:val="auto"/>
        </w:rPr>
        <w:t xml:space="preserve">. (i) An ERISA Event shall have occurred that, in the opinion of the Required Lenders, when taken together with all other ERISA Events that have occurred, could reasonably be expected to result in liability of any Loan Party or any of its Subsidiaries (or in the case of an ERISA Event described in subsection (b) of the definition of that term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could reasonably be expected to subject any Loan Party, any of its Subsidiaries, any Pension Plan, any trust created thereunder, any trustee or administrator thereof, or any party dealing with any Pension Plan or trust to a tax or penalty on “prohibited transactions” under Section 502 of ERISA or Section 4975 of the Code) in an aggregate amount exceeding (A) $250,000 in any year or (B) $500,000 for all periods, (ii) an ERISA Event shall occur with respect to a Pension Plan or Multiemployer Plan that constitutes grounds for appointment of a trustee for or termination by the PBGC of any Pension Plan or Multiemployer Plan; (iii) a Loan Party or ERISA Affiliate shall fail to pay when due any installment payment with respect to its withdrawal liability under Section 4201 of ERISA under a Multiemployer Plan; (iv) any event similar to the foregoing shall occur or exist with respect to a Foreign Plan; or (v) there shall be at any time a Lien imposed against the assets of any Loan Party or ERISA Affiliate under Section 412 or Section 430 of the Code or Sections 302, Section 303, or Section 4068 of ERISA.</w:t>
      </w:r>
    </w:p>
    <w:p>
      <w:pPr>
        <w:spacing w:after="0" w:line="194" w:lineRule="exact"/>
        <w:rPr>
          <w:rFonts w:ascii="Times New Roman" w:cs="Times New Roman" w:eastAsia="Times New Roman" w:hAnsi="Times New Roman"/>
          <w:sz w:val="18"/>
          <w:szCs w:val="18"/>
          <w:color w:val="auto"/>
        </w:rPr>
      </w:pPr>
    </w:p>
    <w:p>
      <w:pPr>
        <w:ind w:right="20" w:firstLine="1304"/>
        <w:spacing w:after="0" w:line="282" w:lineRule="auto"/>
        <w:tabs>
          <w:tab w:leader="none" w:pos="189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Any Loan Document shall cease, for any reason, to be in full force and effect, or any Loan Party shall so assert in writing or shall disavow any of its obligations thereunder.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Any Lien purported to be created under any Collateral Document shall cease to be, or shall be asserted by any Loan Party not to be, a valid and perfected Lien on any Collateral with a value (individually or in the aggregate) in excess of $2,500,000, with the priority required by the applicable Collateral Document, except (i) as a result of the sale or other disposition of the applicable Collateral in a transaction permitted under the Loan Documents or (ii) as a result of the Administrative Agent’s failure to maintain possession of any stock certificates, promissory notes or other instruments delivered to it under the Security Agreement.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86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There shall occur the loss, suspension or revocation of, or failure to renew any license or permit now held or hereafter acquired if such loss, suspension, revocation or failure to renew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 Change of Control shall occur.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1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Cessation of Business</w:t>
      </w:r>
      <w:r>
        <w:rPr>
          <w:rFonts w:ascii="Times New Roman" w:cs="Times New Roman" w:eastAsia="Times New Roman" w:hAnsi="Times New Roman"/>
          <w:sz w:val="18"/>
          <w:szCs w:val="18"/>
          <w:color w:val="auto"/>
        </w:rPr>
        <w:t>. There shall occur a cessation of a substantial part of the business of any Loan Party which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Criminal Action</w:t>
      </w:r>
      <w:r>
        <w:rPr>
          <w:rFonts w:ascii="Times New Roman" w:cs="Times New Roman" w:eastAsia="Times New Roman" w:hAnsi="Times New Roman"/>
          <w:sz w:val="18"/>
          <w:szCs w:val="18"/>
          <w:color w:val="auto"/>
        </w:rPr>
        <w:t>. Any Loan Party shall be criminally indicted or convicted under any law.</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Subordination Provisions</w:t>
      </w:r>
      <w:r>
        <w:rPr>
          <w:rFonts w:ascii="Times New Roman" w:cs="Times New Roman" w:eastAsia="Times New Roman" w:hAnsi="Times New Roman"/>
          <w:sz w:val="18"/>
          <w:szCs w:val="18"/>
          <w:color w:val="auto"/>
        </w:rPr>
        <w:t>. The subordination provisions of any agreement or instrument governing any Subordinated Debt shall for any reason be revoked or invalidated, or otherwise cease to be in full force and effect, or any Loan Party shall contest in any manner the validity or enforceability thereof or deny that it has any further liability or obligation thereunder, or the Obligations for any reason shall not have the priority contemplated by this Credit Agreement or such subordination provisions.</w:t>
      </w:r>
    </w:p>
    <w:p>
      <w:pPr>
        <w:spacing w:after="0" w:line="17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of Collateral</w:t>
      </w:r>
      <w:r>
        <w:rPr>
          <w:rFonts w:ascii="Times New Roman" w:cs="Times New Roman" w:eastAsia="Times New Roman" w:hAnsi="Times New Roman"/>
          <w:sz w:val="18"/>
          <w:szCs w:val="18"/>
          <w:color w:val="auto"/>
        </w:rPr>
        <w:t>. A material portion of the Collateral shall be subject to loss, theft or destruction which is not covered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insurance.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 xml:space="preserve">. If any Event of Default occurs and is continuing, then, and in every such event (other than an event described in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and at any time thereafter during the continuance of such event, the Administrative Agent may, and at the request of the Required Lenders shall, by notice to the Borrower, take either or both of the following actions (whether before or after the Closing Date),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each Loan Party accrued under the Loan Documents, shall become due and payable immediately, without presentment, demand, protest or other notice of any kind, all of which are hereby waived by the Borrower, and (iii) require that the Borrower Cash Collateralize the L/C Obligations (in an amount equal to the Minimum Collateral Amount with respect thereto) and thereupon such Cash Collateral shall become due and payable immediately, without presentment, demand, protest or other notice of any kind, all of which are hereby waived by the Borrower, and in case of any event described in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Commitments shall automatically terminate (whether before or after the Closing Date) the principal of the Loans then outstanding, together with accrued interest thereon and all fees and other obligations of each Loan Party accrued under the Loan Documents, shall automatically become due and payable, without presentment, demand, protest or other notice of any kind, all of which are hereby waived by the Borrower and Cash Collateral for the L/C Obligations as described above shall automatically become due and payable, without presentment, demand, protest or other notice of any kind, all of which are hereby waived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0" w:name="page151"/>
    <w:bookmarkEnd w:id="15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xml:space="preserve">. After the exercise of remedies provided for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after the Loans have automatically become immediately due and payable and the L/C Obligations have automatically been required to be Cash Collateralized as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any amounts received on account of the Secured Obligations shall be applied by the Administrative Agent in the following order:</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that portion of the Secured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in each case payable to the Administrative Agent in its capacity as such;</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extent of any excess of such proceeds, to the payment of that portion of the Secured Obligations constituting fees, indemnities, expenses and other amounts (including fees, charges and disbursements of counsel to the L/C Issuer and the L/C Fronting Fee), in each case payable to the L/C Issuer in its capacity as such;</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the extent of any excess of such proceeds, to the payment of that portion of the Secured Obligations constituting fees, indemnities and other amounts, payable to the Credit Parties (including fees, charges and disbursements of counsel to the respective Credit Parties and amounts payable under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extent of any excess of such proceeds, to the payment of that portion of the Secured Obligations constituting accrued and unpaid interest on the Loans, L/C Obligations and other Secured Obligations, ratably among the Credit Parties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extent of any excess of such proceeds, to the payment of that portion of the Secured Obligations constituting unpaid principal of the Loans and L/C Obligations, the Cash Management Obligations and the Swap Agreement Obligations, ratably among the Secured Parties in proportion to the respective amounts described in this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1" w:name="page152"/>
    <w:bookmarkEnd w:id="151"/>
    <w:p>
      <w:pPr>
        <w:jc w:val="both"/>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to the extent of any excess of such proceeds, to the Administrative Agent for the account of the L/C Issuer, to Cash Collateralize that portion of L/C Obligations comprised of the aggregate undrawn amount of Letters of Credit;</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to the extent of any excess of such proceeds, to the payment of all other Secured Obligations of the Loan Parties owing under or in respect of the Loan Documents that are due and payable to the Secured Parties, or any of them, on such date, ratably based on the respective aggregate amounts of all such Secured Obligations owing to the Secured Parties on such date; and</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to the extent of any excess of such proceeds, the balance, if any, after all of the Secured Obligations (other than unasserted contingent indemnification and unasserted expense reimbursement obligations in each case not yet due and payable) have been paid in full, to the Borrower or as otherwise required by law.</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amounts used to Cash Collateralize the aggregate undrawn amount of Letters of Credit pursuant to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Secured Obligations, if any, in the order set forth above. The Administrative Agent shall have no obligation to calculate the amount of any Swap Agreement Obligations or Cash Management Obligations and may request a reasonably detailed calculation thereof from the provider of such Secured Obligations. If the provider of any Swap Agreement Obligations or Cash Management Obligations fails to deliver the calculation of such Secured Obligations within five days following request thereof by the Administrative Agent, then the Administrative Agent may assume the amount of such Secured Obligations are zero. Notwithstanding anything to the contrary set forth above, Excluded CEA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Section.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ADMINISTRATIVE AGENT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Each of the Lenders and the L/C Issuer hereby irrevocably appoints Citizens 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2" w:name="page153"/>
    <w:bookmarkEnd w:id="152"/>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7"/>
          <w:szCs w:val="17"/>
          <w:u w:val="single" w:color="auto"/>
          <w:color w:val="auto"/>
        </w:rPr>
        <w:t>Exculpatory Provisions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firstLine="1304"/>
        <w:spacing w:after="0" w:line="282" w:lineRule="auto"/>
        <w:tabs>
          <w:tab w:leader="none" w:pos="122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61" w:lineRule="exact"/>
        <w:rPr>
          <w:rFonts w:ascii="Times New Roman" w:cs="Times New Roman" w:eastAsia="Times New Roman" w:hAnsi="Times New Roman"/>
          <w:sz w:val="18"/>
          <w:szCs w:val="18"/>
          <w:color w:val="auto"/>
        </w:rPr>
      </w:pPr>
    </w:p>
    <w:p>
      <w:pPr>
        <w:ind w:left="1980" w:hanging="688"/>
        <w:spacing w:after="0"/>
        <w:tabs>
          <w:tab w:leader="none" w:pos="19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6" w:lineRule="exact"/>
        <w:rPr>
          <w:rFonts w:ascii="Times New Roman" w:cs="Times New Roman" w:eastAsia="Times New Roman" w:hAnsi="Times New Roman"/>
          <w:sz w:val="18"/>
          <w:szCs w:val="18"/>
          <w:color w:val="auto"/>
        </w:rPr>
      </w:pPr>
    </w:p>
    <w:p>
      <w:pPr>
        <w:jc w:val="both"/>
        <w:ind w:firstLine="1292"/>
        <w:spacing w:after="0" w:line="255" w:lineRule="auto"/>
        <w:tabs>
          <w:tab w:leader="none" w:pos="185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8" w:lineRule="exact"/>
        <w:rPr>
          <w:rFonts w:ascii="Times New Roman" w:cs="Times New Roman" w:eastAsia="Times New Roman" w:hAnsi="Times New Roman"/>
          <w:sz w:val="18"/>
          <w:szCs w:val="18"/>
          <w:color w:val="auto"/>
        </w:rPr>
      </w:pPr>
    </w:p>
    <w:p>
      <w:pPr>
        <w:jc w:val="both"/>
        <w:ind w:firstLine="1292"/>
        <w:spacing w:after="0" w:line="266" w:lineRule="auto"/>
        <w:tabs>
          <w:tab w:leader="none" w:pos="190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123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in writing by the Borrower, a Lender or the L/C Issuer.</w:t>
      </w:r>
    </w:p>
    <w:p>
      <w:pPr>
        <w:spacing w:after="0" w:line="183" w:lineRule="exact"/>
        <w:rPr>
          <w:rFonts w:ascii="Times New Roman" w:cs="Times New Roman" w:eastAsia="Times New Roman" w:hAnsi="Times New Roman"/>
          <w:sz w:val="18"/>
          <w:szCs w:val="18"/>
          <w:color w:val="auto"/>
        </w:rPr>
      </w:pPr>
    </w:p>
    <w:p>
      <w:pPr>
        <w:jc w:val="both"/>
        <w:ind w:left="-660" w:firstLine="1304"/>
        <w:spacing w:after="0" w:line="256" w:lineRule="auto"/>
        <w:tabs>
          <w:tab w:leader="none" w:pos="118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not be responsible for or have any duty to ascertain or inquire into (i) any statement, warranty or representation made in or in connection with this Credit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Credit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87"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17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not be responsible or have any liability for, or have any duty to investigate a violation or potential violation of an Environmental Law or a Release or threat of Release of a Hazardous Material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nor shall it have any liability for any action it takes or does not take in connection with any such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346075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53" w:name="page154"/>
    <w:bookmarkEnd w:id="15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9.6</w:t>
      </w:r>
      <w:r>
        <w:rPr>
          <w:sz w:val="20"/>
          <w:szCs w:val="20"/>
          <w:color w:val="auto"/>
        </w:rPr>
        <w:tab/>
      </w:r>
      <w:r>
        <w:rPr>
          <w:rFonts w:ascii="Times New Roman" w:cs="Times New Roman" w:eastAsia="Times New Roman" w:hAnsi="Times New Roman"/>
          <w:sz w:val="17"/>
          <w:szCs w:val="17"/>
          <w:u w:val="single" w:color="auto"/>
          <w:color w:val="auto"/>
        </w:rPr>
        <w:t>Resignation of Administrative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7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New York, New York, or an Affiliate of any such bank with an office in New York, New York.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4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4" w:name="page155"/>
    <w:bookmarkEnd w:id="154"/>
    <w:p>
      <w:pPr>
        <w:jc w:val="both"/>
        <w:ind w:firstLine="1304"/>
        <w:spacing w:after="0" w:line="252" w:lineRule="auto"/>
        <w:tabs>
          <w:tab w:leader="none" w:pos="200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Credit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Credit Agreement, any other Loan Document or any related agreement or any document furnished hereunder or thereunder.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xml:space="preserve"> Anything herein to the contrary notwithstanding, none of the Lead Arrangers or any agent listed on the cover page hereof shall have any powers, duties or responsibilities under this Credit Agreement or any of the other Loan Documents, except in its capacity, as applicable, as the Administrative Agent, a Lender or the L/C Issuer hereunder.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the Administrative Agent (irrespective of whether the principal of any Loan or reimbursement for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0" w:lineRule="exact"/>
        <w:rPr>
          <w:sz w:val="20"/>
          <w:szCs w:val="20"/>
          <w:color w:val="auto"/>
        </w:rPr>
      </w:pPr>
    </w:p>
    <w:p>
      <w:pPr>
        <w:jc w:val="both"/>
        <w:ind w:firstLine="1304"/>
        <w:spacing w:after="0" w:line="258" w:lineRule="auto"/>
        <w:tabs>
          <w:tab w:leader="none" w:pos="196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L/C Obligations and all other Loan Document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allowed in such judicial proceeding;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5" w:name="page156"/>
    <w:bookmarkEnd w:id="155"/>
    <w:p>
      <w:pPr>
        <w:ind w:left="1820" w:hanging="516"/>
        <w:spacing w:after="0"/>
        <w:tabs>
          <w:tab w:leader="none" w:pos="18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9.10</w:t>
      </w:r>
      <w:r>
        <w:rPr>
          <w:sz w:val="20"/>
          <w:szCs w:val="20"/>
          <w:color w:val="auto"/>
        </w:rPr>
        <w:tab/>
      </w:r>
      <w:r>
        <w:rPr>
          <w:rFonts w:ascii="Times New Roman" w:cs="Times New Roman" w:eastAsia="Times New Roman" w:hAnsi="Times New Roman"/>
          <w:sz w:val="18"/>
          <w:szCs w:val="18"/>
          <w:u w:val="single" w:color="auto"/>
          <w:color w:val="auto"/>
        </w:rPr>
        <w:t>Collateral and Guarantee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20" w:hanging="516"/>
        <w:spacing w:after="0"/>
        <w:tabs>
          <w:tab w:leader="none" w:pos="18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Parties irrevocably authorize the Administrative Agent, at its option and in its discretion,</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471"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Lien on any property granted to or held by the Administrative Agent under any Loan Document (A) at the Termination Date, (B) that is sold or otherwise Disposed of or to be sold or otherwise Disposed of as part of or in connection with any sale or other Disposition permitted under the Loan Documents (including all of the Collateral of a Guarantor which is released from its obligations under the Loan Documents pursuant to clause (iii)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any sale or Disposition of all or substantially all of the Collateral or all or substantially all of the value of the Guarantees under the Guarantee Agreement shall be subject to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or (C)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if approved, authorized or ratified in writing by the Required Lenders;</w:t>
      </w:r>
    </w:p>
    <w:p>
      <w:pPr>
        <w:spacing w:after="0" w:line="187" w:lineRule="exact"/>
        <w:rPr>
          <w:rFonts w:ascii="Times New Roman" w:cs="Times New Roman" w:eastAsia="Times New Roman" w:hAnsi="Times New Roman"/>
          <w:sz w:val="18"/>
          <w:szCs w:val="18"/>
          <w:color w:val="auto"/>
        </w:rPr>
      </w:pPr>
    </w:p>
    <w:p>
      <w:pPr>
        <w:ind w:left="660" w:firstLine="1292"/>
        <w:spacing w:after="0" w:line="282" w:lineRule="auto"/>
        <w:tabs>
          <w:tab w:leader="none" w:pos="2498"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0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Guarantor from its obligations under the Loan Documents if such Person ceases to be a Subsidiary as a result of a transaction permitted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release of all or substantially all of the Collateral or all or substantially all of the value of the Guarantees under the Guarantee Agreement shall be subject to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Loan Documents pursuant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304"/>
        <w:spacing w:after="0" w:line="261" w:lineRule="auto"/>
        <w:tabs>
          <w:tab w:leader="none" w:pos="188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Compliance with Flood Insurance Laws</w:t>
      </w:r>
      <w:r>
        <w:rPr>
          <w:rFonts w:ascii="Times New Roman" w:cs="Times New Roman" w:eastAsia="Times New Roman" w:hAnsi="Times New Roman"/>
          <w:sz w:val="18"/>
          <w:szCs w:val="18"/>
          <w:color w:val="auto"/>
        </w:rPr>
        <w:t>. The Administrative Agent has adopted internal policies and procedures that address requirements placed on federally regulated lenders under the Flood Insurance Laws and will post on the applicable electronic platform (or otherwise distribute to each Lender documents that it receives in connection with the Flood Insurance Laws (collectively, the “</w:t>
      </w:r>
      <w:r>
        <w:rPr>
          <w:rFonts w:ascii="Times New Roman" w:cs="Times New Roman" w:eastAsia="Times New Roman" w:hAnsi="Times New Roman"/>
          <w:sz w:val="18"/>
          <w:szCs w:val="18"/>
          <w:u w:val="single" w:color="auto"/>
          <w:color w:val="auto"/>
        </w:rPr>
        <w:t>Flood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Administrative Agent makes no representation or warranty with respect to the adequacy of the Flood Documents or their compliance with the Flood Insurance Laws. Each Lender acknowledges and agrees that it is individually responsible for its own compliance with the Flood Insurance Laws and that it shall, independently and without reliance upon Administrative Agent or any other Lender and based on such documents and information as it shall from time to time deem appropriate, including the Flood Documents posted or distributed by the Administrative Agent, continue to do its own due diligence to ensure its compliance with the Flood Insurance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6" w:name="page157"/>
    <w:bookmarkEnd w:id="15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Cash Management Obligations and Swap Agreement Obligations</w:t>
      </w:r>
      <w:r>
        <w:rPr>
          <w:rFonts w:ascii="Times New Roman" w:cs="Times New Roman" w:eastAsia="Times New Roman" w:hAnsi="Times New Roman"/>
          <w:sz w:val="18"/>
          <w:szCs w:val="18"/>
          <w:color w:val="auto"/>
        </w:rPr>
        <w:t xml:space="preserve">. Except as otherwise expressly set forth herein or in the Security Agreement, any other Collateral Document or any other Loan Document, no Person holding Cash Management Obligations or Swap Agreement Obligations that obtains the benefits of any Guarantee under the Guarantee Agreement or any Collateral by virtue of the provisions hereof or of any Loan Document shall have any right to notice of any action or to consent to, direct or object to any action hereunder or under any other Loan Document or otherwise in respect of the Collateral (including the release or impairment of any Collateral or amendment to any Loan Document (including any Collateral Document) other than in its capacity as a Lender or Administrative Agent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Cash Management Obligations or Swap Agreement Obligations except to the extent expressly required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has received a Secured Obligation Designation Notice, together with such supporting documentation as the Administrative Agent may request, from the applicable Person holding such Secured Obligations. The Administrative Agent shall not be required to verify the payment of, or that other satisfactory arrangements have been made with respect to, Cash Management Obligations and Swap Agreement Obligations.</w:t>
      </w:r>
    </w:p>
    <w:p>
      <w:pPr>
        <w:spacing w:after="0" w:line="19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9.13</w:t>
      </w:r>
      <w:r>
        <w:rPr>
          <w:sz w:val="20"/>
          <w:szCs w:val="20"/>
          <w:color w:val="auto"/>
        </w:rPr>
        <w:tab/>
      </w:r>
      <w:r>
        <w:rPr>
          <w:rFonts w:ascii="Times New Roman" w:cs="Times New Roman" w:eastAsia="Times New Roman" w:hAnsi="Times New Roman"/>
          <w:sz w:val="17"/>
          <w:szCs w:val="17"/>
          <w:u w:val="single" w:color="auto"/>
          <w:color w:val="auto"/>
        </w:rPr>
        <w:t>Erroneous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86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Administrative Agent (x) notifies a Lender, L/C Issuer or Secured Party, or any Person who has received funds on behalf of a Lender, L/C Issuer or Secured Party (any such Lender, L/C Issuer, Secured Party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Administrative Agent has determined in its sole discretion (whether or not after receipt of any notice under </w:t>
      </w:r>
      <w:r>
        <w:rPr>
          <w:rFonts w:ascii="Times New Roman" w:cs="Times New Roman" w:eastAsia="Times New Roman" w:hAnsi="Times New Roman"/>
          <w:sz w:val="18"/>
          <w:szCs w:val="18"/>
          <w:u w:val="single" w:color="auto"/>
          <w:color w:val="auto"/>
        </w:rPr>
        <w:t>Section 9.13(b)</w:t>
      </w:r>
      <w:r>
        <w:rPr>
          <w:rFonts w:ascii="Times New Roman" w:cs="Times New Roman" w:eastAsia="Times New Roman" w:hAnsi="Times New Roman"/>
          <w:sz w:val="18"/>
          <w:szCs w:val="18"/>
          <w:color w:val="auto"/>
        </w:rPr>
        <w:t>) that any funds (as set forth in such notice from the Administrative Agent) received by such Payment Recipient from Administrative Agent or any of its Affiliates were erroneously or mistakenly transmitted to, or otherwise erroneously or mistakenly received by, such Payment Recipient (whether or not known to such Lender, L/C Issuer,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the return of such Erroneous Payment (or a portion thereof), such Erroneous Payment shall at all times remain the property of Administrative Agent pending its return or repayment as contemplated below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13 and held in trust for the benefit of Administrative Agent, and such Lender, L/C Issuer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Administrative Agent in same day funds at the greater of the Federal Funds Rate and a rate determined by Administrative Agent in accordance with banking industry rules on interbank compensation from time to time in effect. A notice of Administrative Agent to any Payment Recipient under this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 xml:space="preserve"> shall be conclusive, absent manifest error.</w:t>
      </w:r>
    </w:p>
    <w:p>
      <w:pPr>
        <w:spacing w:after="0" w:line="19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6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 each Payment Recipient (and each of their respective successors and assigns) hereby further agrees that if it receives a payment, prepayment or repayment (whether received as a payment, prepayment or repayment of principal, interest, fees, distribution or otherwise) from Administrative Agent (or any of its Affiliates) (x) that is in a different amount than, or on a different date from, that specified in this Credit Agreement or in a notice of payment, prepayment or repayment sent by Administrative Agent (or any of its Affiliates) with respect to such payment, prepayment or repayment, (y) that was not preceded or accompanied by a notice of payment, prepayment or repayment sent by Administrative Agent (or any of its Affiliates), or (z) that such Payment Recipient otherwise becomes aware was transmitted, or received, in error or by mistake (in whole or in part), in each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7" w:name="page158"/>
    <w:bookmarkEnd w:id="157"/>
    <w:p>
      <w:pPr>
        <w:jc w:val="both"/>
        <w:ind w:left="-460" w:firstLine="1292"/>
        <w:spacing w:after="0" w:line="266" w:lineRule="auto"/>
        <w:tabs>
          <w:tab w:leader="none" w:pos="133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shall be presumed to have been made (absent written confirmation from Administrative Agent to the contrary) or (B) in the case of immediately preceding clause (z), an error and mistake has been made, in each case, with respect to such payment, prepayment or repayment; and</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425"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L/C Issuer or Secured Party shall (and shall cause any other recipient that receives funds on its respective behalf to) promptly (and, in all events, within one Business Day of its knowledge of the occurrence of any of the circumstances described in immediately preceding clauses (x), (y) and (z)) notify Administrative Agent of its receipt of such payment, prepayment or repayment, the details thereof (in reasonable detail) and that it is so notifying Administrative Agent pursuant to this </w:t>
      </w:r>
      <w:r>
        <w:rPr>
          <w:rFonts w:ascii="Times New Roman" w:cs="Times New Roman" w:eastAsia="Times New Roman" w:hAnsi="Times New Roman"/>
          <w:sz w:val="18"/>
          <w:szCs w:val="18"/>
          <w:u w:val="single" w:color="auto"/>
          <w:color w:val="auto"/>
        </w:rPr>
        <w:t>Section 9.13(b)</w:t>
      </w:r>
      <w:r>
        <w:rPr>
          <w:rFonts w:ascii="Times New Roman" w:cs="Times New Roman" w:eastAsia="Times New Roman" w:hAnsi="Times New Roman"/>
          <w:sz w:val="18"/>
          <w:szCs w:val="18"/>
          <w:color w:val="auto"/>
        </w:rPr>
        <w:t xml:space="preserve">. 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 9.13(b)</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 xml:space="preserve"> or on whether or not an Erroneous Payment has been made.</w:t>
      </w:r>
    </w:p>
    <w:p>
      <w:pPr>
        <w:spacing w:after="0" w:line="187" w:lineRule="exact"/>
        <w:rPr>
          <w:rFonts w:ascii="Times New Roman" w:cs="Times New Roman" w:eastAsia="Times New Roman" w:hAnsi="Times New Roman"/>
          <w:sz w:val="18"/>
          <w:szCs w:val="18"/>
          <w:color w:val="auto"/>
        </w:rPr>
      </w:pPr>
    </w:p>
    <w:p>
      <w:pPr>
        <w:jc w:val="both"/>
        <w:ind w:left="-1120" w:right="20" w:firstLine="1304"/>
        <w:spacing w:after="0" w:line="261" w:lineRule="auto"/>
        <w:tabs>
          <w:tab w:leader="none" w:pos="71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L/C Issuer or Secured Party hereby authorizes Administrative Agent to set off, net and apply any and all amounts at any time owing to such Lender, L/C Issuer or Secured Party under any Loan Document, or otherwise payable or distributable by Administrative Agent to such Lender, L/C Issuer or Secured Party under any Loan Document with respect to any payment of principal, interest, fees, or other amounts, against any amount that Administrative Agent has demanded to be returned under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80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event that an Erroneous Payment (or portion thereof) is not recovered by Administrative Agent for any reason, after demand therefor in accordance with </w:t>
      </w:r>
      <w:r>
        <w:rPr>
          <w:rFonts w:ascii="Times New Roman" w:cs="Times New Roman" w:eastAsia="Times New Roman" w:hAnsi="Times New Roman"/>
          <w:sz w:val="18"/>
          <w:szCs w:val="18"/>
          <w:u w:val="single" w:color="auto"/>
          <w:color w:val="auto"/>
        </w:rPr>
        <w:t>Section 9.13(a)</w:t>
      </w:r>
      <w:r>
        <w:rPr>
          <w:rFonts w:ascii="Times New Roman" w:cs="Times New Roman" w:eastAsia="Times New Roman" w:hAnsi="Times New Roman"/>
          <w:sz w:val="18"/>
          <w:szCs w:val="18"/>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Return Deficiency</w:t>
      </w:r>
      <w:r>
        <w:rPr>
          <w:rFonts w:ascii="Times New Roman" w:cs="Times New Roman" w:eastAsia="Times New Roman" w:hAnsi="Times New Roman"/>
          <w:sz w:val="18"/>
          <w:szCs w:val="18"/>
          <w:color w:val="auto"/>
        </w:rPr>
        <w:t>”), upon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(on a cashless basis and such amount calculated at par plus any accrued and unpaid interest (with the assignment fee to be waived by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Administrative Agent (but the failure of such Person to deliver any such Notes shall not affect the effectiveness of the foregoing assignment), (B) Administrative Agent as the assignee Lender shall be deemed to have acquired the Erroneous Payment Deficiency Assignment, (C) upon such deemed acquisition,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Credit Agreement and its applicable Commitments which shall survive as to such assigning Lender, (D) Administrative Agent and the Borrower shall be deemed to have waived any consents required under this Credit Agreement to any such Erroneous Payment Deficiency Assignment, and (E) Administrative Agent may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354965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58" w:name="page159"/>
    <w:bookmarkEnd w:id="158"/>
    <w:p>
      <w:pPr>
        <w:jc w:val="both"/>
        <w:ind w:left="-460" w:firstLine="1292"/>
        <w:spacing w:after="0" w:line="254" w:lineRule="auto"/>
        <w:tabs>
          <w:tab w:leader="none" w:pos="148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Administrative Agent on or with respect to any such Loans acquired from such Lender pursuant to an Erroneous Payment Deficiency Assignment (to the extent that any such Loans are then owned by Administrative Agent) and (y) may in the sole discretion of Administrative Agent be reduced by any amount specified by Administrative Agent in writing to the applicable Lender from time to time.</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83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(x) irrespective of whether Administrative Agent may be equitably subrogated, in the event that an Erroneous Payment (or portion thereof) is not recovered from any Payment Recipient that has received such Erroneous Payment (or portion thereof) for any reason, Administrative Agent shall be subrogated to all the rights and interests of such Payment Recipient (and, in the case of any Payment Recipient who has received funds on behalf of a Lender, L/C Issuer or Secured Party, to the rights and interests of such Lender, L/C Issuer or Secured Party, as the case may be)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(provided that the Loan Parties’ Secured Obligations under the Loan Documents in respect of the Erroneous Payment Subrogation Rights shall not be duplicative of such Secured Obligations in respect of Loans that have been assigned to Administrative Agent under an Erroneous Payment Deficiency Assignment) and (y) that an Erroneous Payment shall not pay, prepay, repay, discharge or otherwise satisfy any Secured Obligations owed by the Borrower or any other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shall not be interpreted to increase (or accelerate the due date for) the Obligations of the Borrower relative to the amount (and/or timing for payment) of the Obligations that would have been payable had such Erroneous Payment not been made by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immediately preceding clauses (x) and (y) shall not apply to the extent any such Erroneous Payment is, and solely with respect to the amount of such Erroneous Payment that is, comprised of funds received by Administrative Agent from the Borrower for the purpose of making such Erroneous Payment.</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77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93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shall survive the resignation or replacement of Administrative Agent, any transfer of rights or obligations by, or the replacement of, a Lender or L/C Issuer, the termination of the Commitments and/or the repayment, satisfaction or discharge of all Secured Obligations (or any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346075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90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as follows:</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51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c/o Harvard Bioscience, Inc., 84 October Hill Road, Holliston, MA 01746, Attention: Michael A. Rossi, Chief Financial Officer;</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62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the L/C Issuer or the Swingline Lender,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10.1</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58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Credit Party, the address, facsimile number, electronic mail address or telephone number specified in its Administrative Questionnaire.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Notices sent by hand or overnight courier service shall be deemed to have been given when received. Notices delivered through electronic communications to the extent provided in paragraph (b) below, shall be effective as provided in said paragraph (b).</w:t>
      </w:r>
    </w:p>
    <w:p>
      <w:pPr>
        <w:spacing w:after="0" w:line="162" w:lineRule="exact"/>
        <w:rPr>
          <w:sz w:val="20"/>
          <w:szCs w:val="20"/>
          <w:color w:val="auto"/>
        </w:rPr>
      </w:pPr>
    </w:p>
    <w:p>
      <w:pPr>
        <w:jc w:val="both"/>
        <w:ind w:firstLine="1304"/>
        <w:spacing w:after="0" w:line="261" w:lineRule="auto"/>
        <w:tabs>
          <w:tab w:leader="none" w:pos="211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Credit Party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if such Credit Party has notified the Administrative Agent that it is incapable of receiving notices under such Article by electronic communication.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of transmission to the intended recipient (such as by the “delivery receipt requested” function, return e-mail, confirmation of system-generated posting notices by a Platform or other written acknowledgement) and (ii) notices or communications posted to a Platform or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or other communication is not sent during the normal business hours of the recipient, such notice or communication shall be deemed to have been sent at the opening of business on the next Business Day for the recipient. Notwithstanding anything to the contrary herein, borrowing requests and other notices to Administrative Agent sent by email or posted to a Platform or an Internet or intranet website shall only be effective against Administrative Agent if receipt of such transmission is affirmatively acknowledged by Administrative Agent.</w:t>
      </w:r>
    </w:p>
    <w:p>
      <w:pPr>
        <w:spacing w:after="0" w:line="188" w:lineRule="exact"/>
        <w:rPr>
          <w:sz w:val="20"/>
          <w:szCs w:val="20"/>
          <w:color w:val="auto"/>
        </w:rPr>
      </w:pPr>
    </w:p>
    <w:p>
      <w:pPr>
        <w:ind w:left="1820" w:hanging="516"/>
        <w:spacing w:after="0"/>
        <w:tabs>
          <w:tab w:leader="none" w:pos="18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Any party hereto may change its address for notices and other communications hereunder by notice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hereto.</w:t>
      </w:r>
    </w:p>
    <w:p>
      <w:pPr>
        <w:spacing w:after="0" w:line="206"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63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the Administrative Agent may, but shall not be obligated to, make the Communications available to the L/C Issuer and the other Lenders by posting the Communications on the Platform and that certain of the Lenders (each, a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may have personnel who do not wish to receive material non-public information with respect to the Loan Parties or their Affiliates, or the respective securities of any of the foregoing, and who may be engaged in investment and other market-related activities with respect to such Persons’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0" w:name="page161"/>
    <w:bookmarkEnd w:id="160"/>
    <w:p>
      <w:pPr>
        <w:jc w:val="both"/>
        <w:ind w:firstLine="1292"/>
        <w:spacing w:after="0" w:line="253" w:lineRule="auto"/>
        <w:tabs>
          <w:tab w:leader="none" w:pos="183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acknowledges hereby agrees that so long as any Loan Party is the issuer of any outstanding debt or equity securities that are registered or issued pursuant to a private offering or is actively contemplating issuing any such securities it will use commercially reasonable efforts to identify that portion of the Communications that may be distributed to the Public Lenders and that: (A) all such Communications (i) shall be clearly and conspicuously marked “PUBLIC” which, at a minimum, means that the word “PUBLIC” shall appear prominently on the first page thereof; (B) by marking such Communications (ii) “PUBLIC,” the Borrower shall be deemed to have authorized the Administrative Agent, Lead Arrangers and the Lenders to treat such Communications as not containing any material non-public information (although it may be sensitive and proprietary) with respect to any Loan Party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Communications constitute Information, they shall be treated as set forth in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(C) all Communications marked “PUBLIC” are permitted to be made available through a portion of the Platform designated “Public Side Information”; and (D) the Administrative Agent and the Lead Arrangers shall be entitled to treat any Communications that are not marked “PUBLIC” as being suitable only for posting on a portion of the Platform not designated “Public Side Information”.</w:t>
      </w:r>
    </w:p>
    <w:p>
      <w:pPr>
        <w:spacing w:after="0" w:line="191" w:lineRule="exact"/>
        <w:rPr>
          <w:rFonts w:ascii="Times New Roman" w:cs="Times New Roman" w:eastAsia="Times New Roman" w:hAnsi="Times New Roman"/>
          <w:sz w:val="18"/>
          <w:szCs w:val="18"/>
          <w:color w:val="auto"/>
        </w:rPr>
      </w:pPr>
    </w:p>
    <w:p>
      <w:pPr>
        <w:jc w:val="both"/>
        <w:ind w:firstLine="1292"/>
        <w:spacing w:after="0" w:line="254" w:lineRule="auto"/>
        <w:tabs>
          <w:tab w:leader="none" w:pos="192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or the other Loan Parties,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Platform.</w:t>
      </w:r>
    </w:p>
    <w:p>
      <w:pPr>
        <w:spacing w:after="0" w:line="1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4" w:lineRule="auto"/>
        <w:tabs>
          <w:tab w:leader="none" w:pos="126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any Credit Party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under the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and/or the issuance, amendment, extension or renewal of a Letter of Credit shall not be construed as a waiver of any Default, regardless of whether any Credit Party may have had notice or knowledge of such Default at the time.</w:t>
      </w:r>
    </w:p>
    <w:p>
      <w:pPr>
        <w:spacing w:after="0" w:line="191" w:lineRule="exact"/>
        <w:rPr>
          <w:rFonts w:ascii="Times New Roman" w:cs="Times New Roman" w:eastAsia="Times New Roman" w:hAnsi="Times New Roman"/>
          <w:sz w:val="18"/>
          <w:szCs w:val="18"/>
          <w:color w:val="auto"/>
        </w:rPr>
      </w:pPr>
    </w:p>
    <w:p>
      <w:pPr>
        <w:jc w:val="both"/>
        <w:ind w:left="-660" w:right="20" w:firstLine="1304"/>
        <w:spacing w:after="0" w:line="261" w:lineRule="auto"/>
        <w:tabs>
          <w:tab w:leader="none" w:pos="12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by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or in the other paragraphs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neither this Credit Agreement, any other Loan Document (other than the Fee Letter) nor any provision thereof may be waived, amended or modified except pursuant to an agreement or agreements in writing entered into by the Loan Parties and the Required Lenders, or by the Borrower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348615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61" w:name="page162"/>
    <w:bookmarkEnd w:id="161"/>
    <w:p>
      <w:pPr>
        <w:jc w:val="both"/>
        <w:ind w:left="-460" w:firstLine="1292"/>
        <w:spacing w:after="0" w:line="266" w:lineRule="auto"/>
        <w:tabs>
          <w:tab w:leader="none" w:pos="148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any Commitment of any Lender without the written consent of such Lender or increase the L/C Sublimit without the consent of the L/C Issuer (it being understood that a waiver of any condition precedent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the waiver of any Default shall not constitute an extension or increase of any Commitment of any Lender or an increase of the L/C Sublimit);</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38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amount of any Loan or any reimbursement obligation with respect to a L/C Disbursement, or reduce the rate of any interest, or reduce any fees or other amounts, payable under the Loan Documents, without the written consent of each Credit Party directly and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amend or modify any Financial Covenant, any defined terms used therein or the definition of “Default Rate” or to waive any obligation of the Borrower to pay interest at the Default Rate, in each case, notwithstanding the fact that any such amendment, modification or waiver actually results in reduction in the rate of interest or fees;</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4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postpone any date scheduled for any payment of principal of, or interest on, any Loan or reimbursement obligation with respect to any L/C Disbursement, or any fees or other amounts payable hereunder or under any other Loan Document, or reduce the amount of, waive or excuse any such payment, or postpone the stated termination or expiration of the Revolving Commitments or reduce the amount of or postpone the date of any prepayment required by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without the written consent of each Credit Party directly and adversely affected thereby;</w:t>
      </w:r>
    </w:p>
    <w:p>
      <w:pPr>
        <w:spacing w:after="0" w:line="183" w:lineRule="exact"/>
        <w:rPr>
          <w:rFonts w:ascii="Times New Roman" w:cs="Times New Roman" w:eastAsia="Times New Roman" w:hAnsi="Times New Roman"/>
          <w:sz w:val="18"/>
          <w:szCs w:val="18"/>
          <w:color w:val="auto"/>
        </w:rPr>
      </w:pPr>
    </w:p>
    <w:p>
      <w:pPr>
        <w:jc w:val="both"/>
        <w:ind w:left="-460" w:right="20" w:firstLine="1292"/>
        <w:spacing w:after="0" w:line="266" w:lineRule="auto"/>
        <w:tabs>
          <w:tab w:leader="none" w:pos="147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subsection (c) below change any provision hereof in a manner that would alter the pro rata sharing of payments required by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or the pro rata reduction of Revolving Commitments required by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without the written consent of each Credit Party directly and adversely affected thereby;</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4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of the provisions of this Section or the definition of the terms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or any other provision hereof specifying the number or percentage of Lenders required to waive, amend or modify any rights hereunder or make any determination or grant any consent hereunder;</w:t>
      </w:r>
    </w:p>
    <w:p>
      <w:pPr>
        <w:spacing w:after="0" w:line="175" w:lineRule="exact"/>
        <w:rPr>
          <w:rFonts w:ascii="Times New Roman" w:cs="Times New Roman" w:eastAsia="Times New Roman" w:hAnsi="Times New Roman"/>
          <w:sz w:val="18"/>
          <w:szCs w:val="18"/>
          <w:color w:val="auto"/>
        </w:rPr>
      </w:pPr>
    </w:p>
    <w:p>
      <w:pPr>
        <w:ind w:left="-460" w:firstLine="1292"/>
        <w:spacing w:after="0" w:line="282" w:lineRule="auto"/>
        <w:tabs>
          <w:tab w:leader="none" w:pos="152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without the written consent of the Administrative Agent, the Swingline Lender and the L/C Issuer;</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46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any Commitment or Loan is, or is to be, denominated, Letters of Credit are to be issued or payment under the Loan Documents is to be made without the written consent of each Lender directly affected thereby;</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56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any Guarantor from its Guarantee under the Guarantee Agreement (except as expressly provided therein or in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or limit its liability in respect of such Guarantee, without the written consent of each Lender; or</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46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substantially all of the Collateral from the Liens of the Loan Documents (except as expressly provided in the applicable Collateral Document or in connection with a transaction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without the consent of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62" w:name="page163"/>
    <w:bookmarkEnd w:id="162"/>
    <w:p>
      <w:pPr>
        <w:ind w:left="660" w:firstLine="1292"/>
        <w:spacing w:after="0" w:line="282" w:lineRule="auto"/>
        <w:tabs>
          <w:tab w:leader="none" w:pos="248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any amendments (i) to subordinate the Lien on the Collateral securing the Obligations to any other Lien securing Indebtedness of the Loan Parties or (ii) providing for payment subordination of the Obligations; or</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amendment, waiver or consent shall amend, modify or otherwise affect the rights or duties hereunder or under any other Loan Document of (A) the Administrative Agent, unless in writing executed by the Administrative Agent, (B) any Issuing Bank, unless in writing executed by such Issuing Bank and (C) any Swingline Lender, unless in writing executed by such Swingline Lender, in each case in addition to the Borrower and the Lenders required above.</w:t>
      </w:r>
    </w:p>
    <w:p>
      <w:pPr>
        <w:spacing w:after="0" w:line="180" w:lineRule="exact"/>
        <w:rPr>
          <w:sz w:val="20"/>
          <w:szCs w:val="20"/>
          <w:color w:val="auto"/>
        </w:rPr>
      </w:pPr>
    </w:p>
    <w:p>
      <w:pPr>
        <w:jc w:val="both"/>
        <w:ind w:firstLine="1304"/>
        <w:spacing w:after="0" w:line="255" w:lineRule="auto"/>
        <w:tabs>
          <w:tab w:leader="none" w:pos="202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Defaulting Lender shall have any right to approve or disapprove any amendment, waiver or consent hereunder (and any amendment, waiver or consent that by its terms requires the consent of all the Lenders or each affected Lender may be effected with the consent of the applicable Lenders other than Defaulting Lenders, except that (x) the Commitment of any Defaulting Lender may not be increased or extended, or the maturity of any of its Loan may not be extended, the rate of interest on any of its Loans may not be reduced and the principal amount of any of its Loans may not be forgiven, in each case without the consent of such Defaulting Lender and (y) any amendment, waiver or consent requiring the consent of all the Lenders or each affected Lender that by its terms affects any Defaulting Lender more adversely than the other affected Lenders shall require the consent of such Defaulting Lender.</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notwithstanding anything in this Section to the contrary, if the Administrative Agent and the Borrower shall have jointly identified an obvious error or any error or omission of a technical nature, in each case, in any provision of the Loan Documents, then the Administrative Agent and the Borrower shall be permitted to amend such provision, and, in each case, such amendment shall become effective without any further action or consent of any other party to any Loan Document if the same is not objected to in writing by the Required Lenders to the Administrative Agent within 10 Business Days following receipt of notice thereof.</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Expenses; Indemnity; Damage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6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Loan Parties, jointly and severally, shall pay (i) all reasonable and documented out-of-pocket expenses incurred by the Administrative Agent, Lead Arrangers and their respective Affiliates (including Attorney Costs of counsel for the Administrative Agent), in connection with the syndication of the credit facilities provided for herein, the preparation, negotiation, execution, delivery and administration of this Credit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renewal or extension of any Letter of Credit or any demand for payment thereunder and (iii) all out-of-pocket expenses incurred by the Administrative Agent, Lead Arrangers or any Credit Party (including Attorney Costs of the Administrative Agent or any Credit Party), in connection with the enforcement or protection of its rights (whether through negotiations, legal proceedings or otherwise) (A) in connection with this Credit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3" w:name="page164"/>
    <w:bookmarkEnd w:id="163"/>
    <w:p>
      <w:pPr>
        <w:jc w:val="both"/>
        <w:ind w:left="-1120" w:firstLine="1304"/>
        <w:spacing w:after="0" w:line="251" w:lineRule="auto"/>
        <w:tabs>
          <w:tab w:leader="none" w:pos="72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Loan Parties</w:t>
      </w:r>
      <w:r>
        <w:rPr>
          <w:rFonts w:ascii="Times New Roman" w:cs="Times New Roman" w:eastAsia="Times New Roman" w:hAnsi="Times New Roman"/>
          <w:sz w:val="18"/>
          <w:szCs w:val="18"/>
          <w:color w:val="auto"/>
        </w:rPr>
        <w:t>. The Loan Parties, jointly and severally, shall indemnify the Administrative Agent (and any sub-agent thereof), each Credit Party,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Attorney Costs), incurred by any Indemnitee or asserted against any Indemnitee by any third party or by any Loan Party arising out of, in connection with, or as a result of (i) the execution or delivery of this Credit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at, on, under or from any property owned or operated by any Loan Party or any of its Subsidiaries, or any Environmental Claim or Environmental Liability related in any way to any Loan Party or any of its Subsidiaries, (iv) any actual or prospective claim, litigation, investigation or proceeding relating to any of the foregoing, whether based on contract, tort or any other theory, whether brought by a third party or by any Loan Party, and regardless of whether any Indemnitee is a party thereto or (v) any government investigation, audit, hearing or enforcement action resulting from any Loan Party’s or any of its Affiliate’s noncompliance (or purported noncompliance) with any applicable Sanctions, other Anti-Terrorism Laws or Anti-Corruption Laws (it being understood and agreed that the Indemnitees shall be entitled to indemnification pursuant to this clause (including indemnification for fines, penalties and other expenses) regardless of whether any adverse finding is made against any Loan Party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willful misconduct or material breach of the Loan Documents of such Indemnitee or (y) result from a claim brought by any Loan Party against an Indemnitee for breach in bad faith of such Indemnitee’s obligations hereunder or under any other Loan Document, if such Loan Party has obtained a final and non-appealable judgment in its favor on such claim as determined by a court of competent jurisdiction. To the extent that the indemnity set forth above in this paragraph shall be held to be unenforceable in whole or in part because it is violative of any law or public policy, the Borrower shall contribute the maximum portion that it is permitted to pay and satisfy under applicable law to the payment and satisfaction of all indemnified amounts incurred by Indemnitees or any of them.</w:t>
      </w:r>
    </w:p>
    <w:p>
      <w:pPr>
        <w:spacing w:after="0" w:line="205"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75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paragraph (a) or (b) of this Section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such unpaid amounts owed to the L/C Issuer or the Swingline Lender solely in its capacity as such, only the Revolving Lenders shall be required to pay such unpaid amounts, such payment to be made severally among them based on such Revolving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paragraph (c) are subject to the provisions of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7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no Loan Party shall assert, and each Loan Party hereby waives, any claim against any Indemnitee, on any theory of liability, for special, indirect, consequential or punitive damages (as opposed to direct or actual damages) arising out of, in connection with, or as a result of, this Credit Agreement, any other Loan Document or any agreement or instrument contemplated hereby or thereby, the transactions contemplated hereby or thereby, any Loan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Credit Agreement or the other Loan Documents or the transactions contemplated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64" w:name="page165"/>
    <w:bookmarkEnd w:id="164"/>
    <w:p>
      <w:pPr>
        <w:ind w:left="1160" w:hanging="516"/>
        <w:spacing w:after="0"/>
        <w:tabs>
          <w:tab w:leader="none" w:pos="11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promptly and in no event later than 10 days after demand therefor.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10.4</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304"/>
        <w:spacing w:after="0" w:line="254" w:lineRule="auto"/>
        <w:tabs>
          <w:tab w:leader="none" w:pos="119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Credit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Credit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Credit Party) any legal or equitable right, remedy or claim under or by reason of this Credit Agreement.</w:t>
      </w:r>
    </w:p>
    <w:p>
      <w:pPr>
        <w:spacing w:after="0" w:line="188"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16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Credit Agreement (including all or a portion of its Commitments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5" w:lineRule="exact"/>
        <w:rPr>
          <w:rFonts w:ascii="Times New Roman" w:cs="Times New Roman" w:eastAsia="Times New Roman" w:hAnsi="Times New Roman"/>
          <w:sz w:val="18"/>
          <w:szCs w:val="18"/>
          <w:color w:val="auto"/>
        </w:rPr>
      </w:pPr>
    </w:p>
    <w:p>
      <w:pPr>
        <w:ind w:left="1780" w:hanging="488"/>
        <w:spacing w:after="0"/>
        <w:tabs>
          <w:tab w:leader="none" w:pos="17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1300"/>
        <w:spacing w:after="0" w:line="258" w:lineRule="auto"/>
        <w:tabs>
          <w:tab w:leader="none" w:pos="2544"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and/or the Loans at the time owing to it (in each case with respect to any Credit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83" w:lineRule="exact"/>
        <w:rPr>
          <w:rFonts w:ascii="Times New Roman" w:cs="Times New Roman" w:eastAsia="Times New Roman" w:hAnsi="Times New Roman"/>
          <w:sz w:val="18"/>
          <w:szCs w:val="18"/>
          <w:color w:val="auto"/>
        </w:rPr>
      </w:pPr>
    </w:p>
    <w:p>
      <w:pPr>
        <w:jc w:val="both"/>
        <w:ind w:left="640" w:firstLine="1300"/>
        <w:spacing w:after="0" w:line="254" w:lineRule="auto"/>
        <w:tabs>
          <w:tab w:leader="none" w:pos="2635"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 Revolving Facility, or $5,000,000, in the case of any assignment in respect of a Term Facility, unless each of the Administrative Agent and, so long as no Event of Default has occurred and is continuing, the Borrower otherwise consents (each such consent not to be unreasonably withheld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356235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65" w:name="page166"/>
    <w:bookmarkEnd w:id="165"/>
    <w:p>
      <w:pPr>
        <w:jc w:val="both"/>
        <w:ind w:left="-460" w:firstLine="1292"/>
        <w:spacing w:after="0" w:line="266" w:lineRule="auto"/>
        <w:tabs>
          <w:tab w:leader="none" w:pos="154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Credit Agreement with respect to the Loan or the Commitment assigned, except that this clause (ii) shall not prohibit any Lender from assigning all or a portion of its rights and obligations among separate Classes on a non-pro rata basis.</w:t>
      </w:r>
    </w:p>
    <w:p>
      <w:pPr>
        <w:spacing w:after="0" w:line="175" w:lineRule="exact"/>
        <w:rPr>
          <w:rFonts w:ascii="Times New Roman" w:cs="Times New Roman" w:eastAsia="Times New Roman" w:hAnsi="Times New Roman"/>
          <w:sz w:val="18"/>
          <w:szCs w:val="18"/>
          <w:color w:val="auto"/>
        </w:rPr>
      </w:pPr>
    </w:p>
    <w:p>
      <w:pPr>
        <w:ind w:left="-460" w:firstLine="1292"/>
        <w:spacing w:after="0" w:line="282" w:lineRule="auto"/>
        <w:tabs>
          <w:tab w:leader="none" w:pos="142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paragraph (b)(i)(B) of this Section and, in addition:</w:t>
      </w:r>
    </w:p>
    <w:p>
      <w:pPr>
        <w:spacing w:after="0" w:line="161" w:lineRule="exact"/>
        <w:rPr>
          <w:rFonts w:ascii="Times New Roman" w:cs="Times New Roman" w:eastAsia="Times New Roman" w:hAnsi="Times New Roman"/>
          <w:sz w:val="18"/>
          <w:szCs w:val="18"/>
          <w:color w:val="auto"/>
        </w:rPr>
      </w:pPr>
    </w:p>
    <w:p>
      <w:pPr>
        <w:ind w:left="2060" w:hanging="580"/>
        <w:spacing w:after="0"/>
        <w:tabs>
          <w:tab w:leader="none" w:pos="2060"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Borrower (such consent not to be unreasonably withheld or delayed) shall be required unless</w:t>
      </w:r>
    </w:p>
    <w:p>
      <w:pPr>
        <w:spacing w:after="0" w:line="27" w:lineRule="exact"/>
        <w:rPr>
          <w:rFonts w:ascii="Times New Roman" w:cs="Times New Roman" w:eastAsia="Times New Roman" w:hAnsi="Times New Roman"/>
          <w:sz w:val="18"/>
          <w:szCs w:val="18"/>
          <w:color w:val="auto"/>
        </w:rPr>
      </w:pPr>
    </w:p>
    <w:p>
      <w:pPr>
        <w:jc w:val="both"/>
        <w:ind w:left="180" w:firstLine="4"/>
        <w:spacing w:after="0" w:line="253" w:lineRule="auto"/>
        <w:tabs>
          <w:tab w:leader="none" w:pos="43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Event of Default has occurred and is continuing at the time of such assignment or (y) such assignment is to a Lender (other than a Defaulting Lender), an Affiliate of a Lender (other than a Defaulting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five Business Days after written notice of such assignment shall have delivered to the Borrower;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Borrower’s consent shall not be required during the primary syndication of the Credit Facilities;</w:t>
      </w:r>
    </w:p>
    <w:p>
      <w:pPr>
        <w:spacing w:after="0" w:line="186"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2138"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in respect of (i) the Revolving Facility or any unfunded Term Loan Commitment if such assignment is to a Person that is not a Lender with a Commitment in respect of such facility, an Affiliate of such Lender or an Approved Fund with respect to such Lender or (ii) a funded Term Facility to a Person who is not a Lender, an Affiliate of a Lender or an Approved Fund; and</w:t>
      </w:r>
    </w:p>
    <w:p>
      <w:pPr>
        <w:spacing w:after="0" w:line="179" w:lineRule="exact"/>
        <w:rPr>
          <w:rFonts w:ascii="Times New Roman" w:cs="Times New Roman" w:eastAsia="Times New Roman" w:hAnsi="Times New Roman"/>
          <w:sz w:val="18"/>
          <w:szCs w:val="18"/>
          <w:color w:val="auto"/>
        </w:rPr>
      </w:pPr>
    </w:p>
    <w:p>
      <w:pPr>
        <w:ind w:left="2100" w:hanging="620"/>
        <w:spacing w:after="0"/>
        <w:tabs>
          <w:tab w:leader="none" w:pos="2100"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L/C Issuer and the Swingline Lender shall be required for any assignment in respect of the</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Facility.</w:t>
      </w:r>
    </w:p>
    <w:p>
      <w:pPr>
        <w:spacing w:after="0" w:line="206"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47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of $3,500 (which will not be required to be paid by the Borrower or its Subsidiaries), and the assignee, if it is not a Lender, shall deliver to the Administrative Agent an Administrative Questionnaire. In addition, each assignee shall, on or before the effective date of such assignment, deliver to the Borrower and the Administrative Agent certification as to exemption from deduction or withholding of any United States Taxes in accordance with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469"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to (A) the Borrower or any of the Borrower’s Affiliates or Subsidiaries, (B) any Defaulting Lender or any of its Subsidiaries, or any Person who, upon becoming a Lender hereunder, would constitute a Defaulting Lender or a Subsidiary thereof or (C) a Person who, at the time of such assignment, is a Sanctioned Person if such assignment would violate applicable law.</w:t>
      </w:r>
    </w:p>
    <w:p>
      <w:pPr>
        <w:spacing w:after="0" w:line="179" w:lineRule="exact"/>
        <w:rPr>
          <w:rFonts w:ascii="Times New Roman" w:cs="Times New Roman" w:eastAsia="Times New Roman" w:hAnsi="Times New Roman"/>
          <w:sz w:val="18"/>
          <w:szCs w:val="18"/>
          <w:color w:val="auto"/>
        </w:rPr>
      </w:pPr>
    </w:p>
    <w:p>
      <w:pPr>
        <w:ind w:left="-460" w:firstLine="1292"/>
        <w:spacing w:after="0" w:line="282" w:lineRule="auto"/>
        <w:tabs>
          <w:tab w:leader="none" w:pos="1559"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66" w:name="page167"/>
    <w:bookmarkEnd w:id="166"/>
    <w:p>
      <w:pPr>
        <w:jc w:val="both"/>
        <w:ind w:left="660" w:firstLine="1292"/>
        <w:spacing w:after="0" w:line="253" w:lineRule="auto"/>
        <w:tabs>
          <w:tab w:leader="none" w:pos="267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prior written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Credit Agreement until such compliance occurs.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Credit Agreement and, to the extent of the interest assigned by such Assignment and Assumption,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with respect to facts and circumstances occurring prior to the effective date of such assignment. Any assignment or transfer by a Lender of rights or obligations under this Credit Agreement that does not comply with this paragraph shall be treated for purposes of this Credit Agreement as a sale by such Lender of a participation in such rights and obligations in accordance with paragraph (d) of this Section.</w:t>
      </w:r>
    </w:p>
    <w:p>
      <w:pPr>
        <w:spacing w:after="0" w:line="188" w:lineRule="exact"/>
        <w:rPr>
          <w:sz w:val="20"/>
          <w:szCs w:val="20"/>
          <w:color w:val="auto"/>
        </w:rPr>
      </w:pPr>
    </w:p>
    <w:p>
      <w:pPr>
        <w:jc w:val="both"/>
        <w:ind w:firstLine="1304"/>
        <w:spacing w:after="0" w:line="256" w:lineRule="auto"/>
        <w:tabs>
          <w:tab w:leader="none" w:pos="19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an agent of the Borrower, shall maintain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 the Administrative Agent and the Lenders may treat each Person whose name is recorded in the Register pursuant to the terms hereof as a Lender hereunder for all purposes of this Credit Agreement, notwithstanding notice to the contrary. The Register shall be available for inspection by the Borrower and any Lender, at any reasonable time and from time to time upon reasonable prior notice.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7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or the Administrative Agent, sell participations to any Person (other than (w) a natural person (or a holding company, investment vehicle or trust for, or owned and operated for the primary benefit of, a natural person), (x) the Borrower or any of the Borrower’s Affiliates or Subsidiaries, (y) any Defaulting Lender or any of its subsidiaries or (z) a Person who, at the time of such participation, is a Sanctioned Person if the sale of such participation would violate applicable law)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Credit Agreement (including all or a portion of its Revolving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Credit Agreement shall remain unchanged, (ii) such Lender shall remain solely responsible to the other parties hereto for the performance of such obligations and (iii) the Borrower, the Administrative Agent and each Credit Party shall continue to deal solely and directly with such Lender in connection with such Lender’s rights and obligations under this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7" w:name="page168"/>
    <w:bookmarkEnd w:id="167"/>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Credit Agreement and to approve any amendment, modification or waiver of any provision of this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that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Sections 3.7</w:t>
      </w:r>
      <w:r>
        <w:rPr>
          <w:rFonts w:ascii="Times New Roman" w:cs="Times New Roman" w:eastAsia="Times New Roman" w:hAnsi="Times New Roman"/>
          <w:sz w:val="18"/>
          <w:szCs w:val="18"/>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8"/>
          <w:szCs w:val="18"/>
          <w:u w:val="single" w:color="auto"/>
          <w:color w:val="auto"/>
        </w:rPr>
        <w:t>Sections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2.8(h)</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Credit Agreement notwithstanding any notice to the contrary. For the avoidance of doubt, the Administrative Agent (in its capacity as Administrative Agent) shall have no responsibility for maintaining a Participant Register.</w:t>
      </w:r>
    </w:p>
    <w:p>
      <w:pPr>
        <w:spacing w:after="0" w:line="206" w:lineRule="exact"/>
        <w:rPr>
          <w:sz w:val="20"/>
          <w:szCs w:val="20"/>
          <w:color w:val="auto"/>
        </w:rPr>
      </w:pPr>
    </w:p>
    <w:p>
      <w:pPr>
        <w:jc w:val="both"/>
        <w:ind w:firstLine="1304"/>
        <w:spacing w:after="0" w:line="261" w:lineRule="auto"/>
        <w:tabs>
          <w:tab w:leader="none" w:pos="181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Credit Agreement and the Loan Documents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Settlement</w:t>
      </w:r>
      <w:r>
        <w:rPr>
          <w:rFonts w:ascii="Times New Roman" w:cs="Times New Roman" w:eastAsia="Times New Roman" w:hAnsi="Times New Roman"/>
          <w:sz w:val="18"/>
          <w:szCs w:val="18"/>
          <w:color w:val="auto"/>
        </w:rPr>
        <w:t>. Notwithstanding anything to the contrary contained in this Credit Agreement, any Lender may exchange, continue or rollover all or a portion of its Loans in connection with any refinancing, extension, loan modification or similar transaction permitted by the terms of this Credit Agreement, pursuant to a cashless settlement mechanism approved by the Borrower, the Administrative Agent and such Lender.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Borrower herein and in the certificates or other instruments prepared or delivered in connection with or pursuant to this Credit Agreement or any other Loan Document shall be considered to have been relied upon by the other parties hereto and shall survive the execution and delivery of any Loan Document and the making of any Loans and the issuance of any Letter of Credit,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L/C Obligation or any fee or any other amount payable under the Loan Documents is outstanding and unpaid or any Letter of Credit is outstanding and so long as the Commitments have not expired or terminated. The provisions of </w:t>
      </w:r>
      <w:r>
        <w:rPr>
          <w:rFonts w:ascii="Times New Roman" w:cs="Times New Roman" w:eastAsia="Times New Roman" w:hAnsi="Times New Roman"/>
          <w:sz w:val="18"/>
          <w:szCs w:val="18"/>
          <w:u w:val="single" w:color="auto"/>
          <w:color w:val="auto"/>
        </w:rPr>
        <w:t>Sections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or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8" w:name="page169"/>
    <w:bookmarkEnd w:id="16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 xml:space="preserve">. This Credit Agreement may be executed in one or more counterparts, each of which shall be deemed an original, but all of which together shall constitute one and the same instrument. Except as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this Credit Agreement shall become effective when it shall have been executed by the Administrative Agent and when the Administrative Agent shall have received counterparts hereof that, when taken together, bear the signatures of each of the other parties hereto. Delivery of an executed signature page counterpart hereof by telecopy, emailed .pdf or any other electronic means that reproduces an image of the actual executed signature page shall be effective as delivery of a manually executed counterpart hereof. The words “execution,” “signed,” “signature,” “delivery,” and words of like import in or relating to any document to be signed in connection with this Credit Agreement and the transactions contemplated hereby shall be deemed to include electronic signatures, the electronic association of signatures and records on electronic platforms,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any other similar state laws based on the Uniform Electronic Transactions Act or the Uniform Commercial Code, each as amended, and the parties hereto hereby waive any objection to the contrary,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nothing herein shall require Administrative Agent to accept electronic signature counterparts in any form or format and (y) Administrative Agent reserves the right to require, at any time and at its sole discretion, the delivery of manually executed counterpart signature pages to any Loan Document and the parties hereto agree to promptly deliver such manually executed counterpart signature pages. This Credit Agreement and the other Loan Documents, and any separate letter agreements with respect to fees payable to Administrative Agent or any Lender, constitute the entire contract among the parties relating to the subject matter hereof and supersede any and all previous agreements and understandings, oral or written, relating to the subject matter hereof.</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one or more of the provisions contained in this Credit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If an Event of Default shall have occurred and be continuing, each Credit Party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Credit Party or any such Affiliate to or for the credit or the account of any Loan Party or any of its Subsidiaries against any and all of the obligations of such Loan Party or such Subsidiary now or hereafter existing under this Credit Agreement or any other Loan Document to such Credit Party or Affiliate, irrespective of whether or not such Credit Party shall have made any demand under this Credit Agreement or any other Loan Document and although such obligations of such Loan Party or Subsidiary may be contingent or unmatured or are owed to a branch or office of such Credit Party different from the branch or office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rights of each Credit Party and its Affiliates under this Section are in addition to other rights and remedies (including other rights of setoff) that such Credit Party and its Affiliates may have. Each Credit Party agrees to notify the Borrower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9" w:name="page170"/>
    <w:bookmarkEnd w:id="169"/>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10.9</w:t>
      </w:r>
      <w:r>
        <w:rPr>
          <w:sz w:val="20"/>
          <w:szCs w:val="20"/>
          <w:color w:val="auto"/>
        </w:rPr>
        <w:tab/>
      </w:r>
      <w:r>
        <w:rPr>
          <w:rFonts w:ascii="Times New Roman" w:cs="Times New Roman" w:eastAsia="Times New Roman" w:hAnsi="Times New Roman"/>
          <w:sz w:val="17"/>
          <w:szCs w:val="17"/>
          <w:u w:val="single" w:color="auto"/>
          <w:color w:val="auto"/>
        </w:rPr>
        <w:t>Governing Law; Jurisdiction; Consent to Service of Process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20" w:hanging="616"/>
        <w:spacing w:after="0"/>
        <w:tabs>
          <w:tab w:leader="none" w:pos="19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Credit Agreement shall be governed by, and construed in accordance with, the laws of the State of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207" w:lineRule="exact"/>
        <w:rPr>
          <w:sz w:val="20"/>
          <w:szCs w:val="20"/>
          <w:color w:val="auto"/>
        </w:rPr>
      </w:pPr>
    </w:p>
    <w:p>
      <w:pPr>
        <w:jc w:val="both"/>
        <w:ind w:firstLine="1304"/>
        <w:spacing w:after="0" w:line="254" w:lineRule="auto"/>
        <w:tabs>
          <w:tab w:leader="none" w:pos="188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parties hereto irrevocably and unconditionally submits, for itself and its property, to the exclusive jurisdiction of the courts of the State of New York sitting in New York County and of the United States District Court for the Southern District of New York and any appellate court from any thereof, in any action or proceeding arising out of or relating to this Credit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Credit Agreement or in any other Loan Document shall affect any right that any Credit Party may otherwise have to bring any action or proceeding relating to this Credit Agreement or any other Loan Document against the Borrower or any other Loan Party or its properties in the courts of any jurisdiction.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1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Objection to Venue</w:t>
      </w:r>
      <w:r>
        <w:rPr>
          <w:rFonts w:ascii="Times New Roman" w:cs="Times New Roman" w:eastAsia="Times New Roman" w:hAnsi="Times New Roman"/>
          <w:sz w:val="18"/>
          <w:szCs w:val="18"/>
          <w:color w:val="auto"/>
        </w:rPr>
        <w:t>. Each of the parties hereto irrevocably and unconditionally waives, to the fullest extent permitted by applicable law, any objection that it may now or hereafter have to the laying of venue of any action or proceeding arising out of or relating to this Credit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of the parties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Nothing in this Credit Agreement will affect the right of any party to this Credit Agreement to serve process in any other manner permitted by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CREDIT AGREEMENT OR ANY OTHER LOAN DOCUMENT OR THE TRANSACTIONS CONTEMPLATED HEREBY OR THEREBY (WHETHER BASED ON CONTRACT, TORT OR ANY OTHER THEORY). EACH PARTY HERETO HEREBY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CREDIT AGREEMENT AND THE OTHER LOAN DOCUMENTS BY, AMONG OTHER THINGS, THE MUTUAL WAIVERS AND CERTIFICATIONS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0" w:name="page171"/>
    <w:bookmarkEnd w:id="17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Payments Set Aside</w:t>
      </w:r>
      <w:r>
        <w:rPr>
          <w:rFonts w:ascii="Times New Roman" w:cs="Times New Roman" w:eastAsia="Times New Roman" w:hAnsi="Times New Roman"/>
          <w:sz w:val="18"/>
          <w:szCs w:val="18"/>
          <w:color w:val="auto"/>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Fraudulent Transfer Law,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per annum equal to the Federal Funds Effective Rate.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Credit Agreement and shall not affect the construction of, or be taken into consideration in interpreting, this Credit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or L/C Obligation, together with all fees, charges and other amounts that are treated as interest thereon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holding an interest in such Loan or L/C Obligation in accordance with applicable law, the rate of interest payable in respect of such Loan or L/C Obligation hereunder, together with all of the charges payable in respect thereof, shall be limited to the maximum rate and, to the extent lawful, the interest and the charges that would have been payable in respect of such Loan or L/C Obligation but were not payable as a result of the operation of this Section shall be cumulated, and the interest and the charges payable to such Lender in respect of other Loans or L/C Obligations or periods shall be increased (but not above the maximum rate therefor) until such cumulated amount, together with interest thereon at the Federal Funds Effective Rate to the date of repayment, shall have been received by such Lender.</w:t>
      </w:r>
    </w:p>
    <w:p>
      <w:pPr>
        <w:spacing w:after="0" w:line="18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10.14</w:t>
      </w:r>
      <w:r>
        <w:rPr>
          <w:sz w:val="20"/>
          <w:szCs w:val="20"/>
          <w:color w:val="auto"/>
        </w:rPr>
        <w:tab/>
      </w:r>
      <w:r>
        <w:rPr>
          <w:rFonts w:ascii="Times New Roman" w:cs="Times New Roman" w:eastAsia="Times New Roman" w:hAnsi="Times New Roman"/>
          <w:sz w:val="17"/>
          <w:szCs w:val="17"/>
          <w:u w:val="single" w:color="auto"/>
          <w:color w:val="auto"/>
        </w:rPr>
        <w:t>Confidentiality; Treatment of Certain Information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898"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Credit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or obligations under this Credit Agreement or (B) any actual or prospective party (or its Related Parties) to any swap, derivative or other transaction under which payments are to be made by reference to the Borrower and its obligations, this Credit Agreement or payments hereunder, (vii) on a confidential basis to (A) any rating agency in connection with rating the Borrower, its Subsidiaries or the Credit Facilities or (B) the CUSIP Service Bureau or any similar agency in connection with the issuance and monitoring of CUSIP numbers with respect to the Credit Facilities, (viii) with the consent of the Borrower or (ix) to the extent such Information (A) becomes publicly available other than as a result of a breach of this Section or</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9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available to the Administrative Agent, any Credit Party or any of their respective Affiliates on a non-confidential basis from a source other than the Borrower or (C) is independently generated by the Administrative Agent, any Credit Party or any of their respective Affiliates. In addition, the Administrative Agent and the Lenders may disclose the existence of this Credit Agreement and information about this Credit Agreement to (i) market data collectors, league table providers and other similar service providers to the lending industry and (ii) service providers to the Administrative Agent or any Lender in connection with the administration of this Credit Agreement, the other Loan Documents, and the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1" w:name="page172"/>
    <w:bookmarkEnd w:id="171"/>
    <w:p>
      <w:pPr>
        <w:jc w:val="both"/>
        <w:ind w:firstLine="1304"/>
        <w:spacing w:after="0" w:line="253" w:lineRule="auto"/>
        <w:tabs>
          <w:tab w:leader="none" w:pos="182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any Loan Party or any of its Subsidiaries relating to any Loan Party or any of its Subsidiaries or any of their respective businesses, other than any such information that is available to the Administrative Agent or any other Credit Party on a non-confidential basis prior to disclosure by any Loan Party or any Subsidiary or that is independently prepared by the Administrative Agent or any other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any Loan Party or any of its Subsidiaries after the Agreement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Notwithstanding anything herein to the contrary, “Information” shall not include, and each Credit Party (and their Affiliates and respective partners, directors, officers, employees, agents, advisors and representatives) may disclose to any and all persons, without limitation of any kind, any information with respect to the U.S. federal income tax treatment and U.S. federal income tax structure of the transactions contemplated hereby and all materials of any kind (including opinions or other tax analyses) that are provided to such Credit Party relating to such tax treatment and tax structure.</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9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agree, on behalf of themselves and their Affiliates, that they will not in the future issue any press releases or other public disclosure using the name of the Administrative Agent or any Lender or their respective Affiliates or referring to this Credit Agreement or any of the other Loan Documents without the prior written consent of such Person, unless (and only to the extent that) the Loan Parties or such Affiliate is required to do so under law and then, in any event, the Loan Parties or such Affiliate will consult with such Person before issuing such press release or other public disclosure (provided, for the avoidance of doubt, the Loan Parties shall not have any obligation to consult with the Administrative Agent prior to making filings with the SEC as required by law).</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83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consent to the publication by the Administrative Agent or any Lender of customary advertising material relating to the Transactions (including, without limitation amount and type of facility) using the name, product photographs, logo or trademark of the Loan Parties.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The Borrower shall, and shall cause each Subsidiary to, provide such information and take such actions as are reasonably requested by the Administrative Agent or any Lender in order to assist the Administrative Agent and the Lenders in maintaining compliance with the USA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2" w:name="page173"/>
    <w:bookmarkEnd w:id="17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Each Loan Party agrees that in connection with all aspects of the transactions contemplated hereby and any communications in connection therewith, such Loan Party and its Affiliates, on the one hand, and the Administrative Agent, the Lead Arrangers, the Documentation Agent, the Syndication Agent, the other Credit Parties and their respective Affiliates, on the other hand, will have a business relationship that does not create, by implication or otherwise, any fiduciary duty on the part of the Administrative Agent, the Lead Arrangers, the Documentation Agent, the Syndication Agent, the other Credit Parties or their respective Affiliates and no such duty will be deemed to have arisen in connection with any such transactions or communications.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20" w:firstLine="1304"/>
        <w:spacing w:after="0" w:line="282" w:lineRule="auto"/>
        <w:tabs>
          <w:tab w:leader="none" w:pos="186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42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Credit Agreement or any other Loan Document; or</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56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applicable Resolution Authority.</w:t>
      </w:r>
    </w:p>
    <w:p>
      <w:pPr>
        <w:spacing w:after="0" w:line="16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10.18</w:t>
      </w:r>
      <w:r>
        <w:rPr>
          <w:sz w:val="20"/>
          <w:szCs w:val="20"/>
          <w:color w:val="auto"/>
        </w:rPr>
        <w:tab/>
      </w:r>
      <w:r>
        <w:rPr>
          <w:rFonts w:ascii="Times New Roman" w:cs="Times New Roman" w:eastAsia="Times New Roman" w:hAnsi="Times New Roman"/>
          <w:sz w:val="17"/>
          <w:szCs w:val="17"/>
          <w:u w:val="single" w:color="auto"/>
          <w:color w:val="auto"/>
        </w:rPr>
        <w:t>Certain ERISA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82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and not, for the avoidance of doubt, to or for the benefit of the Borrower or any other Loan Party, that at least one of the following is and will be true:</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539"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29 CFR § 2510.3-101, as modified by Section 3(42) of ERISA) of one or more Benefit Plans in connection with the Loans, the Letters of Credit or the Commitments,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542"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3" w:name="page174"/>
    <w:bookmarkEnd w:id="173"/>
    <w:p>
      <w:pPr>
        <w:jc w:val="both"/>
        <w:ind w:left="660" w:firstLine="1292"/>
        <w:spacing w:after="0" w:line="254" w:lineRule="auto"/>
        <w:tabs>
          <w:tab w:leader="none" w:pos="2612"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Credit Agreement, (C) the entrance into, participation in, administration of and performance of the Loans, the Letters of Credit, the Commitments and this Credit Agreement satisfies the requirements of sub-sections (b) through (g) of Part I of PTE 84-14 and (D) to the best knowledge of such Lender, the requirements of subsection</w:t>
      </w:r>
    </w:p>
    <w:p>
      <w:pPr>
        <w:spacing w:after="0" w:line="3" w:lineRule="exact"/>
        <w:rPr>
          <w:rFonts w:ascii="Times New Roman" w:cs="Times New Roman" w:eastAsia="Times New Roman" w:hAnsi="Times New Roman"/>
          <w:sz w:val="18"/>
          <w:szCs w:val="18"/>
          <w:color w:val="auto"/>
        </w:rPr>
      </w:pPr>
    </w:p>
    <w:p>
      <w:pPr>
        <w:ind w:left="660" w:hanging="4"/>
        <w:spacing w:after="0" w:line="260" w:lineRule="auto"/>
        <w:tabs>
          <w:tab w:leader="none" w:pos="92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Part I of PTE 84-14 are satisfied with respect to such Lender's entrance into, participation in, administration of and performance of the Loans, the Letters of Credit, the Commitments and this Credit Agreement, or</w:t>
      </w:r>
    </w:p>
    <w:p>
      <w:pPr>
        <w:spacing w:after="0" w:line="181" w:lineRule="exact"/>
        <w:rPr>
          <w:sz w:val="20"/>
          <w:szCs w:val="20"/>
          <w:color w:val="auto"/>
        </w:rPr>
      </w:pPr>
    </w:p>
    <w:p>
      <w:pPr>
        <w:ind w:left="660" w:right="20" w:firstLine="1292"/>
        <w:spacing w:after="0" w:line="282" w:lineRule="auto"/>
        <w:tabs>
          <w:tab w:leader="none" w:pos="2578"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7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and not, for the avoidance of doubt, to or for the benefit of the Borrower or any other Loan Party, that none of the Administrative Agent or the Lead Arrangers or any of their respective Affiliates is a fiduciary with respect to the assets of such Lender (including in connection with the reservation or exercise of any rights by the Administrative Agent under this Credit Agreement, any Loan Document or any documents related to hereto or thereto).</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1304"/>
        <w:spacing w:after="0" w:line="253" w:lineRule="auto"/>
        <w:tabs>
          <w:tab w:leader="none" w:pos="182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4" w:name="page175"/>
    <w:bookmarkEnd w:id="174"/>
    <w:p>
      <w:pPr>
        <w:ind w:left="1160" w:hanging="516"/>
        <w:spacing w:after="0"/>
        <w:tabs>
          <w:tab w:leader="none" w:pos="11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1940" w:hanging="864"/>
        <w:spacing w:after="0"/>
        <w:tabs>
          <w:tab w:leader="none" w:pos="19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1940" w:hanging="864"/>
        <w:spacing w:after="0"/>
        <w:tabs>
          <w:tab w:leader="none" w:pos="19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940" w:hanging="864"/>
        <w:spacing w:after="0"/>
        <w:tabs>
          <w:tab w:leader="none" w:pos="19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ectPr>
          <w:pgSz w:w="11900" w:h="16838" w:orient="portrait"/>
          <w:cols w:equalWidth="0" w:num="1">
            <w:col w:w="10540"/>
          </w:cols>
          <w:pgMar w:left="980" w:top="580" w:right="37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Indemnification Agreement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and entered into this ____ day of ______ 20__, by and between Harvard Bioscience, Inc.,</w:t>
      </w:r>
    </w:p>
    <w:p>
      <w:pPr>
        <w:spacing w:after="0" w:line="3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term shall include, where appropriate, any Entity (as hereinafter defined) controlled directly or indirectly by the Company) and ____________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it is essential to the Company that it be able to retain and attract the most capable persons available as directors, officers and senior executives;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increased corporate litigation has subjected directors, officers, and senior executives of public companies to litigation risks and expenses, and the limitations on the availability of directors and officers liability insurance have made it increasingly difficult for the Company to attract and retain such persons;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Company’s Certificate of Incorporation, as amended from time to time, and By-laws, as amended from time to time, require it to indemnify its directors and officers to the fullest extent permitted by law and permit it to make other indemnification arrangements and agreements;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desires to provide Indemnitee with specific contractual assurance of Indemnitee’s rights to full indemnification against litigation risks and expenses (regardless, among other things, of any amendment to or revocation of any such Certificate of Incorporation or By-laws or any change in the ownership of the Company or the composition of its Board of Directors);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intends that this Agreement provide Indemnitee with greater protection than that which is provided by the Company's Certificate of Incorporation or Bylaws;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Indemnitee is relying upon the rights afforded under this Agreement in continuing as a director, officer or employee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and the covenants contained herein, the Company and Indemnitee do hereby covenant and agree as follows:</w:t>
      </w:r>
    </w:p>
    <w:p>
      <w:pPr>
        <w:spacing w:after="0" w:line="162" w:lineRule="exact"/>
        <w:rPr>
          <w:sz w:val="20"/>
          <w:szCs w:val="20"/>
          <w:color w:val="auto"/>
        </w:rPr>
      </w:pPr>
    </w:p>
    <w:p>
      <w:pPr>
        <w:ind w:left="1300" w:hanging="428"/>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44"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describes the status of a person who is serving or has served (i) as a director, officer, or employee of the Company, (ii) in any capacity with respect to any employee benefit plan of the Company, or (iii) as a director, partner, trustee, officer, employee, or agent of any other Entity at the request of the Company. For purposes of subsection (iii) of this Section 1(a), if Indemnitee is serving or has served as a director, partner, trustee, officer, employee or agent of a Subsidiary or a predecessor corporation of the Company or of another enterprise at the request of such predecessor corporation, Indemnitee shall be deemed to be serving at the request of the Company.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6" w:name="page177"/>
    <w:bookmarkEnd w:id="176"/>
    <w:p>
      <w:pPr>
        <w:ind w:left="660" w:firstLine="644"/>
        <w:spacing w:after="0" w:line="282" w:lineRule="auto"/>
        <w:tabs>
          <w:tab w:leader="none" w:pos="2103"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shall mean any corporation, partnership, limited liability company, joint venture, trust, foundation, association, organization or other legal entity, whether domestic or foreign.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83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mean all fees, costs and expenses incurred by Indemnitee in connection with any Proceeding (as defined below), including, without limitation, attorneys’ fees, disbursements and retainers (including, without limitation, any such fees, disbursements and retainers incurred by Indemnitee pursuant to Sections 10 and 11(c) of this Agreement), fees and disbursements of expert witnesses, private investigators and professional advisors (including, without limitation, accountants and investment bankers), court costs, transcript costs, costs and expenses of being a witness, fees of experts, travel expenses, duplicating, printing and binding costs, telephone and fax transmission charges, postage, delivery services, secretarial services, and other disbursements and expenses.</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91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Expenses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Indemnifiable Liabilities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Indemnifiable Amounts</w:t>
      </w:r>
      <w:r>
        <w:rPr>
          <w:rFonts w:ascii="Times New Roman" w:cs="Times New Roman" w:eastAsia="Times New Roman" w:hAnsi="Times New Roman"/>
          <w:sz w:val="18"/>
          <w:szCs w:val="18"/>
          <w:color w:val="auto"/>
        </w:rPr>
        <w:t>” shall have the meanings ascribed to those terms in Section 3(a) below.</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0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shall mean judgments, damages, liabilities, losses, penalties, excise taxes, any federal, state, local or foreign taxes imposed as a result of the actual or deemed receipt of any payments under this Agreement, fines and amounts paid in settlement.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1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any threatened, pending or completed claim, action, suit, arbitration, alternate dispute resolution process, investigation, inquiry, administrative hearing, appeal, or any other proceeding, whether civil, criminal, administrative, arbitrative or investigative, whether formal or informal, including a proceeding initiated by Indemnitee pursuant to Section 10 of this Agreement to enforce Indemnitee’s rights hereunder.</w:t>
      </w:r>
    </w:p>
    <w:p>
      <w:pPr>
        <w:spacing w:after="0" w:line="179"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Proceeding</w:t>
      </w:r>
      <w:r>
        <w:rPr>
          <w:rFonts w:ascii="Times New Roman" w:cs="Times New Roman" w:eastAsia="Times New Roman" w:hAnsi="Times New Roman"/>
          <w:sz w:val="18"/>
          <w:szCs w:val="18"/>
          <w:color w:val="auto"/>
        </w:rPr>
        <w:t>” shall have the meanings ascribed to such term in Section 6 below.</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Company owns (either directly or through or together with another Subsidiary of the Company)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16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OF INDEMNITEE. In consideration of the Company’s covenants and commitments hereunder, Indemnitee agrees to serve or continue to serve as a director, officer or employee of the Company. However, this Agreement shall not impose any obligation on Indemnitee or the Company to continue Indemnitee’s service to the Company beyond any period otherwise required by law or by other agreements or commitments of the parties, if 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7" w:name="page178"/>
    <w:bookmarkEnd w:id="177"/>
    <w:p>
      <w:pPr>
        <w:jc w:val="both"/>
        <w:ind w:firstLine="656"/>
        <w:spacing w:after="0" w:line="258" w:lineRule="auto"/>
        <w:tabs>
          <w:tab w:leader="none" w:pos="1107"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INDEMNIFY. Subject to the exceptions contained in Section 4 below, if Indemnitee was or is a party or is threatened to be made a party to any Proceeding by reason of Indemnitee’s Corporate Status (whether relating to events or occurrences that took place either prior to or after the earliest point in time the Indemnitee had such Corporate Status), Indemnitee shall be indemnified by the Company against all Expenses and Liabilities incurred or paid by Indemnitee in connection with such Proceeding (referred to herein as “</w:t>
      </w:r>
      <w:r>
        <w:rPr>
          <w:rFonts w:ascii="Times New Roman" w:cs="Times New Roman" w:eastAsia="Times New Roman" w:hAnsi="Times New Roman"/>
          <w:sz w:val="18"/>
          <w:szCs w:val="18"/>
          <w:u w:val="single" w:color="auto"/>
          <w:color w:val="auto"/>
        </w:rPr>
        <w:t>Indemnifiable Expenses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Indemnifiable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respectively, and collectively as “</w:t>
      </w:r>
      <w:r>
        <w:rPr>
          <w:rFonts w:ascii="Times New Roman" w:cs="Times New Roman" w:eastAsia="Times New Roman" w:hAnsi="Times New Roman"/>
          <w:sz w:val="18"/>
          <w:szCs w:val="18"/>
          <w:u w:val="single" w:color="auto"/>
          <w:color w:val="auto"/>
        </w:rPr>
        <w:t>Indemnifiable Amounts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EXCEPTIONS TO INDEMNIFICATION.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Indemnitee shall be entitled to indemnification under Section 3 in all circumstances, other than the following:</w:t>
      </w:r>
    </w:p>
    <w:p>
      <w:pPr>
        <w:spacing w:after="0" w:line="225" w:lineRule="exact"/>
        <w:rPr>
          <w:sz w:val="20"/>
          <w:szCs w:val="20"/>
          <w:color w:val="auto"/>
        </w:rPr>
      </w:pPr>
    </w:p>
    <w:p>
      <w:pPr>
        <w:jc w:val="both"/>
        <w:ind w:left="1300" w:firstLine="4"/>
        <w:spacing w:after="0" w:line="258" w:lineRule="auto"/>
        <w:tabs>
          <w:tab w:leader="none" w:pos="156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has been adjudicated finally by a court of competent jurisdiction that, in connection with the subject of the Proceeding out of which the claim for indemnification has arisen, Indemnitee failed to act (i) in good faith and (ii) in a manner Indemnitee reasonably believed to be in or not opposed to the best interests of the Company, or, with respect to any criminal action or proceeding, Indemnitee had reasonable cause to believe that Indemnitee’s conduct was unlawful, Indemnitee shall not be entitled to payment of Indemnifiable Amounts hereunder.</w:t>
      </w:r>
    </w:p>
    <w:p>
      <w:pPr>
        <w:spacing w:after="0" w:line="183"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157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indemnification is requested under Section 3 in connection with any claim against the Indemnitee for an accounting of profits arising from the purchase or sale by Indemnitee of securities of the Company in violation of Section 16(b) of the Securities and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any similar successor statute or similar provisions of state statutory law or common law.</w:t>
      </w:r>
    </w:p>
    <w:p>
      <w:pPr>
        <w:spacing w:after="0" w:line="179" w:lineRule="exact"/>
        <w:rPr>
          <w:rFonts w:ascii="Times New Roman" w:cs="Times New Roman" w:eastAsia="Times New Roman" w:hAnsi="Times New Roman"/>
          <w:sz w:val="18"/>
          <w:szCs w:val="18"/>
          <w:color w:val="auto"/>
        </w:rPr>
      </w:pPr>
    </w:p>
    <w:p>
      <w:pPr>
        <w:jc w:val="both"/>
        <w:ind w:left="1300" w:firstLine="4"/>
        <w:spacing w:after="0" w:line="258" w:lineRule="auto"/>
        <w:tabs>
          <w:tab w:leader="none" w:pos="158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not be entitled to indemnification pursuant to this Agreement in connection with any Proceeding initiated by Indemnitee against the Company or any director, officer, or employee of the Company unless (i) the Company has joined in or the Board has consented to the initiation of such Proceeding; or (ii) the Proceeding was initiated by Indemnitee pursuant to Section 10 of this Agreement to enforce Indemnitee’s rights hereunder, or (iii) the Company provides the indemnification, in its sole discretion, pursuant to the powers vested in the Company under applicable law.</w:t>
      </w:r>
    </w:p>
    <w:p>
      <w:pPr>
        <w:spacing w:after="0" w:line="183" w:lineRule="exact"/>
        <w:rPr>
          <w:rFonts w:ascii="Times New Roman" w:cs="Times New Roman" w:eastAsia="Times New Roman" w:hAnsi="Times New Roman"/>
          <w:sz w:val="18"/>
          <w:szCs w:val="18"/>
          <w:color w:val="auto"/>
        </w:rPr>
      </w:pPr>
    </w:p>
    <w:p>
      <w:pPr>
        <w:jc w:val="both"/>
        <w:ind w:left="1300" w:firstLine="4"/>
        <w:spacing w:after="0" w:line="258" w:lineRule="auto"/>
        <w:tabs>
          <w:tab w:leader="none" w:pos="158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in connection with Indemnitee’s reimbursement to the Company of any bonus or other incentive-based or equity-based compensation previously received by Indemnitee, as required in each case under the Exchange Act (including any such reimbursements under Section 304 of the Sarbanes-Oxley Act of 2002 in connection with an accounting restatement of the Company or under the Company’s Dodd-Frank Clawback Policy, adopted pursuant to Rule 10D-1 under the Exchange Act and Section 954 of the Dodd-Frank Wall Street Reform and Consumer Protection Act of 2010).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8" w:name="page179"/>
    <w:bookmarkEnd w:id="178"/>
    <w:p>
      <w:pPr>
        <w:jc w:val="both"/>
        <w:ind w:firstLine="656"/>
        <w:spacing w:after="0" w:line="258" w:lineRule="auto"/>
        <w:tabs>
          <w:tab w:leader="none" w:pos="121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 FOR APPLICATION AND PAYMENT OF INDEMNIFIABLE AMOUNTS. Indemnitee shall submit to the Company a written request specifying the Indemnifiable Amounts for which Indemnitee seeks payment under Section 3 of this Agreement and the basis for the claim. Subject to Section 4, the Company shall pay such Indemnifiable Amounts to Indemnitee within sixty (60) calendar days of receipt of the request. At the request of the Company, Indemnitee shall furnish such documentation and information as are reasonably available to Indemnitee and necessary to establish that Indemnitee is entitled to indemnification 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2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FOR EXPENSES OF A PARTY WHO IS WHOLLY OR PARTLY SUCCESSFUL. Notwithstanding any other provision of this Agreement, and without limiting any such provision, to the extent that Indemnitee is, by reason of Indemnitee’s Corporate Status, a party to and is successful, on the merits or otherwise, in (i) any Proceeding and/or (ii) a proceeding initiated by Indemnitee for recovery under director’s and officer’s liability insurance policies maintained by the Company (“</w:t>
      </w:r>
      <w:r>
        <w:rPr>
          <w:rFonts w:ascii="Times New Roman" w:cs="Times New Roman" w:eastAsia="Times New Roman" w:hAnsi="Times New Roman"/>
          <w:sz w:val="18"/>
          <w:szCs w:val="18"/>
          <w:u w:val="single" w:color="auto"/>
          <w:color w:val="auto"/>
        </w:rPr>
        <w:t>Recovery Proceeding</w:t>
      </w:r>
      <w:r>
        <w:rPr>
          <w:rFonts w:ascii="Times New Roman" w:cs="Times New Roman" w:eastAsia="Times New Roman" w:hAnsi="Times New Roman"/>
          <w:sz w:val="18"/>
          <w:szCs w:val="18"/>
          <w:color w:val="auto"/>
        </w:rPr>
        <w:t>”), Indemnitee shall be indemnified against all Expenses reasonably incurred by Indemnitee or on Indemnitee’s behalf in connection therewith. If Indemnitee is not wholly successful in such Proceeding or Recovery Proceeding but is successful, on the merits or otherwise, as to one or more but less than all claims, issues or matters in such Proceeding or Recovery Proceeding, the Company shall indemnify Indemnitee against all Expenses reasonably incurred by Indemnitee or on Indemnitee’s behalf in connection with each successfully resolved claim, issue or matter. For purposes of this Agreement, the termination of any claim, issue or matter in such a Proceeding or Recovery Proceeding by dismissal, with or without prejudice, shall be deemed to be a successful result as to such claim, issue or matter.</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09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CERTAIN RESOLUTIONS. Neither the settlement nor termination of any Proceeding nor the failure of the Company to award indemnification or to determine that indemnification is payable shall create an adverse presumption that Indemnitee is not entitled to indemnification hereunder. In addition, the termination of any proceeding by judgment, order, settlement, conviction, or upon a plea of nolo contendere or its equivalent shall not create a presumption that Indemnitee did not act in good faith and in a manner which Indemnitee reasonably believed to be in or not opposed to the best interests of the Company or, with respect to any criminal action or proceeding, had reasonable cause to believe that Indemnitee’s action was unlawful.</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23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ADVANCE EXPENSES; UNDERTAKING. The Company shall advance all Expenses incurred by or on behalf of Indemnitee in connection with (i) any Proceeding, including a Proceeding by or in the right of the Company, in which Indemnitee is involved by reason of such Indemnitee’s Corporate Status, and/or (ii) a Recovery Proceeding, within ten (10) days after the receipt by the Company of a written statement from Indemnitee requesting such advance or advances from time to time, whether prior to or after final disposition of such Proceeding or Recovery Proceeding. All advances shall be unsecured and interest free. Indemnitee hereby undertakes to repay the amount of Expenses paid to Indemnitee if it is finally determined by a court of competent jurisdiction that Indemnitee is not entitled under this Agreement, the Bylaws, the Certificate of Incorporation, applicable law or otherwise, to indemnification with respect to such Expenses. This undertaking is an unlimited general obligation of Indemnitee. This Section 8 shall not apply to any claim made by Indemnitee which is excluded pursuant to Section 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9" w:name="page180"/>
    <w:bookmarkEnd w:id="179"/>
    <w:p>
      <w:pPr>
        <w:jc w:val="both"/>
        <w:ind w:firstLine="656"/>
        <w:spacing w:after="0" w:line="261" w:lineRule="auto"/>
        <w:tabs>
          <w:tab w:leader="none" w:pos="120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 FOR ADVANCE PAYMENT OF EXPENSES. Indemnitee shall submit to the Company a written request specifying the Indemnifiable Expenses for which Indemnitee seeks an advancement under Section 8 of this Agreement, together with documentation evidencing that Indemnitee has incurred such Indemnifiable Expenses. Payment of Indemnifiable Expenses under Section 8 shall be made no later than ten (10) calendar days after the Company’s receipt of such request.</w:t>
      </w:r>
    </w:p>
    <w:p>
      <w:pPr>
        <w:spacing w:after="0" w:line="179"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REMEDIES OF INDEMNITEE.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PETITION COURT. In the event that Indemnitee makes a request for payment of Indemnifiable Amounts under Sections 3 and 5 above or a request for an advancement of Indemnifiable Expenses under Sections 8 and 9 above and the Company fails to make such payment or advancement in a timely manner pursuant to the terms of this Agreement, Indemnitee may petition the Court of Chancery to enforce the Company’s obligations under this Agreement.</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8"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 OF PROOF. In any judicial proceeding brought under Section 10(a) above, the Company shall have the burden of proving that Indemnitee is not entitled to payment of Indemnifiable Amounts hereunder.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If Indemnitee is successful in whole or in part in connection with any action brought by Indemnitee under Section 10(a) above, to the extent not already advanced in accordance with Section 8 above in relation to such enforcement action, the Company agrees to reimburse Indemnitee in full for any Expenses incurred by Indemnitee in connection with investigating, preparing for, litigating, defending or settling any such action, or in connection with any claim or counterclaim brought by the Company in connection therewith.</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OF AGREEMENT. The Company shall be precluded from asserting in any Proceeding, including, without limitation, an action under Section 10(a) above, that the provisions of this Agreement are not valid, binding and enforceable or that there is insufficient consideration for this Agreement and shall stipulate in court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5"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ACT NOT A DEFENSE. The failure of the Company (including its Board of Directors or any committee thereof, independent legal counsel, or stockholders) to make a determination concerning the permissibility of the payment of Indemnifiable Amounts or the advancement of Indemnifiable Expenses under this Agreement shall not be a defense in any action brought under Section 10(a) above, and shall not create a presumption that such payment or advancement is not permissible.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0" w:name="page181"/>
    <w:bookmarkEnd w:id="180"/>
    <w:p>
      <w:pPr>
        <w:ind w:left="1180" w:hanging="524"/>
        <w:spacing w:after="0"/>
        <w:tabs>
          <w:tab w:leader="none" w:pos="11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DEFENSE OF THE UNDERLYING PROCEEDING.</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3"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BY INDEMNITEE. Indemnitee agrees to notify the Company promptly upon being served with any summons, citation, subpoena, complaint, indictment, information, or other document relating to any Proceeding which may result in the payment of Indemnifiable Amounts or the advancement of Indemnifiable Expenses hereunder; provided, however, that the failure to give any such notice shall not disqualify Indemnitee from the right to receive payments of Indemnifiable Amounts or advancements of Indemnifiable Expenses unless the Company’s ability to defend in such Proceeding is materially and adversely prejudiced thereby.</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91"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DEFENSE BY COMPANY. Subject to the provisions of the last sentence of this Section 11(b) and of Section 11(c) below, the Company shall have the right to defend Indemnitee in any Proceeding which may give rise to the payment of Indemnifiable Amounts hereunder; provided, however that the Company shall notify Indemnitee of any such decision to defend within ten (10) days of receipt of notice of any such Proceeding under Section 11(a) above. The Company shall not, without the prior written consent of Indemnitee, consent to the entry of any judgment against Indemnitee or enter into any settlement or compromise which (i) includes an admission of fault of Indemnitee or (ii) does not include, as an unconditional term thereof, the full release of Indemnitee from all liability in respect of such Proceeding, which release shall be in form and substance reasonably satisfactory to Indemnitee. This Section 11(b) shall not apply to a Proceeding brought by Indemnitee under Section 10(a), above, or pursuant to Section 20, below.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88"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INDEMNITEE’S RIGHT TO COUNSEL. Notwithstanding the provisions of Section 11(b) above, if in a Proceeding to which Indemnitee is a party by reason of Indemnitee’s Corporate Status, Indemnitee reasonably concludes that it may have separate defenses or counterclaims to assert with respect to any issue which may not be consistent with the position of other defendants in such Proceeding, or if the Company fails to assume the defense of such proceeding in a timely manner, Indemnitee shall be entitled to be represented by separate legal counsel of Indemnitee’s choice at the expense of the Company. In addition, if the Company fails to comply with any of its obligations under this Agreement or in the event that the Company or any other person takes any action to declare this Agreement void or unenforceable, or institutes any action, suit or proceeding to deny or to recover from Indemnitee the benefits intended to be provided to Indemnitee hereunder, Indemnitee shall have the right to retain counsel of Indemnitee’s choice, at the expense of the Company, to represent Indemnitee in connection with any such matter.</w:t>
      </w:r>
    </w:p>
    <w:p>
      <w:pPr>
        <w:spacing w:after="0" w:line="188"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OF THE COMPANY. The Company hereby represents and warrants to Indemnitee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firstLine="644"/>
        <w:spacing w:after="0" w:line="282" w:lineRule="auto"/>
        <w:tabs>
          <w:tab w:leader="none" w:pos="155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The Company has all necessary power and authority to enter into, and be bound by the terms of, this Agreement, and the execution, delivery and performance of the undertakings contemplated by this Agreement have been duly authorized by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1" w:name="page182"/>
    <w:bookmarkEnd w:id="181"/>
    <w:p>
      <w:pPr>
        <w:jc w:val="both"/>
        <w:ind w:left="660" w:firstLine="644"/>
        <w:spacing w:after="0" w:line="261" w:lineRule="auto"/>
        <w:tabs>
          <w:tab w:leader="none" w:pos="1568"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ENFORCEABILITY. This Agreement, when executed and delivered by the Company in accordance with the provisions hereof, shall be a legal, valid and binding obligation of the Company, enforceable against the Company in accordance with its terms, except as such enforceability may be limited by applicable bankruptcy, insolvency, moratorium, reorganization or similar laws affecting the enforcement of creditors’ rights generally.</w:t>
      </w:r>
    </w:p>
    <w:p>
      <w:pPr>
        <w:spacing w:after="0" w:line="179" w:lineRule="exact"/>
        <w:rPr>
          <w:rFonts w:ascii="Times New Roman" w:cs="Times New Roman" w:eastAsia="Times New Roman" w:hAnsi="Times New Roman"/>
          <w:sz w:val="18"/>
          <w:szCs w:val="18"/>
          <w:color w:val="auto"/>
        </w:rPr>
      </w:pPr>
    </w:p>
    <w:p>
      <w:pPr>
        <w:ind w:right="80" w:firstLine="656"/>
        <w:spacing w:after="0" w:line="255" w:lineRule="auto"/>
        <w:tabs>
          <w:tab w:leader="none" w:pos="118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The Company shall use commercially reasonable efforts (taking into account the scope and amount of coverage available relative to the cost thereof) to continue to maintain in effect policies of directors’ and officers’ liability insurance with a reputable insurance company providing the Indemnitee with coverage for losses from wrongful acts, and to ensure the Company’s performance of its indemnification obligations under this Agreement. In all policies of director and officer liability insurance, Indemnitee shall be named as an insured in such a manner as to provide Indemnitee the same rights and benefits as are accorded to the most favorably insured of the Company’s officers and directors. The Company shall provide to Indemnitee copies of all directors’ and officers’ liability insurance applications, binders, policies, declarations, endorsements and other related materials upon request, and shall promptly notify Indemnitee of any good faith determination not to provide such coverage.</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19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RIGHTS NOT EXCLUSIVE. The rights to payment of Indemnifiable Amounts and advancement of Indemnifiable Expenses provided by this Agreement shall be in addition to, but not exclusive of, any other rights which Indemnitee may have at any time under applicable law, the Company’s By-laws or Certificate of Incorporation, or any other agreement, vote of stockholders or directors (or a committee of directors), or otherwise, both as to action in Indemnitee’s official capacity and as to action in any other capacity as a result of Indemnitee’s serving as a director or officer of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21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This Agreement shall be (a) binding upon all successors and assigns of the Company (including any transferee of all or a substantial portion of the business, stock and/or assets of the Company and any direct or indirect successor by merger or consolidation or otherwise by operation of law) and (b) binding on and shall inure to the benefit of the heirs, personal representatives, executors and administrators of Indemnitee. This Agreement shall continue for the benefit of Indemnitee and such heirs, personal representatives, executors and administrators after Indemnitee has ceased to have Corporate Status.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2" w:name="page183"/>
    <w:bookmarkEnd w:id="182"/>
    <w:p>
      <w:pPr>
        <w:jc w:val="both"/>
        <w:ind w:firstLine="656"/>
        <w:spacing w:after="0" w:line="261" w:lineRule="auto"/>
        <w:tabs>
          <w:tab w:leader="none" w:pos="123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SUBROGATION. In the event of any payment of Indemnifiable Amounts under this Agreement, the Company shall be subrogated to the extent of such payment to all of the rights of contribution or recovery of Indemnitee against other persons, and Indemnitee shall take, at the request of the Company, all reasonable action necessary to secure such rights, including the execution of such documents as are necessary to enable the Company to bring suit to enforce such rights.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LAW. To the extent that a change in Delaware law (whether by statute or judicial decision) shall permit broader indemnification or advancement of expenses than is provided under the terms of the By-laws of the Company and this Agreement, Indemnitee shall be entitled to such broader indemnification and advancements, and this Agreement shall be deemed to be amended to such extent.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2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Whenever possible, each provision of this Agreement shall be interpreted in such a manner as to be effective and valid under applicable law, but if any provision of this Agreement, or any clause thereof, shall be determined by a court of competent jurisdiction to be illegal, invalid or unenforceable, in whole or in part, such provision or clause shall be limited or modified in its application to the minimum extent necessary to make such provision or clause valid, legal and enforceable, and the remaining provisions and clauses of this Agreement shall remain fully enforceable and binding on the parties.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23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AS PLAINTIFF. Except as provided in Section 10(c) of this Agreement and in the next sentence, Indemnitee shall not be entitled to payment of Indemnifiable Amounts or advancement of Indemnifiable Expenses with respect to any Proceeding brought by Indemnitee against the Company, any Entity which it controls, any director or officer thereof, or any third party, unless the Board of Directors of the Company has consented to the initiation of such Proceeding. This Section shall not apply to counterclaims or affirmative defenses asserted by Indemnitee in an action brought against Indemnitee.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AND WAIVER. Except as provided in Section 18 above with respect to changes in Delaware law which broaden the right of Indemnitee to be indemnified by the Company, no supplement, modification or amendment of this Agreement shall be binding unless executed in writing by each of the parties hereto. No waiver of any of the provisions of this Agreement shall be deemed or shall constitute a waiver of any other provisions of this Agreement (whether or not similar), nor shall such waiver constitute a continuing waiver.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NOTICES. All notices, requests, demands and other communications hereunder shall be in writing and shall be deemed to have been duly given (a) when delivered by hand, (b) when transmitted by email and receipt is acknowledged, or (c) if mailed by certified or registered mail with postage prepaid, on the third business day after the date on which it is so mailed: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3" w:name="page184"/>
    <w:bookmarkEnd w:id="183"/>
    <w:p>
      <w:pPr>
        <w:ind w:left="660"/>
        <w:spacing w:after="0"/>
        <w:rPr>
          <w:sz w:val="20"/>
          <w:szCs w:val="20"/>
          <w:color w:val="auto"/>
        </w:rPr>
      </w:pPr>
      <w:r>
        <w:rPr>
          <w:rFonts w:ascii="Times New Roman" w:cs="Times New Roman" w:eastAsia="Times New Roman" w:hAnsi="Times New Roman"/>
          <w:sz w:val="18"/>
          <w:szCs w:val="18"/>
          <w:color w:val="auto"/>
        </w:rPr>
        <w:t>(i) If to Indemnitee,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[_________]</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84 October Hill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Holliston, Massachusetts 01746-1371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Copy to: Chief Legal Counsel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may have been furnished in the same manner by any party to the others.</w:t>
      </w:r>
    </w:p>
    <w:p>
      <w:pPr>
        <w:spacing w:after="0" w:line="225" w:lineRule="exact"/>
        <w:rPr>
          <w:sz w:val="20"/>
          <w:szCs w:val="20"/>
          <w:color w:val="auto"/>
        </w:rPr>
      </w:pPr>
    </w:p>
    <w:p>
      <w:pPr>
        <w:jc w:val="both"/>
        <w:ind w:firstLine="656"/>
        <w:spacing w:after="0" w:line="253" w:lineRule="auto"/>
        <w:tabs>
          <w:tab w:leader="none" w:pos="122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CONSENT TO JURISDICTION; SERVICE OF PROCESS. This Agreement shall be governed by and construed in accordance with the laws of the State of Delaware without regard to its rules of conflict of laws. Each of the Company and the Indemnitee hereby irrevocably and unconditionally consents to submit to the exclusive jurisdiction of the Court of Chancery of the State of Delaware and the courts of the United States of America located in the State of Delaware (the “</w:t>
      </w:r>
      <w:r>
        <w:rPr>
          <w:rFonts w:ascii="Times New Roman" w:cs="Times New Roman" w:eastAsia="Times New Roman" w:hAnsi="Times New Roman"/>
          <w:sz w:val="18"/>
          <w:szCs w:val="18"/>
          <w:u w:val="single" w:color="auto"/>
          <w:color w:val="auto"/>
        </w:rPr>
        <w:t>Delaware Courts</w:t>
      </w:r>
      <w:r>
        <w:rPr>
          <w:rFonts w:ascii="Times New Roman" w:cs="Times New Roman" w:eastAsia="Times New Roman" w:hAnsi="Times New Roman"/>
          <w:sz w:val="18"/>
          <w:szCs w:val="18"/>
          <w:color w:val="auto"/>
        </w:rPr>
        <w:t>”) for any litigation arising out of or relating to this Agreement and the transactions contemplated hereby (and agrees not to commence any litigation relating thereto except in such courts), waives any objection to the laying of venue of any such litigation in the Delaware Courts and agrees not to plead or claim in any Delaware Court that such litigation brought therein has been brought in an inconvenient forum. Each of the parties hereto agrees, (a) to the extent such party is not otherwise subject to service of process in the State of Delaware, to appoint and maintain an agent in the State of Delaware as such party’s agent for acceptance of legal process, and (b) that service of process may also be made on such party by prepaid certified mail with a proof of mailing receipt validated by the United States Postal Service constituting evidence of valid service. Service made pursuant to (a) or (b) above shall have the same legal force and effect as if served upon such party personally within the State of Delaware. For purposes of implementing the parties’ agreement to appoint and maintain an agent for service of process in the State of Delaware, each such party does hereby appoint The Corporation Trust Company, as such agent and each such party hereby agrees to complete all actions necessary for such appointment.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3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This Agreement may be executed in one or more counterparts, each of which shall for all purposes be deemed an original, but all of which together shall constitute one and the same document.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AND RESTATEMENT; OTHER AGREEMENTS. Any other prior or contemporaneous oral or written understandings or agreements with respect to the matters covered hereby are superseded by this Agreement, and this Agreement shall be deemed an amendment and restatement of any prior indemnification agreements with the Company and the Indemnitee with respect to matters covered hereby, provided that this Agreement is a supplement to and in furtherance of the Certificate of Incorporation or By-laws of the Company and applicable law, and shall not be deemed a substitute therefor, nor to diminish or abrogate any rights of Indemnitee thereunder.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4" w:name="page185"/>
    <w:bookmarkEnd w:id="184"/>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day and year first above written.</w:t>
      </w:r>
    </w:p>
    <w:p>
      <w:pPr>
        <w:sectPr>
          <w:pgSz w:w="11900" w:h="16838" w:orient="portrait"/>
          <w:cols w:equalWidth="0" w:num="1">
            <w:col w:w="10139"/>
          </w:cols>
          <w:pgMar w:left="320" w:top="580"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HARVARD BIOSCIENCE,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right="3279"/>
        <w:spacing w:after="0"/>
        <w:rPr>
          <w:sz w:val="20"/>
          <w:szCs w:val="20"/>
          <w:color w:val="auto"/>
        </w:rPr>
      </w:pPr>
      <w:r>
        <w:rPr>
          <w:rFonts w:ascii="Times New Roman" w:cs="Times New Roman" w:eastAsia="Times New Roman" w:hAnsi="Times New Roman"/>
          <w:sz w:val="18"/>
          <w:szCs w:val="18"/>
          <w:color w:val="auto"/>
        </w:rPr>
        <w:t>INDEMNITEE:</w:t>
      </w:r>
    </w:p>
    <w:p>
      <w:pPr>
        <w:spacing w:after="0" w:line="200" w:lineRule="exact"/>
        <w:rPr>
          <w:sz w:val="20"/>
          <w:szCs w:val="20"/>
          <w:color w:val="auto"/>
        </w:rPr>
      </w:pPr>
    </w:p>
    <w:p>
      <w:pPr>
        <w:sectPr>
          <w:pgSz w:w="11900" w:h="16838" w:orient="portrait"/>
          <w:cols w:equalWidth="0" w:num="2">
            <w:col w:w="4980" w:space="720"/>
            <w:col w:w="4439"/>
          </w:cols>
          <w:pgMar w:left="320" w:top="580"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415" w:lineRule="exact"/>
        <w:rPr>
          <w:sz w:val="20"/>
          <w:szCs w:val="20"/>
          <w:color w:val="auto"/>
        </w:rPr>
      </w:pPr>
    </w:p>
    <w:p>
      <w:pPr>
        <w:sectPr>
          <w:pgSz w:w="11900" w:h="16838" w:orient="portrait"/>
          <w:cols w:equalWidth="0" w:num="2">
            <w:col w:w="4980" w:space="720"/>
            <w:col w:w="4439"/>
          </w:cols>
          <w:pgMar w:left="320" w:top="5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39"/>
          </w:cols>
          <w:pgMar w:left="320" w:top="580" w:right="1440" w:bottom="1440" w:gutter="0" w:footer="0" w:header="0"/>
          <w:type w:val="continuous"/>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INCENTIVE PLAN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TIME-BASED RESTRICTED STOCK UNIT AWARD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Participant Name and Address: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You (the “Participant”) have been granted restricted stock units (“Restricted Stock Units” or “RSUs”), subject to the terms and conditions of this Notice of Restricted Stock Unit Award (the “Notice”), the Harvard Bioscience, Inc. 2021 Incentive Plan (as amended from time to time, the “Plan”) and the Restricted Stock Unit Award Agreement (the “RSU Agreement”) attached hereto, as follows. Unless otherwise defined herein, the terms defined in the Plan shall have the same defined meanings in this Notice.</w:t>
      </w:r>
    </w:p>
    <w:p>
      <w:pPr>
        <w:spacing w:after="0" w:line="2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1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Number of RSUs:</w:t>
      </w:r>
    </w:p>
    <w:p>
      <w:pPr>
        <w:sectPr>
          <w:pgSz w:w="11900" w:h="16838" w:orient="portrait"/>
          <w:cols w:equalWidth="0" w:num="1">
            <w:col w:w="11240"/>
          </w:cols>
          <w:pgMar w:left="320" w:top="117" w:right="339" w:bottom="1440" w:gutter="0" w:footer="0" w:header="0"/>
        </w:sectPr>
      </w:pPr>
    </w:p>
    <w:p>
      <w:pPr>
        <w:spacing w:after="0" w:line="1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Participant will receive a benefit with respect to an RSU only if it vests. Subject to the terms set forth in the RSU Agreement attached hereto, the RSUs will vest in accordance with the following schedule:</w:t>
      </w:r>
    </w:p>
    <w:p>
      <w:pPr>
        <w:spacing w:after="0" w:line="172" w:lineRule="exact"/>
        <w:rPr>
          <w:sz w:val="20"/>
          <w:szCs w:val="20"/>
          <w:color w:val="auto"/>
        </w:rPr>
      </w:pPr>
    </w:p>
    <w:p>
      <w:pPr>
        <w:sectPr>
          <w:pgSz w:w="11900" w:h="16838" w:orient="portrait"/>
          <w:cols w:equalWidth="0" w:num="2">
            <w:col w:w="3180" w:space="720"/>
            <w:col w:w="7340"/>
          </w:cols>
          <w:pgMar w:left="320" w:top="117" w:right="339" w:bottom="1440" w:gutter="0" w:footer="0" w:header="0"/>
          <w:type w:val="continuous"/>
        </w:sectPr>
      </w:pPr>
    </w:p>
    <w:p>
      <w:pPr>
        <w:ind w:left="5140"/>
        <w:spacing w:after="0"/>
        <w:rPr>
          <w:sz w:val="20"/>
          <w:szCs w:val="20"/>
          <w:color w:val="auto"/>
        </w:rPr>
      </w:pPr>
      <w:r>
        <w:rPr>
          <w:rFonts w:ascii="Times New Roman" w:cs="Times New Roman" w:eastAsia="Times New Roman" w:hAnsi="Times New Roman"/>
          <w:sz w:val="17"/>
          <w:szCs w:val="17"/>
          <w:b w:val="1"/>
          <w:bCs w:val="1"/>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Vesting Percentage</w:t>
      </w:r>
    </w:p>
    <w:p>
      <w:pPr>
        <w:spacing w:after="0" w:line="200" w:lineRule="exact"/>
        <w:rPr>
          <w:sz w:val="20"/>
          <w:szCs w:val="20"/>
          <w:color w:val="auto"/>
        </w:rPr>
      </w:pPr>
    </w:p>
    <w:p>
      <w:pPr>
        <w:sectPr>
          <w:pgSz w:w="11900" w:h="16838" w:orient="portrait"/>
          <w:cols w:equalWidth="0" w:num="2">
            <w:col w:w="7760" w:space="720"/>
            <w:col w:w="276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By accepting this award, you acknowledge receipt of this Notice and agree to the terms contained in this Notice, the Restricted Stock Unit Agreement attached hereto and the Plan, which are incorporated by reference herein.</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______________________________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____________________________</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2011680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Award Number: 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AGREEMENT</w:t>
      </w:r>
    </w:p>
    <w:p>
      <w:pPr>
        <w:spacing w:after="0" w:line="229" w:lineRule="exact"/>
        <w:rPr>
          <w:sz w:val="20"/>
          <w:szCs w:val="20"/>
          <w:color w:val="auto"/>
        </w:rPr>
      </w:pPr>
    </w:p>
    <w:p>
      <w:pPr>
        <w:jc w:val="both"/>
        <w:ind w:firstLine="656"/>
        <w:spacing w:after="0" w:line="258" w:lineRule="auto"/>
        <w:tabs>
          <w:tab w:leader="none" w:pos="103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Harvard Bioscience, Inc., a Delaware corporation (the “Company”), hereby grants to the Participant (the “Participant”) named in the Notice of Restricted Stock Unit Award (the “Notice”), the number of restricted stock units (“Restricted Stock Units” or “RSUs”) indicated in the Notice, subject to the terms and provisions of the Notice, this Restricted Stock Unit Award Agreement (this “RSU Agreement”) and the Company’s 2021 Incentive Plan (as amended from time to time, the “Plan”), which are incorporated herein by reference. Capitalized terms used but not defined herein shall have the meaning ascribed to them in the Plan.</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0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upon vesting thereof one share of Stock subject to Participant satisfying any applicable tax withholding obligations. Any Restricted Stock Units that vest in accordance with Section 3 will be settled in shares of Stock as soon as practicable after vesting, but in all cases within thirty (30) business days following the vesting date. Unless and until the Restricted Stock Units will have vested in the manner set forth in the Notice and the Plan, Participant will have no right to payment of any such Restricted Stock Units.</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97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specifically provided in Sections 4 and 5 below, the Restricted Stock Units awarded by the Notice and this RSU Agreement will vest in accordance with the “Vesting Schedule” set forth in the Notice.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6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set forth in this Section 4 and in Section 5 below, the Participant’s rights to all RSUs granted herein and not yet vested in accordance with the Vesting Schedule set forth in the Notice shall automatically terminate if the Participant ceases for any reason to be employed by or providing services to the Company and its Subsidiaries for any reason (a “Termination of Service”).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5"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In the event of the Participant’s death or Disability before a Termination of Service, a number of RSUs equal to one-third of the total number of RSUs granted pursuant to this RSU Agreement multiplied by the number of full months elapsed from the most recent Vesting Date to the date of Participant’s death or Disability divided by 12 shall vest as of the date of the Participant’s death or Disability.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4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In the event that the Participant has satisfied the Rule of 65 at the time of his or her Termination of Service for any reason other than an involuntary termination by the Company for Cause, a number of RSUs equal to one-third of the total number of RSUs granted pursuant to this RSU Agreement multiplied by the number of full months elapsed from the most recent Vesting Date to the date of such Termination of Service divided by 12 shall vest as of the date of such Termination of Service.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Good Reason</w:t>
      </w:r>
      <w:r>
        <w:rPr>
          <w:rFonts w:ascii="Times New Roman" w:cs="Times New Roman" w:eastAsia="Times New Roman" w:hAnsi="Times New Roman"/>
          <w:sz w:val="18"/>
          <w:szCs w:val="18"/>
          <w:color w:val="auto"/>
        </w:rPr>
        <w:t>. In the event that the Participant’s employment is terminated by the Participant for Good Reason, a number of RSUs equal to one-third of the total number of RSUs granted pursuant to this RSU Agreement multiplied by the number of full months elapsed from the most recent Vesting Date to the date of such Termination of Employment divided by 12 shall vest as of the date of such Termination of Employment.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7" w:name="page188"/>
    <w:bookmarkEnd w:id="187"/>
    <w:p>
      <w:pPr>
        <w:jc w:val="both"/>
        <w:ind w:firstLine="656"/>
        <w:spacing w:after="0" w:line="261" w:lineRule="auto"/>
        <w:tabs>
          <w:tab w:leader="none" w:pos="101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anything to the contrary in this Agreement, in the event of a Change in Control and the Participant’s employment is terminated by the Participant for Good Reason or by the Company without Cause within one (1) year following such Change in Control or in the event of the Participant’s death or Disability within one (1) year following such Change in Control, the RSUs shall automatically vest in full as of the date of such termination, death or Disability, as the case may be.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3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RSUs</w:t>
      </w:r>
      <w:r>
        <w:rPr>
          <w:rFonts w:ascii="Times New Roman" w:cs="Times New Roman" w:eastAsia="Times New Roman" w:hAnsi="Times New Roman"/>
          <w:sz w:val="18"/>
          <w:szCs w:val="18"/>
          <w:color w:val="auto"/>
        </w:rPr>
        <w:t>. Unless determined otherwise by the Committee, the RSUs may not be sold, pledged, assigned, hypothecated, or otherwise transferred by Participant in any manner.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6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Stop-Transfer Notices</w:t>
      </w:r>
      <w:r>
        <w:rPr>
          <w:rFonts w:ascii="Times New Roman" w:cs="Times New Roman" w:eastAsia="Times New Roman" w:hAnsi="Times New Roman"/>
          <w:sz w:val="18"/>
          <w:szCs w:val="18"/>
          <w:color w:val="auto"/>
        </w:rPr>
        <w:t>. In order to ensure compliance with the restrictions on transfer set forth in this RSU Agreement, the Notice or the Plan, the Company may issue appropriate “stop-transfer” instructions to its transfer agent, if any, and, if the Company transfers its own securities, it may make appropriate notations to the same effect in its own records.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Refusal to Transfer</w:t>
      </w:r>
      <w:r>
        <w:rPr>
          <w:rFonts w:ascii="Times New Roman" w:cs="Times New Roman" w:eastAsia="Times New Roman" w:hAnsi="Times New Roman"/>
          <w:sz w:val="18"/>
          <w:szCs w:val="18"/>
          <w:color w:val="auto"/>
        </w:rPr>
        <w:t>. The Company shall not be required (i) to transfer on its books any Shares that have been sold or otherwise transferred in violation of any of the provisions of this RSU Agreement or (ii) to treat as owner of such Shares or to accord the right to vote or pay dividends to any purchaser or other transferee to whom such Shares shall have been so transferred.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717"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solely responsible for all federal, state and local taxes relating to the RSUs, including as a result of the Participant’s disposition of the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that the RSUs will comply with Sections 409A and 457A of the Code and makes no undertaking to prevent Section 409A or 457A of the Code from applying to the RSUs or to mitigate its effects on any deferrals or payments made in respect of the RSUs. The Participant is encouraged to consult a tax adviser regarding the potential impact of Section 409A and 457A of the Code.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Severability</w:t>
      </w:r>
      <w:r>
        <w:rPr>
          <w:rFonts w:ascii="Times New Roman" w:cs="Times New Roman" w:eastAsia="Times New Roman" w:hAnsi="Times New Roman"/>
          <w:sz w:val="18"/>
          <w:szCs w:val="18"/>
          <w:color w:val="auto"/>
        </w:rPr>
        <w:t>. The Notice, the Plan and this RSU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In the event of a conflict between the terms and conditions of the Plan and the terms and conditions of this RSU Agreement, the terms and conditions of the Plan shall prevail. Nothing in the Notice, the Plan and this RSU Agreement (except as expressly provided therein) is intended to confer any rights or remedies on any persons other than the parties. Should any provision of the Notice, the Plan or this RSU Agreement be determined to be illegal or unenforceable, such provision shall be enforced to the fullest extent allowed by law and the other provisions shall nevertheless remain effective and shall remain enforceable.</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captions used in the Notice and this RSU Agreement are inserted for convenience and shall not be deemed a part of the RSUs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Interpretation</w:t>
      </w:r>
      <w:r>
        <w:rPr>
          <w:rFonts w:ascii="Times New Roman" w:cs="Times New Roman" w:eastAsia="Times New Roman" w:hAnsi="Times New Roman"/>
          <w:sz w:val="18"/>
          <w:szCs w:val="18"/>
          <w:color w:val="auto"/>
        </w:rPr>
        <w:t>. Any question or dispute regarding the administration or interpretation of the Notice, the Plan or this RSU Agreement shall be submitted by the Participant or by the Company to the Committee. The resolution of such question or dispute by the Committee shall be final and binding on all persons.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8" w:name="page189"/>
    <w:bookmarkEnd w:id="188"/>
    <w:p>
      <w:pPr>
        <w:jc w:val="both"/>
        <w:ind w:firstLine="656"/>
        <w:spacing w:after="0" w:line="266" w:lineRule="auto"/>
        <w:tabs>
          <w:tab w:leader="none" w:pos="105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In the event of a conflict or inconsistency between the terms and conditions of this RSU Agreement and another written agreement between the Company and the Participant that provides for accelerated vesting of the Participant’s RSUs upon the occurrence of certain events, the terms and conditions of such other written agreement shall control.</w:t>
      </w:r>
    </w:p>
    <w:p>
      <w:pPr>
        <w:spacing w:after="0" w:line="17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Whenever used in this Agreement, the following terms shall have the meanings set forth below.</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7"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shall have the meaning defined in the applicable employment agreement, consulting agreement or any other similar written agreement between the Participant and the Company (or any of its affiliates) that specifically defines “good reason,” if any. In the absence of such a definition, any provisions herein relating to termination of employment by Participant for Good Reason shall not apply.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731"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of 65” means that the sum of the Participant’s age and years of service equals or exceeds 65, with a minimum age of 55 and a minimum of five years of continuous service, including as an employee or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580"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INCENTIVE PLAN</w:t>
      </w:r>
    </w:p>
    <w:p>
      <w:pPr>
        <w:spacing w:after="0" w:line="200" w:lineRule="exact"/>
        <w:rPr>
          <w:sz w:val="20"/>
          <w:szCs w:val="20"/>
          <w:color w:val="auto"/>
        </w:rPr>
      </w:pPr>
    </w:p>
    <w:p>
      <w:pPr>
        <w:spacing w:after="0" w:line="21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NOTICE OF PERFORMANCE-BASED RESTRICTED STOCK UNIT AWARD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Participant Name and Address: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You (the “Participant”) have been granted restricted stock units (“Restricted Stock Units” or “RSUs”), subject to the terms and conditions of this Notice of Restricted Stock Unit Award (the “Notice”), the Harvard Bioscience, Inc. 2021 Incentive Plan (as amended from time to time, the “Plan”), and the Restricted Stock Unit Award Agreement (the “RSU Agreement”) attached hereto, as follows. Unless otherwise defined herein, the terms defined in the Plan shall have the same defined meanings in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4225" cy="9791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4225" cy="979170"/>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Target Number of RSUs (the</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Award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47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[Language Will Vary Depending on Performance Metric]</w:t>
            </w:r>
          </w:p>
        </w:tc>
      </w:tr>
    </w:tbl>
    <w:p>
      <w:pPr>
        <w:spacing w:after="0" w:line="200" w:lineRule="exact"/>
        <w:rPr>
          <w:sz w:val="20"/>
          <w:szCs w:val="20"/>
          <w:color w:val="auto"/>
        </w:rPr>
      </w:pPr>
    </w:p>
    <w:p>
      <w:pPr>
        <w:spacing w:after="0" w:line="29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By accepting this award, you acknowledge receipt of this Notice and agree to the terms contained in this Notice and in Schedule A (Determination of Final RSUs), Schedule B (Restricted Stock Unit Agreement), and the Plan which are incorporated by reference herein.</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__________________________________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________________________________</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0" w:name="page191"/>
    <w:bookmarkEnd w:id="190"/>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Determination of Final RSUs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[Language will vary depending on the performance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191" w:name="page192"/>
    <w:bookmarkEnd w:id="191"/>
    <w:p>
      <w:pPr>
        <w:ind w:left="8940"/>
        <w:spacing w:after="0"/>
        <w:rPr>
          <w:sz w:val="20"/>
          <w:szCs w:val="20"/>
          <w:color w:val="auto"/>
        </w:rPr>
      </w:pPr>
      <w:r>
        <w:rPr>
          <w:rFonts w:ascii="Times New Roman" w:cs="Times New Roman" w:eastAsia="Times New Roman" w:hAnsi="Times New Roman"/>
          <w:sz w:val="17"/>
          <w:szCs w:val="17"/>
          <w:b w:val="1"/>
          <w:bCs w:val="1"/>
          <w:color w:val="auto"/>
        </w:rPr>
        <w:t>Award Number: ___________</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AGREEMENT</w:t>
      </w:r>
    </w:p>
    <w:p>
      <w:pPr>
        <w:spacing w:after="0" w:line="229" w:lineRule="exact"/>
        <w:rPr>
          <w:sz w:val="20"/>
          <w:szCs w:val="20"/>
          <w:color w:val="auto"/>
        </w:rPr>
      </w:pPr>
    </w:p>
    <w:p>
      <w:pPr>
        <w:jc w:val="both"/>
        <w:ind w:firstLine="656"/>
        <w:spacing w:after="0" w:line="258" w:lineRule="auto"/>
        <w:tabs>
          <w:tab w:leader="none" w:pos="103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Harvard Bioscience, Inc., a Delaware corporation (the “Company”), hereby grants to the Participant (the “Participant”) named in the Notice of Restricted Stock Unit Award (the “Notice”), the number of restricted stock units (“Restricted Stock Units” or “RSUs”) indicated in the Notice, subject to the terms and provisions of the Notice, this Restricted Stock Unit Award Agreement (this “RSU Agreement”) and the Company’s 2021 Incentive Plan (as amended from time to time, the “Plan”), which are incorporated herein by reference. Capitalized terms used but not defined herein shall have the meaning ascribed to them in the Plan.</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0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upon vesting thereof one share of Stock subject to Participant satisfying any applicable tax withholding obligations. Any Restricted Stock Units that vest in accordance with Section 3 will be settled in shares of Stock as soon as practicable after vesting, subject to any required determinations or certifications of the Committee. Unless and until the Restricted Stock Units will have vested in the manner set forth in the Notice and the Plan, Participant will have no right to payment of any such Restricted Stock Units.</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97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specifically provided in Sections 4 and 5 below, the Restricted Stock Units awarded by the Notice and this RSU Agreement will vest in accordance with the Vesting Schedule set forth in the Notice and Schedule A.</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6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xml:space="preserve">. Except as set forth in this Section 4 and in Section 5 below, the Participant’s rights to all RSUs granted herein and not yet vested in accordance with the “Vesting Schedule” and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set forth in the Notice shall automatically terminate if the Participant ceases for any reason to be employed by or providing services to the Company and its Subsidiaries for any reason (a “Termination of Service”).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5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In the event of the Participant’s death or Disability before a Termination of Service, the number of RSUs constituting the Target Award shall be adjusted upon the Participant’s death or Disability by multiplying the then current number of RSUs constituting the Target Award effective immediately prior to the Participant’s death or Disability by the number of full months elapsed from the Date of Grant to the date of Participant’s death or Disability divided by 36, and such as-adjusted number of RSUs shall continue to vest in accordance with the Vesting Schedule set forth in the Notice and Schedule A.</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4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In the event that the Participant has satisfied the Rule of 65 at the time of his or her Termination of Service for any reason other than an involuntary termination by the Company for Cause, then the number of RSUs constituting the Target Award shall be adjusted upon such Termination of Service by multiplying the then current number of RSUs constituting the Target Award effective immediately prior to such Termination of Service by the number of full months elapsed from the Date of Grant to the date of such Termination of Service divided by 36, and such as-adjusted number of RSUs shall continue to vest in accordance with the Vesting Schedule set forth in the Notice and Schedule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2" w:name="page193"/>
    <w:bookmarkEnd w:id="192"/>
    <w:p>
      <w:pPr>
        <w:jc w:val="both"/>
        <w:ind w:firstLine="1304"/>
        <w:spacing w:after="0" w:line="258" w:lineRule="auto"/>
        <w:tabs>
          <w:tab w:leader="none" w:pos="1675"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Good Reason</w:t>
      </w:r>
      <w:r>
        <w:rPr>
          <w:rFonts w:ascii="Times New Roman" w:cs="Times New Roman" w:eastAsia="Times New Roman" w:hAnsi="Times New Roman"/>
          <w:sz w:val="18"/>
          <w:szCs w:val="18"/>
          <w:color w:val="auto"/>
        </w:rPr>
        <w:t>. In the event that the Participant’s employment is terminated by the Participant for Good Reason, then the number of RSUs constituting the Target Award shall be adjusted upon such Termination of Employment by multiplying the then current number of RSUs constituting the Target Award effective immediately prior to such termination by the number of full months elapsed from the Date of Grant to the date of such Termination of Employment divided by 36, and such as-adjusted number of RSUs shall continue to vest in accordance with the Vesting Schedule set forth in the Notice and Schedule A.</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anything to the contrary in this Agreement, if a Change in Control occurs during the Performance Period,</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3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Final RSUs will be a number of RSUs equal to Participant’s then-current Target Award; and (ii) as of the date of such Change in Control, the Final RSUs shall be deemed to be an award of RSUs subject solely to time-based vesting and shall be subject to Section 10.1(a) of the Plan, and the RSUs shall vest in full as of the Vesting Date, except that in the event the Participant’s employment is terminated by the Participant for Good Reason or by the Company without Cause within one (1) year following such Change in Control or in the event of the Participant’s death or Disability within one (1) year following such Change in Control, the RSUs shall automatically vest in full as of the date of such termination, death or Disability, as the case may be.</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103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RSUs</w:t>
      </w:r>
      <w:r>
        <w:rPr>
          <w:rFonts w:ascii="Times New Roman" w:cs="Times New Roman" w:eastAsia="Times New Roman" w:hAnsi="Times New Roman"/>
          <w:sz w:val="18"/>
          <w:szCs w:val="18"/>
          <w:color w:val="auto"/>
        </w:rPr>
        <w:t>. Unless determined otherwise by the Committee, the RSUs may not be sold, pledged, assigned, hypothecated, or otherwise transferred by Participant in any manner.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63"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Stop-Transfer Notices</w:t>
      </w:r>
      <w:r>
        <w:rPr>
          <w:rFonts w:ascii="Times New Roman" w:cs="Times New Roman" w:eastAsia="Times New Roman" w:hAnsi="Times New Roman"/>
          <w:sz w:val="18"/>
          <w:szCs w:val="18"/>
          <w:color w:val="auto"/>
        </w:rPr>
        <w:t>. In order to ensure compliance with the restrictions on transfer set forth in this RSU Agreement, the Notice or the Plan, the Company may issue appropriate “stop-transfer” instructions to its transfer agent, if any, and, if the Company transfers its own securities, it may make appropriate notations to the same effect in its own records.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Refusal to Transfer</w:t>
      </w:r>
      <w:r>
        <w:rPr>
          <w:rFonts w:ascii="Times New Roman" w:cs="Times New Roman" w:eastAsia="Times New Roman" w:hAnsi="Times New Roman"/>
          <w:sz w:val="18"/>
          <w:szCs w:val="18"/>
          <w:color w:val="auto"/>
        </w:rPr>
        <w:t>. The Company shall not be required (i) to transfer on its books any Shares that have been sold or otherwise transferred in violation of any of the provisions of this RSU Agreement or (ii) to treat as owner of such Shares or to accord the right to vote or pay dividends to any purchaser or other transferee to whom such Shares shall have been so transferred.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40" w:hanging="384"/>
        <w:spacing w:after="0"/>
        <w:tabs>
          <w:tab w:leader="none" w:pos="10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solely responsible for all federal, state and local taxes relating to the RSUs, including as a result of the Participant’s disposition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Shares.</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that the RSUs will comply with Sections 409A and 457A of the Code and makes no undertaking to prevent Section 409A or 457A of the Code from applying to the RSUs or to mitigate its effects on any deferrals or payments made in respect of the RSUs. The Participant is encouraged to consult a tax adviser regarding the potential impact of Section 409A and 457A of the Code.</w:t>
      </w:r>
    </w:p>
    <w:p>
      <w:pPr>
        <w:spacing w:after="0" w:line="176" w:lineRule="exact"/>
        <w:rPr>
          <w:sz w:val="20"/>
          <w:szCs w:val="20"/>
          <w:color w:val="auto"/>
        </w:rPr>
      </w:pPr>
    </w:p>
    <w:p>
      <w:pPr>
        <w:jc w:val="both"/>
        <w:ind w:firstLine="656"/>
        <w:spacing w:after="0" w:line="254" w:lineRule="auto"/>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Severability</w:t>
      </w:r>
      <w:r>
        <w:rPr>
          <w:rFonts w:ascii="Times New Roman" w:cs="Times New Roman" w:eastAsia="Times New Roman" w:hAnsi="Times New Roman"/>
          <w:sz w:val="18"/>
          <w:szCs w:val="18"/>
          <w:color w:val="auto"/>
        </w:rPr>
        <w:t>. The Notice, the Plan and this RSU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In the event of a conflict between the terms and conditions of the Plan and the terms and conditions of this RSU Agreement, the terms and conditions of the Plan shall prevail. Nothing in the Notice, the Plan and this RSU Agreement (except as expressly provided therein) is intended to confer any rights or remedies on any persons other than the parties. Should any provision of the Notice, the Plan or this RSU Agreement be determined to be illegal or unenforceable, such provision shall be enforced to the fullest extent allowed by law and the other provisions shall nevertheless remain effective and shall remain enforceable.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ind w:left="120" w:hanging="112"/>
        <w:spacing w:after="0" w:line="181" w:lineRule="auto"/>
        <w:tabs>
          <w:tab w:leader="none" w:pos="120" w:val="left"/>
        </w:tabs>
        <w:numPr>
          <w:ilvl w:val="0"/>
          <w:numId w:val="23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Language will vary depending on performance metric.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3" w:name="page194"/>
    <w:bookmarkEnd w:id="193"/>
    <w:p>
      <w:pPr>
        <w:jc w:val="both"/>
        <w:ind w:firstLine="656"/>
        <w:spacing w:after="0" w:line="266" w:lineRule="auto"/>
        <w:tabs>
          <w:tab w:leader="none" w:pos="107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captions used in the Notice and this RSU Agreement are inserted for convenience and shall not be deemed a part of the RSUs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Interpretation</w:t>
      </w:r>
      <w:r>
        <w:rPr>
          <w:rFonts w:ascii="Times New Roman" w:cs="Times New Roman" w:eastAsia="Times New Roman" w:hAnsi="Times New Roman"/>
          <w:sz w:val="18"/>
          <w:szCs w:val="18"/>
          <w:color w:val="auto"/>
        </w:rPr>
        <w:t>. Any question or dispute regarding the administration or interpretation of the Notice, the Plan or this RSU Agreement shall be submitted by the Participant or by the Company to the Committee. The resolution of such question or dispute by the Committee shall be final and binding on all persons.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In the event of a conflict or inconsistency between the terms and conditions of this RSU Agreement and another written agreement between the Company and the Participant that provides for accelerated vesting of the Participant’s RSUs upon the occurrence of certain events, the terms and conditions of such other written agreement shall control.</w:t>
      </w:r>
    </w:p>
    <w:p>
      <w:pPr>
        <w:spacing w:after="0" w:line="17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Whenever used in this Agreement, the following terms shall have the meanings set forth below.</w:t>
      </w:r>
    </w:p>
    <w:p>
      <w:pPr>
        <w:spacing w:after="0" w:line="225" w:lineRule="exact"/>
        <w:rPr>
          <w:sz w:val="20"/>
          <w:szCs w:val="20"/>
          <w:color w:val="auto"/>
        </w:rPr>
      </w:pPr>
    </w:p>
    <w:p>
      <w:pPr>
        <w:jc w:val="both"/>
        <w:ind w:firstLine="656"/>
        <w:spacing w:after="0" w:line="266" w:lineRule="auto"/>
        <w:tabs>
          <w:tab w:leader="none" w:pos="109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shall have the meaning defined in the applicable employment agreement, consulting agreement or any other similar written agreement between the Participant and the Company (or any of its affiliates) that specifically defines “good reason,” if any. In the absence of such a definition, any provisions herein relating to termination of employment by Participant for Good Reason shall not apply.</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18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of 65” means that the sum of the Participant’s age and years of service equals or exceeds 65, with a minimum age of 55 and a minimum of five years of continuous service, including as an employee or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580"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Cote, certify that:</w:t>
      </w:r>
    </w:p>
    <w:p>
      <w:pPr>
        <w:spacing w:after="0" w:line="225" w:lineRule="exact"/>
        <w:rPr>
          <w:sz w:val="20"/>
          <w:szCs w:val="20"/>
          <w:color w:val="auto"/>
        </w:rPr>
      </w:pPr>
    </w:p>
    <w:p>
      <w:pPr>
        <w:ind w:left="180" w:hanging="172"/>
        <w:spacing w:after="0"/>
        <w:tabs>
          <w:tab w:leader="none" w:pos="1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5"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80"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180" w:right="560" w:hanging="172"/>
        <w:spacing w:after="0" w:line="282" w:lineRule="auto"/>
        <w:tabs>
          <w:tab w:leader="none" w:pos="1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80" w:right="140" w:hanging="172"/>
        <w:spacing w:after="0" w:line="266" w:lineRule="auto"/>
        <w:tabs>
          <w:tab w:leader="none" w:pos="1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40" w:right="180" w:hanging="170"/>
        <w:spacing w:after="0" w:line="266" w:lineRule="auto"/>
        <w:tabs>
          <w:tab w:leader="none" w:pos="3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right="180" w:hanging="170"/>
        <w:spacing w:after="0" w:line="266" w:lineRule="auto"/>
        <w:tabs>
          <w:tab w:leader="none" w:pos="3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40" w:hanging="170"/>
        <w:spacing w:after="0" w:line="282" w:lineRule="auto"/>
        <w:tabs>
          <w:tab w:leader="none" w:pos="3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80" w:hanging="170"/>
        <w:spacing w:after="0" w:line="266" w:lineRule="auto"/>
        <w:tabs>
          <w:tab w:leader="none" w:pos="3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80" w:right="300" w:hanging="172"/>
        <w:spacing w:after="0" w:line="282" w:lineRule="auto"/>
        <w:tabs>
          <w:tab w:leader="none" w:pos="1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140" w:hanging="170"/>
        <w:spacing w:after="0" w:line="282" w:lineRule="auto"/>
        <w:tabs>
          <w:tab w:leader="none" w:pos="3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0" w:hanging="170"/>
        <w:spacing w:after="0" w:line="282" w:lineRule="auto"/>
        <w:tabs>
          <w:tab w:leader="none" w:pos="3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7"/>
          <w:szCs w:val="17"/>
          <w:color w:val="auto"/>
        </w:rPr>
        <w:t>/s/ JENNIFER COTE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Jennifer Cote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Green, certify that:</w:t>
      </w:r>
    </w:p>
    <w:p>
      <w:pPr>
        <w:spacing w:after="0" w:line="225" w:lineRule="exact"/>
        <w:rPr>
          <w:sz w:val="20"/>
          <w:szCs w:val="20"/>
          <w:color w:val="auto"/>
        </w:rPr>
      </w:pPr>
    </w:p>
    <w:p>
      <w:pPr>
        <w:ind w:left="180" w:hanging="172"/>
        <w:spacing w:after="0"/>
        <w:tabs>
          <w:tab w:leader="none" w:pos="1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5"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80"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180" w:right="560" w:hanging="172"/>
        <w:spacing w:after="0" w:line="282" w:lineRule="auto"/>
        <w:tabs>
          <w:tab w:leader="none" w:pos="1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80" w:right="140" w:hanging="172"/>
        <w:spacing w:after="0" w:line="266" w:lineRule="auto"/>
        <w:tabs>
          <w:tab w:leader="none" w:pos="1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40" w:right="180" w:hanging="170"/>
        <w:spacing w:after="0" w:line="266" w:lineRule="auto"/>
        <w:tabs>
          <w:tab w:leader="none" w:pos="3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right="180" w:hanging="170"/>
        <w:spacing w:after="0" w:line="266" w:lineRule="auto"/>
        <w:tabs>
          <w:tab w:leader="none" w:pos="3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40" w:hanging="170"/>
        <w:spacing w:after="0" w:line="282" w:lineRule="auto"/>
        <w:tabs>
          <w:tab w:leader="none" w:pos="3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80" w:hanging="170"/>
        <w:spacing w:after="0" w:line="266" w:lineRule="auto"/>
        <w:tabs>
          <w:tab w:leader="none" w:pos="3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80" w:right="300" w:hanging="172"/>
        <w:spacing w:after="0" w:line="282" w:lineRule="auto"/>
        <w:tabs>
          <w:tab w:leader="none" w:pos="1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140" w:hanging="170"/>
        <w:spacing w:after="0" w:line="282" w:lineRule="auto"/>
        <w:tabs>
          <w:tab w:leader="none" w:pos="3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0" w:hanging="170"/>
        <w:spacing w:after="0" w:line="282" w:lineRule="auto"/>
        <w:tabs>
          <w:tab w:leader="none" w:pos="3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/s/ JAMES GREEN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Green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 PURSUANT TO 18 U.S.C. SECTION 1350</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her knowledge that the Company’s Quarterly Report on Form 10-Q for the quarterly period ended June 30, 2024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 (32)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7"/>
          <w:szCs w:val="17"/>
          <w:color w:val="auto"/>
        </w:rPr>
        <w:t>/s/ JENNIFER COTE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Jennifer Cote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7"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 PURSUANT TO 18 U.S.C. SECTION 1350</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Quarterly Report on Form 10-Q for the quarterly period ended June 30, 2024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/s/ JAMES GREEN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Green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9B0904"/>
    <w:multiLevelType w:val="hybridMultilevel"/>
    <w:lvl w:ilvl="0">
      <w:lvlJc w:val="left"/>
      <w:lvlText w:val="☒"/>
      <w:numFmt w:val="bullet"/>
      <w:start w:val="1"/>
    </w:lvl>
  </w:abstractNum>
  <w:abstractNum w:abstractNumId="1">
    <w:nsid w:val="6AA7B75C"/>
    <w:multiLevelType w:val="hybridMultilevel"/>
    <w:lvl w:ilvl="0">
      <w:lvlJc w:val="left"/>
      <w:lvlText w:val="☐"/>
      <w:numFmt w:val="bullet"/>
      <w:start w:val="1"/>
    </w:lvl>
  </w:abstractNum>
  <w:abstractNum w:abstractNumId="2">
    <w:nsid w:val="1DF029D3"/>
    <w:multiLevelType w:val="hybridMultilevel"/>
    <w:lvl w:ilvl="0">
      <w:lvlJc w:val="left"/>
      <w:lvlText w:val="%1."/>
      <w:numFmt w:val="decimal"/>
      <w:start w:val="1"/>
    </w:lvl>
  </w:abstractNum>
  <w:abstractNum w:abstractNumId="3">
    <w:nsid w:val="5675FF36"/>
    <w:multiLevelType w:val="hybridMultilevel"/>
    <w:lvl w:ilvl="0">
      <w:lvlJc w:val="left"/>
      <w:lvlText w:val="%1."/>
      <w:numFmt w:val="decimal"/>
      <w:start w:val="2"/>
    </w:lvl>
  </w:abstractNum>
  <w:abstractNum w:abstractNumId="4">
    <w:nsid w:val="3DD15094"/>
    <w:multiLevelType w:val="hybridMultilevel"/>
    <w:lvl w:ilvl="0">
      <w:lvlJc w:val="left"/>
      <w:lvlText w:val="%1."/>
      <w:numFmt w:val="decimal"/>
      <w:start w:val="3"/>
    </w:lvl>
  </w:abstractNum>
  <w:abstractNum w:abstractNumId="5">
    <w:nsid w:val="3DB012B3"/>
    <w:multiLevelType w:val="hybridMultilevel"/>
    <w:lvl w:ilvl="0">
      <w:lvlJc w:val="left"/>
      <w:lvlText w:val="%1."/>
      <w:numFmt w:val="decimal"/>
      <w:start w:val="4"/>
    </w:lvl>
  </w:abstractNum>
  <w:abstractNum w:abstractNumId="6">
    <w:nsid w:val="2708C9AF"/>
    <w:multiLevelType w:val="hybridMultilevel"/>
    <w:lvl w:ilvl="0">
      <w:lvlJc w:val="left"/>
      <w:lvlText w:val="%1."/>
      <w:numFmt w:val="decimal"/>
      <w:start w:val="6"/>
    </w:lvl>
  </w:abstractNum>
  <w:abstractNum w:abstractNumId="7">
    <w:nsid w:val="5B25ACE2"/>
    <w:multiLevelType w:val="hybridMultilevel"/>
    <w:lvl w:ilvl="0">
      <w:lvlJc w:val="left"/>
      <w:lvlText w:val="%1."/>
      <w:numFmt w:val="decimal"/>
      <w:start w:val="7"/>
    </w:lvl>
  </w:abstractNum>
  <w:abstractNum w:abstractNumId="8">
    <w:nsid w:val="175DFCF0"/>
    <w:multiLevelType w:val="hybridMultilevel"/>
    <w:lvl w:ilvl="0">
      <w:lvlJc w:val="left"/>
      <w:lvlText w:val="%1."/>
      <w:numFmt w:val="decimal"/>
      <w:start w:val="9"/>
    </w:lvl>
  </w:abstractNum>
  <w:abstractNum w:abstractNumId="9">
    <w:nsid w:val="4F97E3E4"/>
    <w:multiLevelType w:val="hybridMultilevel"/>
    <w:lvl w:ilvl="0">
      <w:lvlJc w:val="left"/>
      <w:lvlText w:val="*"/>
      <w:numFmt w:val="bullet"/>
      <w:start w:val="1"/>
    </w:lvl>
  </w:abstractNum>
  <w:abstractNum w:abstractNumId="10">
    <w:nsid w:val="53B0A9E"/>
    <w:multiLevelType w:val="hybridMultilevel"/>
    <w:lvl w:ilvl="0">
      <w:lvlJc w:val="left"/>
      <w:lvlText w:val="(%1)"/>
      <w:numFmt w:val="lowerLetter"/>
      <w:start w:val="2"/>
    </w:lvl>
  </w:abstractNum>
  <w:abstractNum w:abstractNumId="11">
    <w:nsid w:val="34FD6B4F"/>
    <w:multiLevelType w:val="hybridMultilevel"/>
    <w:lvl w:ilvl="0">
      <w:lvlJc w:val="left"/>
      <w:lvlText w:val="(%1)"/>
      <w:numFmt w:val="lowerLetter"/>
      <w:start w:val="3"/>
    </w:lvl>
  </w:abstractNum>
  <w:abstractNum w:abstractNumId="12">
    <w:nsid w:val="5915FF32"/>
    <w:multiLevelType w:val="hybridMultilevel"/>
    <w:lvl w:ilvl="0">
      <w:lvlJc w:val="left"/>
      <w:lvlText w:val="(%1)"/>
      <w:numFmt w:val="lowerLetter"/>
      <w:start w:val="1"/>
    </w:lvl>
  </w:abstractNum>
  <w:abstractNum w:abstractNumId="13">
    <w:nsid w:val="56438D15"/>
    <w:multiLevelType w:val="hybridMultilevel"/>
    <w:lvl w:ilvl="0">
      <w:lvlJc w:val="left"/>
      <w:lvlText w:val="(%1)"/>
      <w:numFmt w:val="lowerLetter"/>
      <w:start w:val="1"/>
    </w:lvl>
  </w:abstractNum>
  <w:abstractNum w:abstractNumId="14">
    <w:nsid w:val="519E3149"/>
    <w:multiLevelType w:val="hybridMultilevel"/>
    <w:lvl w:ilvl="0">
      <w:lvlJc w:val="left"/>
      <w:lvlText w:val="%1"/>
      <w:numFmt w:val="lowerLetter"/>
      <w:start w:val="1"/>
    </w:lvl>
    <w:lvl w:ilvl="1">
      <w:lvlJc w:val="left"/>
      <w:lvlText w:val="(%2)"/>
      <w:numFmt w:val="lowerLetter"/>
      <w:start w:val="1"/>
    </w:lvl>
  </w:abstractNum>
  <w:abstractNum w:abstractNumId="15">
    <w:nsid w:val="2C6E4AFD"/>
    <w:multiLevelType w:val="hybridMultilevel"/>
    <w:lvl w:ilvl="0">
      <w:lvlJc w:val="left"/>
      <w:lvlText w:val="(%1)"/>
      <w:numFmt w:val="lowerLetter"/>
      <w:start w:val="2"/>
    </w:lvl>
    <w:lvl w:ilvl="1">
      <w:lvlJc w:val="left"/>
      <w:lvlText w:val="%2"/>
      <w:numFmt w:val="lowerLetter"/>
      <w:start w:val="1"/>
    </w:lvl>
  </w:abstractNum>
  <w:abstractNum w:abstractNumId="16">
    <w:nsid w:val="17A1B582"/>
    <w:multiLevelType w:val="hybridMultilevel"/>
    <w:lvl w:ilvl="0">
      <w:lvlJc w:val="left"/>
      <w:lvlText w:val="(%1)"/>
      <w:numFmt w:val="lowerLetter"/>
      <w:start w:val="4"/>
    </w:lvl>
  </w:abstractNum>
  <w:abstractNum w:abstractNumId="17">
    <w:nsid w:val="4DF72E4E"/>
    <w:multiLevelType w:val="hybridMultilevel"/>
    <w:lvl w:ilvl="0">
      <w:lvlJc w:val="left"/>
      <w:lvlText w:val="*"/>
      <w:numFmt w:val="bullet"/>
      <w:start w:val="1"/>
    </w:lvl>
  </w:abstractNum>
  <w:abstractNum w:abstractNumId="18">
    <w:nsid w:val="5046B5A9"/>
    <w:multiLevelType w:val="hybridMultilevel"/>
    <w:lvl w:ilvl="0">
      <w:lvlJc w:val="left"/>
      <w:lvlText w:val="%1."/>
      <w:numFmt w:val="upperLetter"/>
      <w:start w:val="1"/>
    </w:lvl>
  </w:abstractNum>
  <w:abstractNum w:abstractNumId="19">
    <w:nsid w:val="5D888A08"/>
    <w:multiLevelType w:val="hybridMultilevel"/>
    <w:lvl w:ilvl="0">
      <w:lvlJc w:val="left"/>
      <w:lvlText w:val="%1."/>
      <w:numFmt w:val="upperLetter"/>
      <w:start w:val="2"/>
    </w:lvl>
  </w:abstractNum>
  <w:abstractNum w:abstractNumId="20">
    <w:nsid w:val="2A082C70"/>
    <w:multiLevelType w:val="hybridMultilevel"/>
    <w:lvl w:ilvl="0">
      <w:lvlJc w:val="left"/>
      <w:lvlText w:val="(%1)"/>
      <w:numFmt w:val="lowerLetter"/>
      <w:start w:val="1"/>
    </w:lvl>
  </w:abstractNum>
  <w:abstractNum w:abstractNumId="21">
    <w:nsid w:val="5EC6AFD4"/>
    <w:multiLevelType w:val="hybridMultilevel"/>
    <w:lvl w:ilvl="0">
      <w:lvlJc w:val="left"/>
      <w:lvlText w:val="(%1)"/>
      <w:numFmt w:val="lowerLetter"/>
      <w:start w:val="1"/>
    </w:lvl>
  </w:abstractNum>
  <w:abstractNum w:abstractNumId="22">
    <w:nsid w:val="19E21BB2"/>
    <w:multiLevelType w:val="hybridMultilevel"/>
    <w:lvl w:ilvl="0">
      <w:lvlJc w:val="left"/>
      <w:lvlText w:val="(%1)"/>
      <w:numFmt w:val="lowerLetter"/>
      <w:start w:val="2"/>
    </w:lvl>
  </w:abstractNum>
  <w:abstractNum w:abstractNumId="23">
    <w:nsid w:val="75E0858A"/>
    <w:multiLevelType w:val="hybridMultilevel"/>
    <w:lvl w:ilvl="0">
      <w:lvlJc w:val="left"/>
      <w:lvlText w:val="(%1)"/>
      <w:numFmt w:val="lowerLetter"/>
      <w:start w:val="1"/>
    </w:lvl>
  </w:abstractNum>
  <w:abstractNum w:abstractNumId="24">
    <w:nsid w:val="57A61A29"/>
    <w:multiLevelType w:val="hybridMultilevel"/>
    <w:lvl w:ilvl="0">
      <w:lvlJc w:val="left"/>
      <w:lvlText w:val="%1"/>
      <w:numFmt w:val="lowerLetter"/>
      <w:start w:val="1"/>
    </w:lvl>
    <w:lvl w:ilvl="1">
      <w:lvlJc w:val="left"/>
      <w:lvlText w:val="(%2)"/>
      <w:numFmt w:val="lowerLetter"/>
      <w:start w:val="1"/>
    </w:lvl>
  </w:abstractNum>
  <w:abstractNum w:abstractNumId="25">
    <w:nsid w:val="5399C654"/>
    <w:multiLevelType w:val="hybridMultilevel"/>
    <w:lvl w:ilvl="0">
      <w:lvlJc w:val="left"/>
      <w:lvlText w:val="(%1)"/>
      <w:numFmt w:val="lowerLetter"/>
      <w:start w:val="2"/>
    </w:lvl>
    <w:lvl w:ilvl="1">
      <w:lvlJc w:val="left"/>
      <w:lvlText w:val="(%2)"/>
      <w:numFmt w:val="lowerLetter"/>
      <w:start w:val="6"/>
    </w:lvl>
  </w:abstractNum>
  <w:abstractNum w:abstractNumId="26">
    <w:nsid w:val="20EE1348"/>
    <w:multiLevelType w:val="hybridMultilevel"/>
    <w:lvl w:ilvl="0">
      <w:lvlJc w:val="left"/>
      <w:lvlText w:val="(%1)"/>
      <w:numFmt w:val="lowerRoman"/>
      <w:start w:val="2"/>
    </w:lvl>
  </w:abstractNum>
  <w:abstractNum w:abstractNumId="27">
    <w:nsid w:val="4427069A"/>
    <w:multiLevelType w:val="hybridMultilevel"/>
    <w:lvl w:ilvl="0">
      <w:lvlJc w:val="left"/>
      <w:lvlText w:val="%1"/>
      <w:numFmt w:val="lowerRoman"/>
      <w:start w:val="1"/>
    </w:lvl>
    <w:lvl w:ilvl="1">
      <w:lvlJc w:val="left"/>
      <w:lvlText w:val="(%2)"/>
      <w:numFmt w:val="lowerLetter"/>
      <w:start w:val="1"/>
    </w:lvl>
  </w:abstractNum>
  <w:abstractNum w:abstractNumId="28">
    <w:nsid w:val="B37E80A"/>
    <w:multiLevelType w:val="hybridMultilevel"/>
    <w:lvl w:ilvl="0">
      <w:lvlJc w:val="left"/>
      <w:lvlText w:val="(%1)"/>
      <w:numFmt w:val="lowerRoman"/>
      <w:start w:val="3"/>
    </w:lvl>
    <w:lvl w:ilvl="1">
      <w:lvlJc w:val="left"/>
      <w:lvlText w:val="%2"/>
      <w:numFmt w:val="lowerLetter"/>
      <w:start w:val="1"/>
    </w:lvl>
  </w:abstractNum>
  <w:abstractNum w:abstractNumId="29">
    <w:nsid w:val="2157F6BC"/>
    <w:multiLevelType w:val="hybridMultilevel"/>
    <w:lvl w:ilvl="0">
      <w:lvlJc w:val="left"/>
      <w:lvlText w:val="(%1)"/>
      <w:numFmt w:val="lowerRoman"/>
      <w:start w:val="12"/>
    </w:lvl>
    <w:lvl w:ilvl="1">
      <w:lvlJc w:val="left"/>
      <w:lvlText w:val="%2"/>
      <w:numFmt w:val="lowerLetter"/>
      <w:start w:val="1"/>
    </w:lvl>
  </w:abstractNum>
  <w:abstractNum w:abstractNumId="30">
    <w:nsid w:val="704E1DD5"/>
    <w:multiLevelType w:val="hybridMultilevel"/>
    <w:lvl w:ilvl="0">
      <w:lvlJc w:val="left"/>
      <w:lvlText w:val="(%1)"/>
      <w:numFmt w:val="lowerLetter"/>
      <w:start w:val="4"/>
    </w:lvl>
  </w:abstractNum>
  <w:abstractNum w:abstractNumId="31">
    <w:nsid w:val="57D2F10E"/>
    <w:multiLevelType w:val="hybridMultilevel"/>
    <w:lvl w:ilvl="0">
      <w:lvlJc w:val="left"/>
      <w:lvlText w:val="(%1)"/>
      <w:numFmt w:val="lowerLetter"/>
      <w:start w:val="2"/>
    </w:lvl>
  </w:abstractNum>
  <w:abstractNum w:abstractNumId="32">
    <w:nsid w:val="BFFAE1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3">
    <w:nsid w:val="E3E47A8"/>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7"/>
    </w:lvl>
  </w:abstractNum>
  <w:abstractNum w:abstractNumId="34">
    <w:nsid w:val="2E48F044"/>
    <w:multiLevelType w:val="hybridMultilevel"/>
    <w:lvl w:ilvl="0">
      <w:lvlJc w:val="left"/>
      <w:lvlText w:val="%1"/>
      <w:numFmt w:val="lowerLetter"/>
      <w:start w:val="1"/>
    </w:lvl>
    <w:lvl w:ilvl="1">
      <w:lvlJc w:val="left"/>
      <w:lvlText w:val="(%2)"/>
      <w:numFmt w:val="lowerRoman"/>
      <w:start w:val="9"/>
    </w:lvl>
  </w:abstractNum>
  <w:abstractNum w:abstractNumId="35">
    <w:nsid w:val="49D0FEAC"/>
    <w:multiLevelType w:val="hybridMultilevel"/>
    <w:lvl w:ilvl="0">
      <w:lvlJc w:val="left"/>
      <w:lvlText w:val="(%1)"/>
      <w:numFmt w:val="lowerLetter"/>
      <w:start w:val="2"/>
    </w:lvl>
    <w:lvl w:ilvl="1">
      <w:lvlJc w:val="left"/>
      <w:lvlText w:val="(%2)"/>
      <w:numFmt w:val="lowerRoman"/>
      <w:start w:val="1"/>
    </w:lvl>
  </w:abstractNum>
  <w:abstractNum w:abstractNumId="36">
    <w:nsid w:val="4BEE5A5B"/>
    <w:multiLevelType w:val="hybridMultilevel"/>
    <w:lvl w:ilvl="0">
      <w:lvlJc w:val="left"/>
      <w:lvlText w:val="(%1)"/>
      <w:numFmt w:val="lowerLetter"/>
      <w:start w:val="1"/>
    </w:lvl>
  </w:abstractNum>
  <w:abstractNum w:abstractNumId="37">
    <w:nsid w:val="5551B9F3"/>
    <w:multiLevelType w:val="hybridMultilevel"/>
    <w:lvl w:ilvl="0">
      <w:lvlJc w:val="left"/>
      <w:lvlText w:val="(%1)"/>
      <w:numFmt w:val="lowerLetter"/>
      <w:start w:val="1"/>
    </w:lvl>
  </w:abstractNum>
  <w:abstractNum w:abstractNumId="38">
    <w:nsid w:val="24F6AB8E"/>
    <w:multiLevelType w:val="hybridMultilevel"/>
    <w:lvl w:ilvl="0">
      <w:lvlJc w:val="left"/>
      <w:lvlText w:val="(%1)"/>
      <w:numFmt w:val="lowerLetter"/>
      <w:start w:val="6"/>
    </w:lvl>
  </w:abstractNum>
  <w:abstractNum w:abstractNumId="39">
    <w:nsid w:val="634C574C"/>
    <w:multiLevelType w:val="hybridMultilevel"/>
    <w:lvl w:ilvl="0">
      <w:lvlJc w:val="left"/>
      <w:lvlText w:val="(%1)"/>
      <w:numFmt w:val="lowerLetter"/>
      <w:start w:val="1"/>
    </w:lvl>
    <w:lvl w:ilvl="1">
      <w:lvlJc w:val="left"/>
      <w:lvlText w:val="(%2)"/>
      <w:numFmt w:val="lowerRoman"/>
      <w:start w:val="1"/>
    </w:lvl>
  </w:abstractNum>
  <w:abstractNum w:abstractNumId="40">
    <w:nsid w:val="24E99DD7"/>
    <w:multiLevelType w:val="hybridMultilevel"/>
    <w:lvl w:ilvl="0">
      <w:lvlJc w:val="left"/>
      <w:lvlText w:val="(%1)"/>
      <w:numFmt w:val="lowerRoman"/>
      <w:start w:val="6"/>
    </w:lvl>
  </w:abstractNum>
  <w:abstractNum w:abstractNumId="41">
    <w:nsid w:val="2A31B62D"/>
    <w:multiLevelType w:val="hybridMultilevel"/>
    <w:lvl w:ilvl="0">
      <w:lvlJc w:val="left"/>
      <w:lvlText w:val="(%1)"/>
      <w:numFmt w:val="lowerRoman"/>
      <w:start w:val="1"/>
    </w:lvl>
  </w:abstractNum>
  <w:abstractNum w:abstractNumId="42">
    <w:nsid w:val="1849C29B"/>
    <w:multiLevelType w:val="hybridMultilevel"/>
    <w:lvl w:ilvl="0">
      <w:lvlJc w:val="left"/>
      <w:lvlText w:val="(%1)"/>
      <w:numFmt w:val="lowerLetter"/>
      <w:start w:val="1"/>
    </w:lvl>
  </w:abstractNum>
  <w:abstractNum w:abstractNumId="43">
    <w:nsid w:val="7DFF9D09"/>
    <w:multiLevelType w:val="hybridMultilevel"/>
    <w:lvl w:ilvl="0">
      <w:lvlJc w:val="left"/>
      <w:lvlText w:val="(%1)"/>
      <w:numFmt w:val="lowerLetter"/>
      <w:start w:val="3"/>
    </w:lvl>
  </w:abstractNum>
  <w:abstractNum w:abstractNumId="44">
    <w:nsid w:val="754342"/>
    <w:multiLevelType w:val="hybridMultilevel"/>
    <w:lvl w:ilvl="0">
      <w:lvlJc w:val="left"/>
      <w:lvlText w:val="(%1)"/>
      <w:numFmt w:val="lowerLetter"/>
      <w:start w:val="1"/>
    </w:lvl>
  </w:abstractNum>
  <w:abstractNum w:abstractNumId="45">
    <w:nsid w:val="69E7F3E5"/>
    <w:multiLevelType w:val="hybridMultilevel"/>
    <w:lvl w:ilvl="0">
      <w:lvlJc w:val="left"/>
      <w:lvlText w:val="%1"/>
      <w:numFmt w:val="upperLetter"/>
      <w:start w:val="1"/>
    </w:lvl>
    <w:lvl w:ilvl="1">
      <w:lvlJc w:val="left"/>
      <w:lvlText w:val="(%2)"/>
      <w:numFmt w:val="lowerLetter"/>
      <w:start w:val="3"/>
    </w:lvl>
  </w:abstractNum>
  <w:abstractNum w:abstractNumId="46">
    <w:nsid w:val="2A6DE806"/>
    <w:multiLevelType w:val="hybridMultilevel"/>
    <w:lvl w:ilvl="0">
      <w:lvlJc w:val="left"/>
      <w:lvlText w:val="(%1)"/>
      <w:numFmt w:val="upperLetter"/>
      <w:start w:val="1"/>
    </w:lvl>
    <w:lvl w:ilvl="1">
      <w:lvlJc w:val="left"/>
      <w:lvlText w:val="(%2)"/>
      <w:numFmt w:val="lowerLetter"/>
      <w:start w:val="10"/>
    </w:lvl>
  </w:abstractNum>
  <w:abstractNum w:abstractNumId="47">
    <w:nsid w:val="1816F8C4"/>
    <w:multiLevelType w:val="hybridMultilevel"/>
    <w:lvl w:ilvl="0">
      <w:lvlJc w:val="left"/>
      <w:lvlText w:val="(%1)"/>
      <w:numFmt w:val="lowerLetter"/>
      <w:start w:val="11"/>
    </w:lvl>
  </w:abstractNum>
  <w:abstractNum w:abstractNumId="48">
    <w:nsid w:val="37DF2233"/>
    <w:multiLevelType w:val="hybridMultilevel"/>
    <w:lvl w:ilvl="0">
      <w:lvlJc w:val="left"/>
      <w:lvlText w:val="(%1)"/>
      <w:numFmt w:val="lowerLetter"/>
      <w:start w:val="1"/>
    </w:lvl>
  </w:abstractNum>
  <w:abstractNum w:abstractNumId="49">
    <w:nsid w:val="7AB49DAF"/>
    <w:multiLevelType w:val="hybridMultilevel"/>
    <w:lvl w:ilvl="0">
      <w:lvlJc w:val="left"/>
      <w:lvlText w:val="(%1)"/>
      <w:numFmt w:val="lowerLetter"/>
      <w:start w:val="12"/>
    </w:lvl>
  </w:abstractNum>
  <w:abstractNum w:abstractNumId="50">
    <w:nsid w:val="759F82CD"/>
    <w:multiLevelType w:val="hybridMultilevel"/>
    <w:lvl w:ilvl="0">
      <w:lvlJc w:val="left"/>
      <w:lvlText w:val="(%1)"/>
      <w:numFmt w:val="lowerLetter"/>
      <w:start w:val="3"/>
    </w:lvl>
  </w:abstractNum>
  <w:abstractNum w:abstractNumId="51">
    <w:nsid w:val="61E74EA3"/>
    <w:multiLevelType w:val="hybridMultilevel"/>
    <w:lvl w:ilvl="0">
      <w:lvlJc w:val="left"/>
      <w:lvlText w:val="(%1)"/>
      <w:numFmt w:val="lowerLetter"/>
      <w:start w:val="1"/>
    </w:lvl>
  </w:abstractNum>
  <w:abstractNum w:abstractNumId="52">
    <w:nsid w:val="597B4D84"/>
    <w:multiLevelType w:val="hybridMultilevel"/>
    <w:lvl w:ilvl="0">
      <w:lvlJc w:val="left"/>
      <w:lvlText w:val="(%1)"/>
      <w:numFmt w:val="lowerLetter"/>
      <w:start w:val="1"/>
    </w:lvl>
  </w:abstractNum>
  <w:abstractNum w:abstractNumId="53">
    <w:nsid w:val="F819E7F"/>
    <w:multiLevelType w:val="hybridMultilevel"/>
    <w:lvl w:ilvl="0">
      <w:lvlJc w:val="left"/>
      <w:lvlText w:val="(%1)"/>
      <w:numFmt w:val="lowerLetter"/>
      <w:start w:val="1"/>
    </w:lvl>
  </w:abstractNum>
  <w:abstractNum w:abstractNumId="54">
    <w:nsid w:val="57C7D42D"/>
    <w:multiLevelType w:val="hybridMultilevel"/>
    <w:lvl w:ilvl="0">
      <w:lvlJc w:val="left"/>
      <w:lvlText w:val="(%1)"/>
      <w:numFmt w:val="lowerLetter"/>
      <w:start w:val="1"/>
    </w:lvl>
  </w:abstractNum>
  <w:abstractNum w:abstractNumId="55">
    <w:nsid w:val="312167AD"/>
    <w:multiLevelType w:val="hybridMultilevel"/>
    <w:lvl w:ilvl="0">
      <w:lvlJc w:val="left"/>
      <w:lvlText w:val="(%1)"/>
      <w:numFmt w:val="lowerLetter"/>
      <w:start w:val="2"/>
    </w:lvl>
    <w:lvl w:ilvl="1">
      <w:lvlJc w:val="left"/>
      <w:lvlText w:val="(%2)"/>
      <w:numFmt w:val="lowerRoman"/>
      <w:start w:val="1"/>
    </w:lvl>
  </w:abstractNum>
  <w:abstractNum w:abstractNumId="56">
    <w:nsid w:val="631B64D4"/>
    <w:multiLevelType w:val="hybridMultilevel"/>
    <w:lvl w:ilvl="0">
      <w:lvlJc w:val="left"/>
      <w:lvlText w:val="(%1)"/>
      <w:numFmt w:val="lowerLetter"/>
      <w:start w:val="3"/>
    </w:lvl>
  </w:abstractNum>
  <w:abstractNum w:abstractNumId="57">
    <w:nsid w:val="78B5E776"/>
    <w:multiLevelType w:val="hybridMultilevel"/>
    <w:lvl w:ilvl="0">
      <w:lvlJc w:val="left"/>
      <w:lvlText w:val="(%1)"/>
      <w:numFmt w:val="lowerLetter"/>
      <w:start w:val="5"/>
    </w:lvl>
  </w:abstractNum>
  <w:abstractNum w:abstractNumId="58">
    <w:nsid w:val="75486E47"/>
    <w:multiLevelType w:val="hybridMultilevel"/>
    <w:lvl w:ilvl="0">
      <w:lvlJc w:val="left"/>
      <w:lvlText w:val="(%1)"/>
      <w:numFmt w:val="lowerLetter"/>
      <w:start w:val="1"/>
    </w:lvl>
  </w:abstractNum>
  <w:abstractNum w:abstractNumId="59">
    <w:nsid w:val="6E534CDE"/>
    <w:multiLevelType w:val="hybridMultilevel"/>
    <w:lvl w:ilvl="0">
      <w:lvlJc w:val="left"/>
      <w:lvlText w:val="%1"/>
      <w:numFmt w:val="lowerLetter"/>
      <w:start w:val="1"/>
    </w:lvl>
    <w:lvl w:ilvl="1">
      <w:lvlJc w:val="left"/>
      <w:lvlText w:val="(%2)"/>
      <w:numFmt w:val="lowerRoman"/>
      <w:start w:val="2"/>
    </w:lvl>
  </w:abstractNum>
  <w:abstractNum w:abstractNumId="60">
    <w:nsid w:val="1A0DDE32"/>
    <w:multiLevelType w:val="hybridMultilevel"/>
    <w:lvl w:ilvl="0">
      <w:lvlJc w:val="left"/>
      <w:lvlText w:val="(%1)"/>
      <w:numFmt w:val="lowerLetter"/>
      <w:start w:val="4"/>
    </w:lvl>
    <w:lvl w:ilvl="1">
      <w:lvlJc w:val="left"/>
      <w:lvlText w:val="(%2)"/>
      <w:numFmt w:val="lowerRoman"/>
      <w:start w:val="2"/>
    </w:lvl>
  </w:abstractNum>
  <w:abstractNum w:abstractNumId="61">
    <w:nsid w:val="65968C1C"/>
    <w:multiLevelType w:val="hybridMultilevel"/>
    <w:lvl w:ilvl="0">
      <w:lvlJc w:val="left"/>
      <w:lvlText w:val="(%1)"/>
      <w:numFmt w:val="lowerLetter"/>
      <w:start w:val="5"/>
    </w:lvl>
  </w:abstractNum>
  <w:abstractNum w:abstractNumId="62">
    <w:nsid w:val="46263DE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3">
    <w:nsid w:val="260D8C4A"/>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64">
    <w:nsid w:val="73D4D3C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65">
    <w:nsid w:val="746F2E3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66">
    <w:nsid w:val="6FDE8AF6"/>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67">
    <w:nsid w:val="3FC32E20"/>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68">
    <w:nsid w:val="49C0E823"/>
    <w:multiLevelType w:val="hybridMultilevel"/>
    <w:lvl w:ilvl="0">
      <w:lvlJc w:val="left"/>
      <w:lvlText w:val="%1"/>
      <w:numFmt w:val="lowerLetter"/>
      <w:start w:val="1"/>
    </w:lvl>
    <w:lvl w:ilvl="1">
      <w:lvlJc w:val="left"/>
      <w:lvlText w:val="(%2)"/>
      <w:numFmt w:val="lowerRoman"/>
      <w:start w:val="2"/>
    </w:lvl>
  </w:abstractNum>
  <w:abstractNum w:abstractNumId="69">
    <w:nsid w:val="14D53685"/>
    <w:multiLevelType w:val="hybridMultilevel"/>
    <w:lvl w:ilvl="0">
      <w:lvlJc w:val="left"/>
      <w:lvlText w:val="(%1)"/>
      <w:numFmt w:val="lowerLetter"/>
      <w:start w:val="3"/>
    </w:lvl>
    <w:lvl w:ilvl="1">
      <w:lvlJc w:val="left"/>
      <w:lvlText w:val="%2"/>
      <w:numFmt w:val="lowerRoman"/>
      <w:start w:val="1"/>
    </w:lvl>
  </w:abstractNum>
  <w:abstractNum w:abstractNumId="70">
    <w:nsid w:val="230F856C"/>
    <w:multiLevelType w:val="hybridMultilevel"/>
    <w:lvl w:ilvl="0">
      <w:lvlJc w:val="left"/>
      <w:lvlText w:val="(%1)"/>
      <w:numFmt w:val="lowerRoman"/>
      <w:start w:val="2"/>
    </w:lvl>
  </w:abstractNum>
  <w:abstractNum w:abstractNumId="71">
    <w:nsid w:val="6EAA85FB"/>
    <w:multiLevelType w:val="hybridMultilevel"/>
    <w:lvl w:ilvl="0">
      <w:lvlJc w:val="left"/>
      <w:lvlText w:val="%1"/>
      <w:numFmt w:val="lowerLetter"/>
      <w:start w:val="1"/>
    </w:lvl>
    <w:lvl w:ilvl="1">
      <w:lvlJc w:val="left"/>
      <w:lvlText w:val="(%2)"/>
      <w:numFmt w:val="lowerRoman"/>
      <w:start w:val="7"/>
    </w:lvl>
  </w:abstractNum>
  <w:abstractNum w:abstractNumId="72">
    <w:nsid w:val="3F06ECB2"/>
    <w:multiLevelType w:val="hybridMultilevel"/>
    <w:lvl w:ilvl="0">
      <w:lvlJc w:val="left"/>
      <w:lvlText w:val="(%1)"/>
      <w:numFmt w:val="lowerLetter"/>
      <w:start w:val="4"/>
    </w:lvl>
    <w:lvl w:ilvl="1">
      <w:lvlJc w:val="left"/>
      <w:lvlText w:val="(%2)"/>
      <w:numFmt w:val="lowerRoman"/>
      <w:start w:val="1"/>
    </w:lvl>
  </w:abstractNum>
  <w:abstractNum w:abstractNumId="73">
    <w:nsid w:val="3B594807"/>
    <w:multiLevelType w:val="hybridMultilevel"/>
    <w:lvl w:ilvl="0">
      <w:lvlJc w:val="left"/>
      <w:lvlText w:val="(%1)"/>
      <w:numFmt w:val="lowerRoman"/>
      <w:start w:val="5"/>
    </w:lvl>
  </w:abstractNum>
  <w:abstractNum w:abstractNumId="74">
    <w:nsid w:val="6CAA2304"/>
    <w:multiLevelType w:val="hybridMultilevel"/>
    <w:lvl w:ilvl="0">
      <w:lvlJc w:val="left"/>
      <w:lvlText w:val="(%1)"/>
      <w:numFmt w:val="lowerLetter"/>
      <w:start w:val="5"/>
    </w:lvl>
  </w:abstractNum>
  <w:abstractNum w:abstractNumId="75">
    <w:nsid w:val="3F7C2FF4"/>
    <w:multiLevelType w:val="hybridMultilevel"/>
    <w:lvl w:ilvl="0">
      <w:lvlJc w:val="left"/>
      <w:lvlText w:val="(%1)"/>
      <w:numFmt w:val="lowerLetter"/>
      <w:start w:val="1"/>
    </w:lvl>
  </w:abstractNum>
  <w:abstractNum w:abstractNumId="76">
    <w:nsid w:val="25413BEC"/>
    <w:multiLevelType w:val="hybridMultilevel"/>
    <w:lvl w:ilvl="0">
      <w:lvlJc w:val="left"/>
      <w:lvlText w:val="(%1)"/>
      <w:numFmt w:val="lowerLetter"/>
      <w:start w:val="1"/>
    </w:lvl>
  </w:abstractNum>
  <w:abstractNum w:abstractNumId="77">
    <w:nsid w:val="17180B0B"/>
    <w:multiLevelType w:val="hybridMultilevel"/>
    <w:lvl w:ilvl="0">
      <w:lvlJc w:val="left"/>
      <w:lvlText w:val="(%1)"/>
      <w:numFmt w:val="lowerLetter"/>
      <w:start w:val="2"/>
    </w:lvl>
  </w:abstractNum>
  <w:abstractNum w:abstractNumId="78">
    <w:nsid w:val="579328B9"/>
    <w:multiLevelType w:val="hybridMultilevel"/>
    <w:lvl w:ilvl="0">
      <w:lvlJc w:val="left"/>
      <w:lvlText w:val="(%1)"/>
      <w:numFmt w:val="lowerLetter"/>
      <w:start w:val="3"/>
    </w:lvl>
  </w:abstractNum>
  <w:abstractNum w:abstractNumId="79">
    <w:nsid w:val="5D205E20"/>
    <w:multiLevelType w:val="hybridMultilevel"/>
    <w:lvl w:ilvl="0">
      <w:lvlJc w:val="left"/>
      <w:lvlText w:val="(%1)"/>
      <w:numFmt w:val="lowerLetter"/>
      <w:start w:val="4"/>
    </w:lvl>
  </w:abstractNum>
  <w:abstractNum w:abstractNumId="80">
    <w:nsid w:val="11CCA8B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81">
    <w:nsid w:val="4D32AB86"/>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82">
    <w:nsid w:val="3F07ACC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3">
    <w:nsid w:val="6B47F63E"/>
    <w:multiLevelType w:val="hybridMultilevel"/>
    <w:lvl w:ilvl="0">
      <w:lvlJc w:val="left"/>
      <w:lvlText w:val="%1"/>
      <w:numFmt w:val="lowerLetter"/>
      <w:start w:val="1"/>
    </w:lvl>
    <w:lvl w:ilvl="1">
      <w:lvlJc w:val="left"/>
      <w:lvlText w:val="(%2)"/>
      <w:numFmt w:val="lowerRoman"/>
      <w:start w:val="4"/>
    </w:lvl>
  </w:abstractNum>
  <w:abstractNum w:abstractNumId="84">
    <w:nsid w:val="5CB44A05"/>
    <w:multiLevelType w:val="hybridMultilevel"/>
    <w:lvl w:ilvl="0">
      <w:lvlJc w:val="left"/>
      <w:lvlText w:val="(%1)"/>
      <w:numFmt w:val="lowerLetter"/>
      <w:start w:val="3"/>
    </w:lvl>
    <w:lvl w:ilvl="1">
      <w:lvlJc w:val="left"/>
      <w:lvlText w:val="%2"/>
      <w:numFmt w:val="lowerRoman"/>
      <w:start w:val="1"/>
    </w:lvl>
  </w:abstractNum>
  <w:abstractNum w:abstractNumId="85">
    <w:nsid w:val="16CF80F1"/>
    <w:multiLevelType w:val="hybridMultilevel"/>
    <w:lvl w:ilvl="0">
      <w:lvlJc w:val="left"/>
      <w:lvlText w:val="(%1)"/>
      <w:numFmt w:val="lowerLetter"/>
      <w:start w:val="1"/>
    </w:lvl>
  </w:abstractNum>
  <w:abstractNum w:abstractNumId="86">
    <w:nsid w:val="1C695DEC"/>
    <w:multiLevelType w:val="hybridMultilevel"/>
    <w:lvl w:ilvl="0">
      <w:lvlJc w:val="left"/>
      <w:lvlText w:val="(%1)"/>
      <w:numFmt w:val="lowerLetter"/>
      <w:start w:val="3"/>
    </w:lvl>
    <w:lvl w:ilvl="1">
      <w:lvlJc w:val="left"/>
      <w:lvlText w:val="(%2)"/>
      <w:numFmt w:val="lowerRoman"/>
      <w:start w:val="2"/>
    </w:lvl>
  </w:abstractNum>
  <w:abstractNum w:abstractNumId="87">
    <w:nsid w:val="3FCFAED9"/>
    <w:multiLevelType w:val="hybridMultilevel"/>
    <w:lvl w:ilvl="0">
      <w:lvlJc w:val="left"/>
      <w:lvlText w:val="(%1)"/>
      <w:numFmt w:val="lowerLetter"/>
      <w:start w:val="6"/>
    </w:lvl>
    <w:lvl w:ilvl="1">
      <w:lvlJc w:val="left"/>
      <w:lvlText w:val="(%2)"/>
      <w:numFmt w:val="lowerRoman"/>
      <w:start w:val="1"/>
    </w:lvl>
  </w:abstractNum>
  <w:abstractNum w:abstractNumId="88">
    <w:nsid w:val="F856867"/>
    <w:multiLevelType w:val="hybridMultilevel"/>
    <w:lvl w:ilvl="0">
      <w:lvlJc w:val="left"/>
      <w:lvlText w:val="(%1)"/>
      <w:numFmt w:val="lowerLetter"/>
      <w:start w:val="1"/>
    </w:lvl>
  </w:abstractNum>
  <w:abstractNum w:abstractNumId="89">
    <w:nsid w:val="11B1CC33"/>
    <w:multiLevelType w:val="hybridMultilevel"/>
    <w:lvl w:ilvl="0">
      <w:lvlJc w:val="left"/>
      <w:lvlText w:val="(%1)"/>
      <w:numFmt w:val="lowerRoman"/>
      <w:start w:val="1"/>
    </w:lvl>
    <w:lvl w:ilvl="1">
      <w:lvlJc w:val="left"/>
      <w:lvlText w:val="(%2)"/>
      <w:numFmt w:val="upperLetter"/>
      <w:start w:val="1"/>
    </w:lvl>
  </w:abstractNum>
  <w:abstractNum w:abstractNumId="90">
    <w:nsid w:val="2E22FBB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91">
    <w:nsid w:val="2993469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92">
    <w:nsid w:val="7748585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3">
    <w:nsid w:val="744939A3"/>
    <w:multiLevelType w:val="hybridMultilevel"/>
    <w:lvl w:ilvl="0">
      <w:lvlJc w:val="left"/>
      <w:lvlText w:val="(%1)"/>
      <w:numFmt w:val="lowerLetter"/>
      <w:start w:val="1"/>
    </w:lvl>
    <w:lvl w:ilvl="1">
      <w:lvlJc w:val="left"/>
      <w:lvlText w:val="(%2)"/>
      <w:numFmt w:val="lowerRoman"/>
      <w:start w:val="1"/>
    </w:lvl>
  </w:abstractNum>
  <w:abstractNum w:abstractNumId="94">
    <w:nsid w:val="4FA0D2E3"/>
    <w:multiLevelType w:val="hybridMultilevel"/>
    <w:lvl w:ilvl="0">
      <w:lvlJc w:val="left"/>
      <w:lvlText w:val="(%1)"/>
      <w:numFmt w:val="lowerLetter"/>
      <w:start w:val="4"/>
    </w:lvl>
  </w:abstractNum>
  <w:abstractNum w:abstractNumId="95">
    <w:nsid w:val="6B1D2C14"/>
    <w:multiLevelType w:val="hybridMultilevel"/>
    <w:lvl w:ilvl="0">
      <w:lvlJc w:val="left"/>
      <w:lvlText w:val="(%1)"/>
      <w:numFmt w:val="lowerLetter"/>
      <w:start w:val="1"/>
    </w:lvl>
  </w:abstractNum>
  <w:abstractNum w:abstractNumId="96">
    <w:nsid w:val="68B867D3"/>
    <w:multiLevelType w:val="hybridMultilevel"/>
    <w:lvl w:ilvl="0">
      <w:lvlJc w:val="left"/>
      <w:lvlText w:val="(%1)"/>
      <w:numFmt w:val="lowerLetter"/>
      <w:start w:val="3"/>
    </w:lvl>
    <w:lvl w:ilvl="1">
      <w:lvlJc w:val="left"/>
      <w:lvlText w:val="(%2)"/>
      <w:numFmt w:val="lowerRoman"/>
      <w:start w:val="1"/>
    </w:lvl>
  </w:abstractNum>
  <w:abstractNum w:abstractNumId="97">
    <w:nsid w:val="3F7F5DD9"/>
    <w:multiLevelType w:val="hybridMultilevel"/>
    <w:lvl w:ilvl="0">
      <w:lvlJc w:val="left"/>
      <w:lvlText w:val="(%1)"/>
      <w:numFmt w:val="lowerLetter"/>
      <w:start w:val="6"/>
    </w:lvl>
  </w:abstractNum>
  <w:abstractNum w:abstractNumId="98">
    <w:nsid w:val="2AE05A34"/>
    <w:multiLevelType w:val="hybridMultilevel"/>
    <w:lvl w:ilvl="0">
      <w:lvlJc w:val="left"/>
      <w:lvlText w:val="(%1)"/>
      <w:numFmt w:val="lowerLetter"/>
      <w:start w:val="1"/>
    </w:lvl>
    <w:lvl w:ilvl="1">
      <w:lvlJc w:val="left"/>
      <w:lvlText w:val="(%2)"/>
      <w:numFmt w:val="lowerRoman"/>
      <w:start w:val="1"/>
    </w:lvl>
  </w:abstractNum>
  <w:abstractNum w:abstractNumId="99">
    <w:nsid w:val="32794FF7"/>
    <w:multiLevelType w:val="hybridMultilevel"/>
    <w:lvl w:ilvl="0">
      <w:lvlJc w:val="left"/>
      <w:lvlText w:val="(%1)"/>
      <w:numFmt w:val="lowerRoman"/>
      <w:start w:val="3"/>
    </w:lvl>
  </w:abstractNum>
  <w:abstractNum w:abstractNumId="100">
    <w:nsid w:val="5454945E"/>
    <w:multiLevelType w:val="hybridMultilevel"/>
    <w:lvl w:ilvl="0">
      <w:lvlJc w:val="left"/>
      <w:lvlText w:val="%1"/>
      <w:numFmt w:val="lowerLetter"/>
      <w:start w:val="1"/>
    </w:lvl>
    <w:lvl w:ilvl="1">
      <w:lvlJc w:val="left"/>
      <w:lvlText w:val="(%2)"/>
      <w:numFmt w:val="lowerLetter"/>
      <w:start w:val="3"/>
    </w:lvl>
  </w:abstractNum>
  <w:abstractNum w:abstractNumId="101">
    <w:nsid w:val="4DEFDFA0"/>
    <w:multiLevelType w:val="hybridMultilevel"/>
    <w:lvl w:ilvl="0">
      <w:lvlJc w:val="left"/>
      <w:lvlText w:val="(%1)"/>
      <w:numFmt w:val="lowerLetter"/>
      <w:start w:val="35"/>
    </w:lvl>
    <w:lvl w:ilvl="1">
      <w:lvlJc w:val="left"/>
      <w:lvlText w:val="(%2)"/>
      <w:numFmt w:val="lowerLetter"/>
      <w:start w:val="4"/>
    </w:lvl>
  </w:abstractNum>
  <w:abstractNum w:abstractNumId="102">
    <w:nsid w:val="2123D5F2"/>
    <w:multiLevelType w:val="hybridMultilevel"/>
    <w:lvl w:ilvl="0">
      <w:lvlJc w:val="left"/>
      <w:lvlText w:val="(%1)"/>
      <w:numFmt w:val="lowerLetter"/>
      <w:start w:val="1"/>
    </w:lvl>
  </w:abstractNum>
  <w:abstractNum w:abstractNumId="103">
    <w:nsid w:val="135B8110"/>
    <w:multiLevelType w:val="hybridMultilevel"/>
    <w:lvl w:ilvl="0">
      <w:lvlJc w:val="left"/>
      <w:lvlText w:val="(%1)"/>
      <w:numFmt w:val="lowerLetter"/>
      <w:start w:val="2"/>
    </w:lvl>
  </w:abstractNum>
  <w:abstractNum w:abstractNumId="104">
    <w:nsid w:val="94927A8"/>
    <w:multiLevelType w:val="hybridMultilevel"/>
    <w:lvl w:ilvl="0">
      <w:lvlJc w:val="left"/>
      <w:lvlText w:val="(%1)"/>
      <w:numFmt w:val="lowerLetter"/>
      <w:start w:val="1"/>
    </w:lvl>
  </w:abstractNum>
  <w:abstractNum w:abstractNumId="105">
    <w:nsid w:val="DCDF8F6"/>
    <w:multiLevelType w:val="hybridMultilevel"/>
    <w:lvl w:ilvl="0">
      <w:lvlJc w:val="left"/>
      <w:lvlText w:val="(%1)"/>
      <w:numFmt w:val="lowerLetter"/>
      <w:start w:val="1"/>
    </w:lvl>
    <w:lvl w:ilvl="1">
      <w:lvlJc w:val="left"/>
      <w:lvlText w:val="(%2)"/>
      <w:numFmt w:val="lowerRoman"/>
      <w:start w:val="1"/>
    </w:lvl>
  </w:abstractNum>
  <w:abstractNum w:abstractNumId="106">
    <w:nsid w:val="52D7B105"/>
    <w:multiLevelType w:val="hybridMultilevel"/>
    <w:lvl w:ilvl="0">
      <w:lvlJc w:val="left"/>
      <w:lvlText w:val="(%1)"/>
      <w:numFmt w:val="lowerLetter"/>
      <w:start w:val="2"/>
    </w:lvl>
  </w:abstractNum>
  <w:abstractNum w:abstractNumId="107">
    <w:nsid w:val="2E8A6394"/>
    <w:multiLevelType w:val="hybridMultilevel"/>
    <w:lvl w:ilvl="0">
      <w:lvlJc w:val="left"/>
      <w:lvlText w:val="(%1)"/>
      <w:numFmt w:val="lowerLetter"/>
      <w:start w:val="4"/>
    </w:lvl>
  </w:abstractNum>
  <w:abstractNum w:abstractNumId="108">
    <w:nsid w:val="24E60401"/>
    <w:multiLevelType w:val="hybridMultilevel"/>
    <w:lvl w:ilvl="0">
      <w:lvlJc w:val="left"/>
      <w:lvlText w:val="(%1)"/>
      <w:numFmt w:val="lowerLetter"/>
      <w:start w:val="1"/>
    </w:lvl>
  </w:abstractNum>
  <w:abstractNum w:abstractNumId="109">
    <w:nsid w:val="2A6AD9BE"/>
    <w:multiLevelType w:val="hybridMultilevel"/>
    <w:lvl w:ilvl="0">
      <w:lvlJc w:val="left"/>
      <w:lvlText w:val="(%1)"/>
      <w:numFmt w:val="lowerLetter"/>
      <w:start w:val="2"/>
    </w:lvl>
  </w:abstractNum>
  <w:abstractNum w:abstractNumId="110">
    <w:nsid w:val="BAAC1B4"/>
    <w:multiLevelType w:val="hybridMultilevel"/>
    <w:lvl w:ilvl="0">
      <w:lvlJc w:val="left"/>
      <w:lvlText w:val="(%1)"/>
      <w:numFmt w:val="lowerLetter"/>
      <w:start w:val="7"/>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11">
    <w:nsid w:val="36B2ACBC"/>
    <w:multiLevelType w:val="hybridMultilevel"/>
    <w:lvl w:ilvl="0">
      <w:lvlJc w:val="left"/>
      <w:lvlText w:val="%1"/>
      <w:numFmt w:val="upperLetter"/>
      <w:start w:val="1"/>
    </w:lvl>
    <w:lvl w:ilvl="1">
      <w:lvlJc w:val="left"/>
      <w:lvlText w:val="(%2)"/>
      <w:numFmt w:val="decimal"/>
      <w:start w:val="4"/>
    </w:lvl>
  </w:abstractNum>
  <w:abstractNum w:abstractNumId="112">
    <w:nsid w:val="779D8544"/>
    <w:multiLevelType w:val="hybridMultilevel"/>
    <w:lvl w:ilvl="0">
      <w:lvlJc w:val="left"/>
      <w:lvlText w:val="(%1)"/>
      <w:numFmt w:val="upperLetter"/>
      <w:start w:val="3"/>
    </w:lvl>
    <w:lvl w:ilvl="1">
      <w:lvlJc w:val="left"/>
      <w:lvlText w:val="%2"/>
      <w:numFmt w:val="decimal"/>
      <w:start w:val="1"/>
    </w:lvl>
  </w:abstractNum>
  <w:abstractNum w:abstractNumId="113">
    <w:nsid w:val="4AB26E78"/>
    <w:multiLevelType w:val="hybridMultilevel"/>
    <w:lvl w:ilvl="0">
      <w:lvlJc w:val="left"/>
      <w:lvlText w:val="(%1)"/>
      <w:numFmt w:val="lowerLetter"/>
      <w:start w:val="8"/>
    </w:lvl>
  </w:abstractNum>
  <w:abstractNum w:abstractNumId="114">
    <w:nsid w:val="21FAA2FA"/>
    <w:multiLevelType w:val="hybridMultilevel"/>
    <w:lvl w:ilvl="0">
      <w:lvlJc w:val="left"/>
      <w:lvlText w:val="(%1)"/>
      <w:numFmt w:val="lowerLetter"/>
      <w:start w:val="9"/>
    </w:lvl>
  </w:abstractNum>
  <w:abstractNum w:abstractNumId="115">
    <w:nsid w:val="5451CF49"/>
    <w:multiLevelType w:val="hybridMultilevel"/>
    <w:lvl w:ilvl="0">
      <w:lvlJc w:val="left"/>
      <w:lvlText w:val="(%1)"/>
      <w:numFmt w:val="lowerLetter"/>
      <w:start w:val="1"/>
    </w:lvl>
    <w:lvl w:ilvl="1">
      <w:lvlJc w:val="left"/>
      <w:lvlText w:val="(%2)"/>
      <w:numFmt w:val="lowerRoman"/>
      <w:start w:val="1"/>
    </w:lvl>
  </w:abstractNum>
  <w:abstractNum w:abstractNumId="116">
    <w:nsid w:val="6181EF69"/>
    <w:multiLevelType w:val="hybridMultilevel"/>
    <w:lvl w:ilvl="0">
      <w:lvlJc w:val="left"/>
      <w:lvlText w:val="(%1)"/>
      <w:numFmt w:val="lowerRoman"/>
      <w:start w:val="3"/>
    </w:lvl>
  </w:abstractNum>
  <w:abstractNum w:abstractNumId="117">
    <w:nsid w:val="3E6400E6"/>
    <w:multiLevelType w:val="hybridMultilevel"/>
    <w:lvl w:ilvl="0">
      <w:lvlJc w:val="left"/>
      <w:lvlText w:val="(%1)"/>
      <w:numFmt w:val="lowerLetter"/>
      <w:start w:val="1"/>
    </w:lvl>
    <w:lvl w:ilvl="1">
      <w:lvlJc w:val="left"/>
      <w:lvlText w:val="(%2)"/>
      <w:numFmt w:val="lowerRoman"/>
      <w:start w:val="1"/>
    </w:lvl>
  </w:abstractNum>
  <w:abstractNum w:abstractNumId="118">
    <w:nsid w:val="14217E23"/>
    <w:multiLevelType w:val="hybridMultilevel"/>
    <w:lvl w:ilvl="0">
      <w:lvlJc w:val="left"/>
      <w:lvlText w:val="%1"/>
      <w:numFmt w:val="lowerLetter"/>
      <w:start w:val="1"/>
    </w:lvl>
    <w:lvl w:ilvl="1">
      <w:lvlJc w:val="left"/>
      <w:lvlText w:val="(%2)"/>
      <w:numFmt w:val="lowerLetter"/>
      <w:start w:val="4"/>
    </w:lvl>
  </w:abstractNum>
  <w:abstractNum w:abstractNumId="119">
    <w:nsid w:val="710757D0"/>
    <w:multiLevelType w:val="hybridMultilevel"/>
    <w:lvl w:ilvl="0">
      <w:lvlJc w:val="left"/>
      <w:lvlText w:val="(%1)"/>
      <w:numFmt w:val="lowerLetter"/>
      <w:start w:val="9"/>
    </w:lvl>
    <w:lvl w:ilvl="1">
      <w:lvlJc w:val="left"/>
      <w:lvlText w:val="(%2)"/>
      <w:numFmt w:val="lowerLetter"/>
      <w:start w:val="5"/>
    </w:lvl>
  </w:abstractNum>
  <w:abstractNum w:abstractNumId="120">
    <w:nsid w:val="5015CD1A"/>
    <w:multiLevelType w:val="hybridMultilevel"/>
    <w:lvl w:ilvl="0">
      <w:lvlJc w:val="left"/>
      <w:lvlText w:val="(%1)"/>
      <w:numFmt w:val="lowerLetter"/>
      <w:start w:val="1"/>
    </w:lvl>
  </w:abstractNum>
  <w:abstractNum w:abstractNumId="121">
    <w:nsid w:val="424479DA"/>
    <w:multiLevelType w:val="hybridMultilevel"/>
    <w:lvl w:ilvl="0">
      <w:lvlJc w:val="left"/>
      <w:lvlText w:val="(%1)"/>
      <w:numFmt w:val="lowerLetter"/>
      <w:start w:val="4"/>
    </w:lvl>
    <w:lvl w:ilvl="1">
      <w:lvlJc w:val="left"/>
      <w:lvlText w:val="(%2)"/>
      <w:numFmt w:val="lowerRoman"/>
      <w:start w:val="1"/>
    </w:lvl>
  </w:abstractNum>
  <w:abstractNum w:abstractNumId="122">
    <w:nsid w:val="1A9A9E69"/>
    <w:multiLevelType w:val="hybridMultilevel"/>
    <w:lvl w:ilvl="0">
      <w:lvlJc w:val="left"/>
      <w:lvlText w:val="(%1)"/>
      <w:numFmt w:val="lowerLetter"/>
      <w:start w:val="12"/>
    </w:lvl>
    <w:lvl w:ilvl="1">
      <w:lvlJc w:val="left"/>
      <w:lvlText w:val="(%2)"/>
      <w:numFmt w:val="lowerRoman"/>
      <w:start w:val="1"/>
    </w:lvl>
  </w:abstractNum>
  <w:abstractNum w:abstractNumId="123">
    <w:nsid w:val="475E256A"/>
    <w:multiLevelType w:val="hybridMultilevel"/>
    <w:lvl w:ilvl="0">
      <w:lvlJc w:val="left"/>
      <w:lvlText w:val="(%1)"/>
      <w:numFmt w:val="lowerLetter"/>
      <w:start w:val="1"/>
    </w:lvl>
  </w:abstractNum>
  <w:abstractNum w:abstractNumId="124">
    <w:nsid w:val="368DB37E"/>
    <w:multiLevelType w:val="hybridMultilevel"/>
    <w:lvl w:ilvl="0">
      <w:lvlJc w:val="left"/>
      <w:lvlText w:val="(%1)"/>
      <w:numFmt w:val="lowerLetter"/>
      <w:start w:val="1"/>
    </w:lvl>
    <w:lvl w:ilvl="1">
      <w:lvlJc w:val="left"/>
      <w:lvlText w:val="(%2)"/>
      <w:numFmt w:val="lowerRoman"/>
      <w:start w:val="1"/>
    </w:lvl>
  </w:abstractNum>
  <w:abstractNum w:abstractNumId="125">
    <w:nsid w:val="6A3B714C"/>
    <w:multiLevelType w:val="hybridMultilevel"/>
    <w:lvl w:ilvl="0">
      <w:lvlJc w:val="left"/>
      <w:lvlText w:val="(%1)"/>
      <w:numFmt w:val="lowerLetter"/>
      <w:start w:val="2"/>
    </w:lvl>
  </w:abstractNum>
  <w:abstractNum w:abstractNumId="126">
    <w:nsid w:val="327B517E"/>
    <w:multiLevelType w:val="hybridMultilevel"/>
    <w:lvl w:ilvl="0">
      <w:lvlJc w:val="left"/>
      <w:lvlText w:val="(%1)"/>
      <w:numFmt w:val="lowerLetter"/>
      <w:start w:val="1"/>
    </w:lvl>
    <w:lvl w:ilvl="1">
      <w:lvlJc w:val="left"/>
      <w:lvlText w:val="(%2)"/>
      <w:numFmt w:val="lowerRoman"/>
      <w:start w:val="1"/>
    </w:lvl>
  </w:abstractNum>
  <w:abstractNum w:abstractNumId="127">
    <w:nsid w:val="1F461B51"/>
    <w:multiLevelType w:val="hybridMultilevel"/>
    <w:lvl w:ilvl="0">
      <w:lvlJc w:val="left"/>
      <w:lvlText w:val="%1"/>
      <w:numFmt w:val="lowerLetter"/>
      <w:start w:val="1"/>
    </w:lvl>
    <w:lvl w:ilvl="1">
      <w:lvlJc w:val="left"/>
      <w:lvlText w:val="(%2)"/>
      <w:numFmt w:val="lowerRoman"/>
      <w:start w:val="5"/>
    </w:lvl>
  </w:abstractNum>
  <w:abstractNum w:abstractNumId="128">
    <w:nsid w:val="29BACF25"/>
    <w:multiLevelType w:val="hybridMultilevel"/>
    <w:lvl w:ilvl="0">
      <w:lvlJc w:val="left"/>
      <w:lvlText w:val="(%1)"/>
      <w:numFmt w:val="lowerLetter"/>
      <w:start w:val="2"/>
    </w:lvl>
    <w:lvl w:ilvl="1">
      <w:lvlJc w:val="left"/>
      <w:lvlText w:val="%2"/>
      <w:numFmt w:val="lowerRoman"/>
      <w:start w:val="1"/>
    </w:lvl>
  </w:abstractNum>
  <w:abstractNum w:abstractNumId="129">
    <w:nsid w:val="5D5BABB3"/>
    <w:multiLevelType w:val="hybridMultilevel"/>
    <w:lvl w:ilvl="0">
      <w:lvlJc w:val="left"/>
      <w:lvlText w:val="(%1)"/>
      <w:numFmt w:val="lowerLetter"/>
      <w:start w:val="1"/>
    </w:lvl>
  </w:abstractNum>
  <w:abstractNum w:abstractNumId="130">
    <w:nsid w:val="51BF6B48"/>
    <w:multiLevelType w:val="hybridMultilevel"/>
    <w:lvl w:ilvl="0">
      <w:lvlJc w:val="left"/>
      <w:lvlText w:val="(%1)"/>
      <w:numFmt w:val="lowerLetter"/>
      <w:start w:val="3"/>
    </w:lvl>
  </w:abstractNum>
  <w:abstractNum w:abstractNumId="131">
    <w:nsid w:val="7E0F6384"/>
    <w:multiLevelType w:val="hybridMultilevel"/>
    <w:lvl w:ilvl="0">
      <w:lvlJc w:val="left"/>
      <w:lvlText w:val="(%1)"/>
      <w:numFmt w:val="lowerLetter"/>
      <w:start w:val="1"/>
    </w:lvl>
  </w:abstractNum>
  <w:abstractNum w:abstractNumId="132">
    <w:nsid w:val="2B4B8B53"/>
    <w:multiLevelType w:val="hybridMultilevel"/>
    <w:lvl w:ilvl="0">
      <w:lvlJc w:val="left"/>
      <w:lvlText w:val="(%1)"/>
      <w:numFmt w:val="lowerLetter"/>
      <w:start w:val="2"/>
    </w:lvl>
  </w:abstractNum>
  <w:abstractNum w:abstractNumId="133">
    <w:nsid w:val="72E3413A"/>
    <w:multiLevelType w:val="hybridMultilevel"/>
    <w:lvl w:ilvl="0">
      <w:lvlJc w:val="left"/>
      <w:lvlText w:val="(%1)"/>
      <w:numFmt w:val="lowerLetter"/>
      <w:start w:val="1"/>
    </w:lvl>
  </w:abstractNum>
  <w:abstractNum w:abstractNumId="134">
    <w:nsid w:val="116AE494"/>
    <w:multiLevelType w:val="hybridMultilevel"/>
    <w:lvl w:ilvl="0">
      <w:lvlJc w:val="left"/>
      <w:lvlText w:val="(%1)"/>
      <w:numFmt w:val="lowerLetter"/>
      <w:start w:val="1"/>
    </w:lvl>
  </w:abstractNum>
  <w:abstractNum w:abstractNumId="135">
    <w:nsid w:val="3494B2FB"/>
    <w:multiLevelType w:val="hybridMultilevel"/>
    <w:lvl w:ilvl="0">
      <w:lvlJc w:val="left"/>
      <w:lvlText w:val="(%1)"/>
      <w:numFmt w:val="lowerLetter"/>
      <w:start w:val="2"/>
    </w:lvl>
  </w:abstractNum>
  <w:abstractNum w:abstractNumId="136">
    <w:nsid w:val="B13A31"/>
    <w:multiLevelType w:val="hybridMultilevel"/>
    <w:lvl w:ilvl="0">
      <w:lvlJc w:val="left"/>
      <w:lvlText w:val="(%1)"/>
      <w:numFmt w:val="lowerLetter"/>
      <w:start w:val="4"/>
    </w:lvl>
  </w:abstractNum>
  <w:abstractNum w:abstractNumId="137">
    <w:nsid w:val="64429599"/>
    <w:multiLevelType w:val="hybridMultilevel"/>
    <w:lvl w:ilvl="0">
      <w:lvlJc w:val="left"/>
      <w:lvlText w:val="(%1)"/>
      <w:numFmt w:val="lowerLetter"/>
      <w:start w:val="1"/>
    </w:lvl>
  </w:abstractNum>
  <w:abstractNum w:abstractNumId="138">
    <w:nsid w:val="631F1690"/>
    <w:multiLevelType w:val="hybridMultilevel"/>
    <w:lvl w:ilvl="0">
      <w:lvlJc w:val="left"/>
      <w:lvlText w:val="(%1)"/>
      <w:numFmt w:val="lowerLetter"/>
      <w:start w:val="3"/>
    </w:lvl>
  </w:abstractNum>
  <w:abstractNum w:abstractNumId="139">
    <w:nsid w:val="25973E32"/>
    <w:multiLevelType w:val="hybridMultilevel"/>
    <w:lvl w:ilvl="0">
      <w:lvlJc w:val="left"/>
      <w:lvlText w:val="%1"/>
      <w:numFmt w:val="lowerLetter"/>
      <w:start w:val="1"/>
    </w:lvl>
    <w:lvl w:ilvl="1">
      <w:lvlJc w:val="left"/>
      <w:lvlText w:val="(%2)"/>
      <w:numFmt w:val="lowerLetter"/>
      <w:start w:val="1"/>
    </w:lvl>
  </w:abstractNum>
  <w:abstractNum w:abstractNumId="140">
    <w:nsid w:val="EAD6F57"/>
    <w:multiLevelType w:val="hybridMultilevel"/>
    <w:lvl w:ilvl="0">
      <w:lvlJc w:val="left"/>
      <w:lvlText w:val="(%1)"/>
      <w:numFmt w:val="lowerLetter"/>
      <w:start w:val="9"/>
    </w:lvl>
    <w:lvl w:ilvl="1">
      <w:lvlJc w:val="left"/>
      <w:lvlText w:val="%2"/>
      <w:numFmt w:val="lowerLetter"/>
      <w:start w:val="1"/>
    </w:lvl>
  </w:abstractNum>
  <w:abstractNum w:abstractNumId="141">
    <w:nsid w:val="6EC9D844"/>
    <w:multiLevelType w:val="hybridMultilevel"/>
    <w:lvl w:ilvl="0">
      <w:lvlJc w:val="left"/>
      <w:lvlText w:val="(%1)"/>
      <w:numFmt w:val="lowerLetter"/>
      <w:start w:val="1"/>
    </w:lvl>
  </w:abstractNum>
  <w:abstractNum w:abstractNumId="142">
    <w:nsid w:val="5C49EAEE"/>
    <w:multiLevelType w:val="hybridMultilevel"/>
    <w:lvl w:ilvl="0">
      <w:lvlJc w:val="left"/>
      <w:lvlText w:val="(%1)"/>
      <w:numFmt w:val="lowerLetter"/>
      <w:start w:val="4"/>
    </w:lvl>
  </w:abstractNum>
  <w:abstractNum w:abstractNumId="143">
    <w:nsid w:val="64AF49B"/>
    <w:multiLevelType w:val="hybridMultilevel"/>
    <w:lvl w:ilvl="0">
      <w:lvlJc w:val="left"/>
      <w:lvlText w:val="(%1)"/>
      <w:numFmt w:val="lowerLetter"/>
      <w:start w:val="1"/>
    </w:lvl>
  </w:abstractNum>
  <w:abstractNum w:abstractNumId="144">
    <w:nsid w:val="397C46BC"/>
    <w:multiLevelType w:val="hybridMultilevel"/>
    <w:lvl w:ilvl="0">
      <w:lvlJc w:val="left"/>
      <w:lvlText w:val="(%1)"/>
      <w:numFmt w:val="lowerLetter"/>
      <w:start w:val="3"/>
    </w:lvl>
  </w:abstractNum>
  <w:abstractNum w:abstractNumId="145">
    <w:nsid w:val="7E448DE9"/>
    <w:multiLevelType w:val="hybridMultilevel"/>
    <w:lvl w:ilvl="0">
      <w:lvlJc w:val="left"/>
      <w:lvlText w:val="(%1)"/>
      <w:numFmt w:val="lowerLetter"/>
      <w:start w:val="1"/>
    </w:lvl>
  </w:abstractNum>
  <w:abstractNum w:abstractNumId="146">
    <w:nsid w:val="5A9CC3E5"/>
    <w:multiLevelType w:val="hybridMultilevel"/>
    <w:lvl w:ilvl="0">
      <w:lvlJc w:val="left"/>
      <w:lvlText w:val="(%1)"/>
      <w:numFmt w:val="lowerLetter"/>
      <w:start w:val="1"/>
    </w:lvl>
  </w:abstractNum>
  <w:abstractNum w:abstractNumId="147">
    <w:nsid w:val="1AFE3625"/>
    <w:multiLevelType w:val="hybridMultilevel"/>
    <w:lvl w:ilvl="0">
      <w:lvlJc w:val="left"/>
      <w:lvlText w:val="(%1)"/>
      <w:numFmt w:val="lowerRoman"/>
      <w:start w:val="1"/>
    </w:lvl>
  </w:abstractNum>
  <w:abstractNum w:abstractNumId="148">
    <w:nsid w:val="3CA88ECF"/>
    <w:multiLevelType w:val="hybridMultilevel"/>
    <w:lvl w:ilvl="0">
      <w:lvlJc w:val="left"/>
      <w:lvlText w:val="%1"/>
      <w:numFmt w:val="upperLetter"/>
      <w:start w:val="1"/>
    </w:lvl>
    <w:lvl w:ilvl="1">
      <w:lvlJc w:val="left"/>
      <w:lvlText w:val="(%2)"/>
      <w:numFmt w:val="lowerRoman"/>
      <w:start w:val="3"/>
    </w:lvl>
  </w:abstractNum>
  <w:abstractNum w:abstractNumId="149">
    <w:nsid w:val="6EBE4208"/>
    <w:multiLevelType w:val="hybridMultilevel"/>
    <w:lvl w:ilvl="0">
      <w:lvlJc w:val="left"/>
      <w:lvlText w:val="(%1)"/>
      <w:numFmt w:val="upperLetter"/>
      <w:start w:val="2"/>
    </w:lvl>
    <w:lvl w:ilvl="1">
      <w:lvlJc w:val="left"/>
      <w:lvlText w:val="(%2)"/>
      <w:numFmt w:val="lowerRoman"/>
      <w:start w:val="4"/>
    </w:lvl>
  </w:abstractNum>
  <w:abstractNum w:abstractNumId="150">
    <w:nsid w:val="C058DF5"/>
    <w:multiLevelType w:val="hybridMultilevel"/>
    <w:lvl w:ilvl="0">
      <w:lvlJc w:val="left"/>
      <w:lvlText w:val="(%1)"/>
      <w:numFmt w:val="lowerRoman"/>
      <w:start w:val="6"/>
    </w:lvl>
  </w:abstractNum>
  <w:abstractNum w:abstractNumId="151">
    <w:nsid w:val="CBE5BE9"/>
    <w:multiLevelType w:val="hybridMultilevel"/>
    <w:lvl w:ilvl="0">
      <w:lvlJc w:val="left"/>
      <w:lvlText w:val="(%1)"/>
      <w:numFmt w:val="lowerLetter"/>
      <w:start w:val="2"/>
    </w:lvl>
  </w:abstractNum>
  <w:abstractNum w:abstractNumId="152">
    <w:nsid w:val="3102BBE2"/>
    <w:multiLevelType w:val="hybridMultilevel"/>
    <w:lvl w:ilvl="0">
      <w:lvlJc w:val="left"/>
      <w:lvlText w:val="(%1)"/>
      <w:numFmt w:val="lowerLetter"/>
      <w:start w:val="1"/>
    </w:lvl>
  </w:abstractNum>
  <w:abstractNum w:abstractNumId="153">
    <w:nsid w:val="26A02C5E"/>
    <w:multiLevelType w:val="hybridMultilevel"/>
    <w:lvl w:ilvl="0">
      <w:lvlJc w:val="left"/>
      <w:lvlText w:val="(%1)"/>
      <w:numFmt w:val="lowerLetter"/>
      <w:start w:val="1"/>
    </w:lvl>
    <w:lvl w:ilvl="1">
      <w:lvlJc w:val="left"/>
      <w:lvlText w:val="(%2)"/>
      <w:numFmt w:val="lowerLetter"/>
      <w:start w:val="9"/>
    </w:lvl>
  </w:abstractNum>
  <w:abstractNum w:abstractNumId="154">
    <w:nsid w:val="541C8153"/>
    <w:multiLevelType w:val="hybridMultilevel"/>
    <w:lvl w:ilvl="0">
      <w:lvlJc w:val="left"/>
      <w:lvlText w:val="%1"/>
      <w:numFmt w:val="lowerLetter"/>
      <w:start w:val="1"/>
    </w:lvl>
    <w:lvl w:ilvl="1">
      <w:lvlJc w:val="left"/>
      <w:lvlText w:val="(%2)"/>
      <w:numFmt w:val="lowerRoman"/>
      <w:start w:val="2"/>
    </w:lvl>
  </w:abstractNum>
  <w:abstractNum w:abstractNumId="155">
    <w:nsid w:val="67906F60"/>
    <w:multiLevelType w:val="hybridMultilevel"/>
    <w:lvl w:ilvl="0">
      <w:lvlJc w:val="left"/>
      <w:lvlText w:val="(%1)"/>
      <w:numFmt w:val="lowerLetter"/>
      <w:start w:val="2"/>
    </w:lvl>
    <w:lvl w:ilvl="1">
      <w:lvlJc w:val="left"/>
      <w:lvlText w:val="%2"/>
      <w:numFmt w:val="lowerRoman"/>
      <w:start w:val="1"/>
    </w:lvl>
  </w:abstractNum>
  <w:abstractNum w:abstractNumId="156">
    <w:nsid w:val="10DB9DAA"/>
    <w:multiLevelType w:val="hybridMultilevel"/>
    <w:lvl w:ilvl="0">
      <w:lvlJc w:val="left"/>
      <w:lvlText w:val="(%1)"/>
      <w:numFmt w:val="lowerLetter"/>
      <w:start w:val="1"/>
    </w:lvl>
  </w:abstractNum>
  <w:abstractNum w:abstractNumId="157">
    <w:nsid w:val="697D2D2"/>
    <w:multiLevelType w:val="hybridMultilevel"/>
    <w:lvl w:ilvl="0">
      <w:lvlJc w:val="left"/>
      <w:lvlText w:val="(%1)"/>
      <w:numFmt w:val="lowerLetter"/>
      <w:start w:val="5"/>
    </w:lvl>
  </w:abstractNum>
  <w:abstractNum w:abstractNumId="158">
    <w:nsid w:val="6D68AB2"/>
    <w:multiLevelType w:val="hybridMultilevel"/>
    <w:lvl w:ilvl="0">
      <w:lvlJc w:val="left"/>
      <w:lvlText w:val="(%1)"/>
      <w:numFmt w:val="lowerLetter"/>
      <w:start w:val="1"/>
    </w:lvl>
  </w:abstractNum>
  <w:abstractNum w:abstractNumId="159">
    <w:nsid w:val="3A966CD0"/>
    <w:multiLevelType w:val="hybridMultilevel"/>
    <w:lvl w:ilvl="0">
      <w:lvlJc w:val="left"/>
      <w:lvlText w:val="(%1)"/>
      <w:numFmt w:val="lowerLetter"/>
      <w:start w:val="1"/>
    </w:lvl>
  </w:abstractNum>
  <w:abstractNum w:abstractNumId="160">
    <w:nsid w:val="63F37E85"/>
    <w:multiLevelType w:val="hybridMultilevel"/>
    <w:lvl w:ilvl="0">
      <w:lvlJc w:val="left"/>
      <w:lvlText w:val="(%1)"/>
      <w:numFmt w:val="lowerLetter"/>
      <w:start w:val="1"/>
    </w:lvl>
  </w:abstractNum>
  <w:abstractNum w:abstractNumId="161">
    <w:nsid w:val="5895F5FA"/>
    <w:multiLevelType w:val="hybridMultilevel"/>
    <w:lvl w:ilvl="0">
      <w:lvlJc w:val="left"/>
      <w:lvlText w:val="(%1)"/>
      <w:numFmt w:val="lowerLetter"/>
      <w:start w:val="1"/>
    </w:lvl>
  </w:abstractNum>
  <w:abstractNum w:abstractNumId="162">
    <w:nsid w:val="38A5D054"/>
    <w:multiLevelType w:val="hybridMultilevel"/>
    <w:lvl w:ilvl="0">
      <w:lvlJc w:val="left"/>
      <w:lvlText w:val="(%1)"/>
      <w:numFmt w:val="lowerLetter"/>
      <w:start w:val="2"/>
    </w:lvl>
  </w:abstractNum>
  <w:abstractNum w:abstractNumId="163">
    <w:nsid w:val="F3F09D8"/>
    <w:multiLevelType w:val="hybridMultilevel"/>
    <w:lvl w:ilvl="0">
      <w:lvlJc w:val="left"/>
      <w:lvlText w:val="(%1)"/>
      <w:numFmt w:val="lowerLetter"/>
      <w:start w:val="1"/>
    </w:lvl>
  </w:abstractNum>
  <w:abstractNum w:abstractNumId="164">
    <w:nsid w:val="4B793735"/>
    <w:multiLevelType w:val="hybridMultilevel"/>
    <w:lvl w:ilvl="0">
      <w:lvlJc w:val="left"/>
      <w:lvlText w:val="%1"/>
      <w:numFmt w:val="lowerRoman"/>
      <w:start w:val="1"/>
    </w:lvl>
    <w:lvl w:ilvl="1">
      <w:lvlJc w:val="left"/>
      <w:lvlText w:val="(%2)"/>
      <w:numFmt w:val="lowerLetter"/>
      <w:start w:val="6"/>
    </w:lvl>
  </w:abstractNum>
  <w:abstractNum w:abstractNumId="165">
    <w:nsid w:val="4A10B4E8"/>
    <w:multiLevelType w:val="hybridMultilevel"/>
    <w:lvl w:ilvl="0">
      <w:lvlJc w:val="left"/>
      <w:lvlText w:val="(%1)"/>
      <w:numFmt w:val="lowerRoman"/>
      <w:start w:val="4"/>
    </w:lvl>
    <w:lvl w:ilvl="1">
      <w:lvlJc w:val="left"/>
      <w:lvlText w:val="(%2)"/>
      <w:numFmt w:val="lowerLetter"/>
      <w:start w:val="10"/>
    </w:lvl>
  </w:abstractNum>
  <w:abstractNum w:abstractNumId="166">
    <w:nsid w:val="43D3BCD4"/>
    <w:multiLevelType w:val="hybridMultilevel"/>
    <w:lvl w:ilvl="0">
      <w:lvlJc w:val="left"/>
      <w:lvlText w:val="(%1)"/>
      <w:numFmt w:val="lowerLetter"/>
      <w:start w:val="12"/>
    </w:lvl>
  </w:abstractNum>
  <w:abstractNum w:abstractNumId="167">
    <w:nsid w:val="4C2A7166"/>
    <w:multiLevelType w:val="hybridMultilevel"/>
    <w:lvl w:ilvl="0">
      <w:lvlJc w:val="left"/>
      <w:lvlText w:val="(%1)"/>
      <w:numFmt w:val="lowerLetter"/>
      <w:start w:val="1"/>
    </w:lvl>
    <w:lvl w:ilvl="1">
      <w:lvlJc w:val="left"/>
      <w:lvlText w:val="(%2)"/>
      <w:numFmt w:val="lowerRoman"/>
      <w:start w:val="1"/>
    </w:lvl>
  </w:abstractNum>
  <w:abstractNum w:abstractNumId="168">
    <w:nsid w:val="2E534A82"/>
    <w:multiLevelType w:val="hybridMultilevel"/>
    <w:lvl w:ilvl="0">
      <w:lvlJc w:val="left"/>
      <w:lvlText w:val="(%1)"/>
      <w:numFmt w:val="lowerLetter"/>
      <w:start w:val="1"/>
    </w:lvl>
  </w:abstractNum>
  <w:abstractNum w:abstractNumId="169">
    <w:nsid w:val="26F2D364"/>
    <w:multiLevelType w:val="hybridMultilevel"/>
    <w:lvl w:ilvl="0">
      <w:lvlJc w:val="left"/>
      <w:lvlText w:val="(%1)"/>
      <w:numFmt w:val="lowerLetter"/>
      <w:start w:val="3"/>
    </w:lvl>
  </w:abstractNum>
  <w:abstractNum w:abstractNumId="170">
    <w:nsid w:val="71C1AF98"/>
    <w:multiLevelType w:val="hybridMultilevel"/>
    <w:lvl w:ilvl="0">
      <w:lvlJc w:val="left"/>
      <w:lvlText w:val="(%1)"/>
      <w:numFmt w:val="lowerLetter"/>
      <w:start w:val="1"/>
    </w:lvl>
  </w:abstractNum>
  <w:abstractNum w:abstractNumId="171">
    <w:nsid w:val="3D00B9D9"/>
    <w:multiLevelType w:val="hybridMultilevel"/>
    <w:lvl w:ilvl="0">
      <w:lvlJc w:val="left"/>
      <w:lvlText w:val="(%1)"/>
      <w:numFmt w:val="lowerLetter"/>
      <w:start w:val="2"/>
    </w:lvl>
  </w:abstractNum>
  <w:abstractNum w:abstractNumId="172">
    <w:nsid w:val="15BCABA8"/>
    <w:multiLevelType w:val="hybridMultilevel"/>
    <w:lvl w:ilvl="0">
      <w:lvlJc w:val="left"/>
      <w:lvlText w:val="(%1)"/>
      <w:numFmt w:val="lowerLetter"/>
      <w:start w:val="1"/>
    </w:lvl>
    <w:lvl w:ilvl="1">
      <w:lvlJc w:val="left"/>
      <w:lvlText w:val="(%2)"/>
      <w:numFmt w:val="lowerRoman"/>
      <w:start w:val="1"/>
    </w:lvl>
  </w:abstractNum>
  <w:abstractNum w:abstractNumId="173">
    <w:nsid w:val="4E0B9A87"/>
    <w:multiLevelType w:val="hybridMultilevel"/>
    <w:lvl w:ilvl="0">
      <w:lvlJc w:val="left"/>
      <w:lvlText w:val="(%1)"/>
      <w:numFmt w:val="lowerLetter"/>
      <w:start w:val="2"/>
    </w:lvl>
  </w:abstractNum>
  <w:abstractNum w:abstractNumId="174">
    <w:nsid w:val="434BAE75"/>
    <w:multiLevelType w:val="hybridMultilevel"/>
    <w:lvl w:ilvl="0">
      <w:lvlJc w:val="left"/>
      <w:lvlText w:val="(%1)"/>
      <w:numFmt w:val="lowerLetter"/>
      <w:start w:val="1"/>
    </w:lvl>
  </w:abstractNum>
  <w:abstractNum w:abstractNumId="175">
    <w:nsid w:val="4F38F265"/>
    <w:multiLevelType w:val="hybridMultilevel"/>
    <w:lvl w:ilvl="0">
      <w:lvlJc w:val="left"/>
      <w:lvlText w:val="%1"/>
      <w:numFmt w:val="lowerLetter"/>
      <w:start w:val="1"/>
    </w:lvl>
    <w:lvl w:ilvl="1">
      <w:lvlJc w:val="left"/>
      <w:lvlText w:val="(%2)"/>
      <w:numFmt w:val="lowerRoman"/>
      <w:start w:val="1"/>
    </w:lvl>
  </w:abstractNum>
  <w:abstractNum w:abstractNumId="176">
    <w:nsid w:val="4C502870"/>
    <w:multiLevelType w:val="hybridMultilevel"/>
    <w:lvl w:ilvl="0">
      <w:lvlJc w:val="left"/>
      <w:lvlText w:val="(%1)"/>
      <w:numFmt w:val="lowerLetter"/>
      <w:start w:val="3"/>
    </w:lvl>
    <w:lvl w:ilvl="1">
      <w:lvlJc w:val="left"/>
      <w:lvlText w:val="%2"/>
      <w:numFmt w:val="lowerRoman"/>
      <w:start w:val="1"/>
    </w:lvl>
  </w:abstractNum>
  <w:abstractNum w:abstractNumId="177">
    <w:nsid w:val="1DE8725A"/>
    <w:multiLevelType w:val="hybridMultilevel"/>
    <w:lvl w:ilvl="0">
      <w:lvlJc w:val="left"/>
      <w:lvlText w:val="%1"/>
      <w:numFmt w:val="lowerLetter"/>
      <w:start w:val="1"/>
    </w:lvl>
    <w:lvl w:ilvl="1">
      <w:lvlJc w:val="left"/>
      <w:lvlText w:val="(%2)"/>
      <w:numFmt w:val="lowerLetter"/>
      <w:start w:val="9"/>
    </w:lvl>
  </w:abstractNum>
  <w:abstractNum w:abstractNumId="178">
    <w:nsid w:val="6A37288A"/>
    <w:multiLevelType w:val="hybridMultilevel"/>
    <w:lvl w:ilvl="0">
      <w:lvlJc w:val="left"/>
      <w:lvlText w:val="(%1)"/>
      <w:numFmt w:val="lowerLetter"/>
      <w:start w:val="5"/>
    </w:lvl>
    <w:lvl w:ilvl="1">
      <w:lvlJc w:val="left"/>
      <w:lvlText w:val="%2"/>
      <w:numFmt w:val="lowerLetter"/>
      <w:start w:val="1"/>
    </w:lvl>
  </w:abstractNum>
  <w:abstractNum w:abstractNumId="179">
    <w:nsid w:val="8F8B73F"/>
    <w:multiLevelType w:val="hybridMultilevel"/>
    <w:lvl w:ilvl="0">
      <w:lvlJc w:val="left"/>
      <w:lvlText w:val="(%1)"/>
      <w:numFmt w:val="lowerLetter"/>
      <w:start w:val="1"/>
    </w:lvl>
    <w:lvl w:ilvl="1">
      <w:lvlJc w:val="left"/>
      <w:lvlText w:val="(%2)"/>
      <w:numFmt w:val="lowerRoman"/>
      <w:start w:val="1"/>
    </w:lvl>
  </w:abstractNum>
  <w:abstractNum w:abstractNumId="180">
    <w:nsid w:val="CA6B462"/>
    <w:multiLevelType w:val="hybridMultilevel"/>
    <w:lvl w:ilvl="0">
      <w:lvlJc w:val="left"/>
      <w:lvlText w:val="(%1)"/>
      <w:numFmt w:val="lowerLetter"/>
      <w:start w:val="2"/>
    </w:lvl>
  </w:abstractNum>
  <w:abstractNum w:abstractNumId="181">
    <w:nsid w:val="763CB680"/>
    <w:multiLevelType w:val="hybridMultilevel"/>
    <w:lvl w:ilvl="0">
      <w:lvlJc w:val="left"/>
      <w:lvlText w:val="(%1)"/>
      <w:numFmt w:val="lowerLetter"/>
      <w:start w:val="3"/>
    </w:lvl>
    <w:lvl w:ilvl="1">
      <w:lvlJc w:val="left"/>
      <w:lvlText w:val="(%2)"/>
      <w:numFmt w:val="lowerLetter"/>
      <w:start w:val="9"/>
    </w:lvl>
  </w:abstractNum>
  <w:abstractNum w:abstractNumId="182">
    <w:nsid w:val="15B71329"/>
    <w:multiLevelType w:val="hybridMultilevel"/>
    <w:lvl w:ilvl="0">
      <w:lvlJc w:val="left"/>
      <w:lvlText w:val="(%1)"/>
      <w:numFmt w:val="lowerRoman"/>
      <w:start w:val="2"/>
    </w:lvl>
  </w:abstractNum>
  <w:abstractNum w:abstractNumId="183">
    <w:nsid w:val="3DA97044"/>
    <w:multiLevelType w:val="hybridMultilevel"/>
    <w:lvl w:ilvl="0">
      <w:lvlJc w:val="left"/>
      <w:lvlText w:val="(%1)"/>
      <w:numFmt w:val="lowerLetter"/>
      <w:start w:val="1"/>
    </w:lvl>
  </w:abstractNum>
  <w:abstractNum w:abstractNumId="184">
    <w:nsid w:val="1CDCE2DE"/>
    <w:multiLevelType w:val="hybridMultilevel"/>
    <w:lvl w:ilvl="0">
      <w:lvlJc w:val="left"/>
      <w:lvlText w:val="(%1)"/>
      <w:numFmt w:val="lowerRoman"/>
      <w:start w:val="1"/>
    </w:lvl>
  </w:abstractNum>
  <w:abstractNum w:abstractNumId="185">
    <w:nsid w:val="69D3947C"/>
    <w:multiLevelType w:val="hybridMultilevel"/>
    <w:lvl w:ilvl="0">
      <w:lvlJc w:val="left"/>
      <w:lvlText w:val="(%1)"/>
      <w:numFmt w:val="lowerRoman"/>
      <w:start w:val="10"/>
    </w:lvl>
  </w:abstractNum>
  <w:abstractNum w:abstractNumId="186">
    <w:nsid w:val="2539DFA5"/>
    <w:multiLevelType w:val="hybridMultilevel"/>
    <w:lvl w:ilvl="0">
      <w:lvlJc w:val="left"/>
      <w:lvlText w:val="(%1)"/>
      <w:numFmt w:val="lowerLetter"/>
      <w:start w:val="3"/>
    </w:lvl>
  </w:abstractNum>
  <w:abstractNum w:abstractNumId="187">
    <w:nsid w:val="2DB88089"/>
    <w:multiLevelType w:val="hybridMultilevel"/>
    <w:lvl w:ilvl="0">
      <w:lvlJc w:val="left"/>
      <w:lvlText w:val="(%1)"/>
      <w:numFmt w:val="lowerLetter"/>
      <w:start w:val="1"/>
    </w:lvl>
  </w:abstractNum>
  <w:abstractNum w:abstractNumId="188">
    <w:nsid w:val="706B674E"/>
    <w:multiLevelType w:val="hybridMultilevel"/>
    <w:lvl w:ilvl="0">
      <w:lvlJc w:val="left"/>
      <w:lvlText w:val="(%1)"/>
      <w:numFmt w:val="lowerLetter"/>
      <w:start w:val="2"/>
    </w:lvl>
  </w:abstractNum>
  <w:abstractNum w:abstractNumId="189">
    <w:nsid w:val="2C106A57"/>
    <w:multiLevelType w:val="hybridMultilevel"/>
    <w:lvl w:ilvl="0">
      <w:lvlJc w:val="left"/>
      <w:lvlText w:val="(%1)"/>
      <w:numFmt w:val="lowerLetter"/>
      <w:start w:val="5"/>
    </w:lvl>
  </w:abstractNum>
  <w:abstractNum w:abstractNumId="190">
    <w:nsid w:val="684EED5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1">
    <w:nsid w:val="545EE5D3"/>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92">
    <w:nsid w:val="4A66051"/>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2"/>
    </w:lvl>
  </w:abstractNum>
  <w:abstractNum w:abstractNumId="193">
    <w:nsid w:val="20F4BDAD"/>
    <w:multiLevelType w:val="hybridMultilevel"/>
    <w:lvl w:ilvl="0">
      <w:lvlJc w:val="left"/>
      <w:lvlText w:val="(%1)"/>
      <w:numFmt w:val="lowerRoman"/>
      <w:start w:val="7"/>
    </w:lvl>
  </w:abstractNum>
  <w:abstractNum w:abstractNumId="194">
    <w:nsid w:val="639DEFAC"/>
    <w:multiLevelType w:val="hybridMultilevel"/>
    <w:lvl w:ilvl="0">
      <w:lvlJc w:val="left"/>
      <w:lvlText w:val="(%1)"/>
      <w:numFmt w:val="lowerLetter"/>
      <w:start w:val="3"/>
    </w:lvl>
  </w:abstractNum>
  <w:abstractNum w:abstractNumId="195">
    <w:nsid w:val="501F9786"/>
    <w:multiLevelType w:val="hybridMultilevel"/>
    <w:lvl w:ilvl="0">
      <w:lvlJc w:val="left"/>
      <w:lvlText w:val="(%1)"/>
      <w:numFmt w:val="lowerLetter"/>
      <w:start w:val="5"/>
    </w:lvl>
  </w:abstractNum>
  <w:abstractNum w:abstractNumId="196">
    <w:nsid w:val="6B057295"/>
    <w:multiLevelType w:val="hybridMultilevel"/>
    <w:lvl w:ilvl="0">
      <w:lvlJc w:val="left"/>
      <w:lvlText w:val="(%1)"/>
      <w:numFmt w:val="lowerLetter"/>
      <w:start w:val="1"/>
    </w:lvl>
  </w:abstractNum>
  <w:abstractNum w:abstractNumId="197">
    <w:nsid w:val="2771AC80"/>
    <w:multiLevelType w:val="hybridMultilevel"/>
    <w:lvl w:ilvl="0">
      <w:lvlJc w:val="left"/>
      <w:lvlText w:val="(%1)"/>
      <w:numFmt w:val="lowerLetter"/>
      <w:start w:val="2"/>
    </w:lvl>
  </w:abstractNum>
  <w:abstractNum w:abstractNumId="198">
    <w:nsid w:val="1C4A08EC"/>
    <w:multiLevelType w:val="hybridMultilevel"/>
    <w:lvl w:ilvl="0">
      <w:lvlJc w:val="left"/>
      <w:lvlText w:val="%1"/>
      <w:numFmt w:val="upperLetter"/>
      <w:start w:val="1"/>
    </w:lvl>
    <w:lvl w:ilvl="1">
      <w:lvlJc w:val="left"/>
      <w:lvlText w:val="(%2)"/>
      <w:numFmt w:val="lowerLetter"/>
      <w:start w:val="1"/>
    </w:lvl>
  </w:abstractNum>
  <w:abstractNum w:abstractNumId="199">
    <w:nsid w:val="1958BD17"/>
    <w:multiLevelType w:val="hybridMultilevel"/>
    <w:lvl w:ilvl="0">
      <w:lvlJc w:val="left"/>
      <w:lvlText w:val="(%1)"/>
      <w:numFmt w:val="upperLetter"/>
      <w:start w:val="2"/>
    </w:lvl>
    <w:lvl w:ilvl="1">
      <w:lvlJc w:val="left"/>
      <w:lvlText w:val="%2"/>
      <w:numFmt w:val="lowerLetter"/>
      <w:start w:val="1"/>
    </w:lvl>
  </w:abstractNum>
  <w:abstractNum w:abstractNumId="200">
    <w:nsid w:val="4E647FE4"/>
    <w:multiLevelType w:val="hybridMultilevel"/>
    <w:lvl w:ilvl="0">
      <w:lvlJc w:val="left"/>
      <w:lvlText w:val="(%1)"/>
      <w:numFmt w:val="lowerLetter"/>
      <w:start w:val="2"/>
    </w:lvl>
  </w:abstractNum>
  <w:abstractNum w:abstractNumId="201">
    <w:nsid w:val="E0BB885"/>
    <w:multiLevelType w:val="hybridMultilevel"/>
    <w:lvl w:ilvl="0">
      <w:lvlJc w:val="left"/>
      <w:lvlText w:val="(%1)"/>
      <w:numFmt w:val="lowerLetter"/>
      <w:start w:val="1"/>
    </w:lvl>
    <w:lvl w:ilvl="1">
      <w:lvlJc w:val="left"/>
      <w:lvlText w:val="(%2)"/>
      <w:numFmt w:val="lowerRoman"/>
      <w:start w:val="1"/>
    </w:lvl>
  </w:abstractNum>
  <w:abstractNum w:abstractNumId="202">
    <w:nsid w:val="565976F1"/>
    <w:multiLevelType w:val="hybridMultilevel"/>
    <w:lvl w:ilvl="0">
      <w:lvlJc w:val="left"/>
      <w:lvlText w:val="(%1)"/>
      <w:numFmt w:val="lowerLetter"/>
      <w:start w:val="1"/>
    </w:lvl>
    <w:lvl w:ilvl="1">
      <w:lvlJc w:val="left"/>
      <w:lvlText w:val="(%2)"/>
      <w:numFmt w:val="lowerRoman"/>
      <w:start w:val="1"/>
    </w:lvl>
  </w:abstractNum>
  <w:abstractNum w:abstractNumId="203">
    <w:nsid w:val="64212B8C"/>
    <w:multiLevelType w:val="hybridMultilevel"/>
    <w:lvl w:ilvl="0">
      <w:lvlJc w:val="left"/>
      <w:lvlText w:val="%1"/>
      <w:numFmt w:val="lowerLetter"/>
      <w:start w:val="1"/>
    </w:lvl>
    <w:lvl w:ilvl="1">
      <w:lvlJc w:val="left"/>
      <w:lvlText w:val="(%2)"/>
      <w:numFmt w:val="lowerLetter"/>
      <w:start w:val="61"/>
    </w:lvl>
  </w:abstractNum>
  <w:abstractNum w:abstractNumId="204">
    <w:nsid w:val="5C17530C"/>
    <w:multiLevelType w:val="hybridMultilevel"/>
    <w:lvl w:ilvl="0">
      <w:lvlJc w:val="left"/>
      <w:lvlText w:val="(%1)"/>
      <w:numFmt w:val="lowerLetter"/>
      <w:start w:val="1"/>
    </w:lvl>
    <w:lvl w:ilvl="1">
      <w:lvlJc w:val="left"/>
      <w:lvlText w:val="%2"/>
      <w:numFmt w:val="lowerLetter"/>
      <w:start w:val="1"/>
    </w:lvl>
  </w:abstractNum>
  <w:abstractNum w:abstractNumId="205">
    <w:nsid w:val="19A52566"/>
    <w:multiLevelType w:val="hybridMultilevel"/>
    <w:lvl w:ilvl="0">
      <w:lvlJc w:val="left"/>
      <w:lvlText w:val="%1"/>
      <w:numFmt w:val="lowerLetter"/>
      <w:start w:val="1"/>
    </w:lvl>
    <w:lvl w:ilvl="1">
      <w:lvlJc w:val="left"/>
      <w:lvlText w:val="(%2)"/>
      <w:numFmt w:val="lowerRoman"/>
      <w:start w:val="4"/>
    </w:lvl>
  </w:abstractNum>
  <w:abstractNum w:abstractNumId="206">
    <w:nsid w:val="335A1DF1"/>
    <w:multiLevelType w:val="hybridMultilevel"/>
    <w:lvl w:ilvl="0">
      <w:lvlJc w:val="left"/>
      <w:lvlText w:val="(%1)"/>
      <w:numFmt w:val="lowerLetter"/>
      <w:start w:val="2"/>
    </w:lvl>
    <w:lvl w:ilvl="1">
      <w:lvlJc w:val="left"/>
      <w:lvlText w:val="%2"/>
      <w:numFmt w:val="lowerRoman"/>
      <w:start w:val="1"/>
    </w:lvl>
  </w:abstractNum>
  <w:abstractNum w:abstractNumId="207">
    <w:nsid w:val="28677B7C"/>
    <w:multiLevelType w:val="hybridMultilevel"/>
    <w:lvl w:ilvl="0">
      <w:lvlJc w:val="left"/>
      <w:lvlText w:val="(%1)"/>
      <w:numFmt w:val="lowerLetter"/>
      <w:start w:val="1"/>
    </w:lvl>
  </w:abstractNum>
  <w:abstractNum w:abstractNumId="208">
    <w:nsid w:val="378D97C0"/>
    <w:multiLevelType w:val="hybridMultilevel"/>
    <w:lvl w:ilvl="0">
      <w:lvlJc w:val="left"/>
      <w:lvlText w:val="(%1)"/>
      <w:numFmt w:val="lowerLetter"/>
      <w:start w:val="2"/>
    </w:lvl>
  </w:abstractNum>
  <w:abstractNum w:abstractNumId="209">
    <w:nsid w:val="1D91467C"/>
    <w:multiLevelType w:val="hybridMultilevel"/>
    <w:lvl w:ilvl="0">
      <w:lvlJc w:val="left"/>
      <w:lvlText w:val="(%1)"/>
      <w:numFmt w:val="lowerRoman"/>
      <w:start w:val="1"/>
    </w:lvl>
  </w:abstractNum>
  <w:abstractNum w:abstractNumId="210">
    <w:nsid w:val="316032BB"/>
    <w:multiLevelType w:val="hybridMultilevel"/>
    <w:lvl w:ilvl="0">
      <w:lvlJc w:val="left"/>
      <w:lvlText w:val="%1."/>
      <w:numFmt w:val="decimal"/>
      <w:start w:val="1"/>
    </w:lvl>
    <w:lvl w:ilvl="1">
      <w:lvlJc w:val="left"/>
      <w:lvlText w:val="(%2)"/>
      <w:numFmt w:val="lowerLetter"/>
      <w:start w:val="1"/>
    </w:lvl>
  </w:abstractNum>
  <w:abstractNum w:abstractNumId="211">
    <w:nsid w:val="44344C22"/>
    <w:multiLevelType w:val="hybridMultilevel"/>
    <w:lvl w:ilvl="0">
      <w:lvlJc w:val="left"/>
      <w:lvlText w:val="%1"/>
      <w:numFmt w:val="decimal"/>
      <w:start w:val="1"/>
    </w:lvl>
    <w:lvl w:ilvl="1">
      <w:lvlJc w:val="left"/>
      <w:lvlText w:val="(%2)"/>
      <w:numFmt w:val="lowerLetter"/>
      <w:start w:val="2"/>
    </w:lvl>
  </w:abstractNum>
  <w:abstractNum w:abstractNumId="212">
    <w:nsid w:val="13CDFCFC"/>
    <w:multiLevelType w:val="hybridMultilevel"/>
    <w:lvl w:ilvl="0">
      <w:lvlJc w:val="left"/>
      <w:lvlText w:val="%1."/>
      <w:numFmt w:val="decimal"/>
      <w:start w:val="2"/>
    </w:lvl>
    <w:lvl w:ilvl="1">
      <w:lvlJc w:val="left"/>
      <w:lvlText w:val="%2"/>
      <w:numFmt w:val="lowerLetter"/>
      <w:start w:val="1"/>
    </w:lvl>
  </w:abstractNum>
  <w:abstractNum w:abstractNumId="213">
    <w:nsid w:val="471745E4"/>
    <w:multiLevelType w:val="hybridMultilevel"/>
    <w:lvl w:ilvl="0">
      <w:lvlJc w:val="left"/>
      <w:lvlText w:val="%1."/>
      <w:numFmt w:val="decimal"/>
      <w:start w:val="3"/>
    </w:lvl>
  </w:abstractNum>
  <w:abstractNum w:abstractNumId="214">
    <w:nsid w:val="1DDBC66"/>
    <w:multiLevelType w:val="hybridMultilevel"/>
    <w:lvl w:ilvl="0">
      <w:lvlJc w:val="left"/>
      <w:lvlText w:val="(%1)"/>
      <w:numFmt w:val="lowerLetter"/>
      <w:start w:val="1"/>
    </w:lvl>
  </w:abstractNum>
  <w:abstractNum w:abstractNumId="215">
    <w:nsid w:val="30AADFDA"/>
    <w:multiLevelType w:val="hybridMultilevel"/>
    <w:lvl w:ilvl="0">
      <w:lvlJc w:val="left"/>
      <w:lvlText w:val="%1."/>
      <w:numFmt w:val="decimal"/>
      <w:start w:val="5"/>
    </w:lvl>
  </w:abstractNum>
  <w:abstractNum w:abstractNumId="216">
    <w:nsid w:val="30EADA61"/>
    <w:multiLevelType w:val="hybridMultilevel"/>
    <w:lvl w:ilvl="0">
      <w:lvlJc w:val="left"/>
      <w:lvlText w:val="%1."/>
      <w:numFmt w:val="decimal"/>
      <w:start w:val="9"/>
    </w:lvl>
    <w:lvl w:ilvl="1">
      <w:lvlJc w:val="left"/>
      <w:lvlText w:val="(%2)"/>
      <w:numFmt w:val="lowerLetter"/>
      <w:start w:val="1"/>
    </w:lvl>
  </w:abstractNum>
  <w:abstractNum w:abstractNumId="217">
    <w:nsid w:val="27179C0B"/>
    <w:multiLevelType w:val="hybridMultilevel"/>
    <w:lvl w:ilvl="0">
      <w:lvlJc w:val="left"/>
      <w:lvlText w:val="%1."/>
      <w:numFmt w:val="decimal"/>
      <w:start w:val="11"/>
    </w:lvl>
    <w:lvl w:ilvl="1">
      <w:lvlJc w:val="left"/>
      <w:lvlText w:val="(%2)"/>
      <w:numFmt w:val="lowerLetter"/>
      <w:start w:val="1"/>
    </w:lvl>
  </w:abstractNum>
  <w:abstractNum w:abstractNumId="218">
    <w:nsid w:val="5E636063"/>
    <w:multiLevelType w:val="hybridMultilevel"/>
    <w:lvl w:ilvl="0">
      <w:lvlJc w:val="left"/>
      <w:lvlText w:val="(%1)"/>
      <w:numFmt w:val="lowerLetter"/>
      <w:start w:val="1"/>
    </w:lvl>
  </w:abstractNum>
  <w:abstractNum w:abstractNumId="219">
    <w:nsid w:val="215641AF"/>
    <w:multiLevelType w:val="hybridMultilevel"/>
    <w:lvl w:ilvl="0">
      <w:lvlJc w:val="left"/>
      <w:lvlText w:val="%1"/>
      <w:numFmt w:val="decimal"/>
      <w:start w:val="1"/>
    </w:lvl>
    <w:lvl w:ilvl="1">
      <w:lvlJc w:val="left"/>
      <w:lvlText w:val="(%2)"/>
      <w:numFmt w:val="lowerLetter"/>
      <w:start w:val="2"/>
    </w:lvl>
  </w:abstractNum>
  <w:abstractNum w:abstractNumId="220">
    <w:nsid w:val="53280662"/>
    <w:multiLevelType w:val="hybridMultilevel"/>
    <w:lvl w:ilvl="0">
      <w:lvlJc w:val="left"/>
      <w:lvlText w:val="%1."/>
      <w:numFmt w:val="decimal"/>
      <w:start w:val="13"/>
    </w:lvl>
    <w:lvl w:ilvl="1">
      <w:lvlJc w:val="left"/>
      <w:lvlText w:val="%2"/>
      <w:numFmt w:val="lowerLetter"/>
      <w:start w:val="1"/>
    </w:lvl>
  </w:abstractNum>
  <w:abstractNum w:abstractNumId="221">
    <w:nsid w:val="46B24DBC"/>
    <w:multiLevelType w:val="hybridMultilevel"/>
    <w:lvl w:ilvl="0">
      <w:lvlJc w:val="left"/>
      <w:lvlText w:val="%1."/>
      <w:numFmt w:val="decimal"/>
      <w:start w:val="17"/>
    </w:lvl>
  </w:abstractNum>
  <w:abstractNum w:abstractNumId="222">
    <w:nsid w:val="75B52783"/>
    <w:multiLevelType w:val="hybridMultilevel"/>
    <w:lvl w:ilvl="0">
      <w:lvlJc w:val="left"/>
      <w:lvlText w:val="%1."/>
      <w:numFmt w:val="decimal"/>
      <w:start w:val="23"/>
    </w:lvl>
  </w:abstractNum>
  <w:abstractNum w:abstractNumId="223">
    <w:nsid w:val="57CE66B4"/>
    <w:multiLevelType w:val="hybridMultilevel"/>
    <w:lvl w:ilvl="0">
      <w:lvlJc w:val="left"/>
      <w:lvlText w:val="%1."/>
      <w:numFmt w:val="decimal"/>
      <w:start w:val="1"/>
    </w:lvl>
    <w:lvl w:ilvl="1">
      <w:lvlJc w:val="left"/>
      <w:lvlText w:val="(%2)"/>
      <w:numFmt w:val="lowerLetter"/>
      <w:start w:val="1"/>
    </w:lvl>
  </w:abstractNum>
  <w:abstractNum w:abstractNumId="224">
    <w:nsid w:val="67A70B69"/>
    <w:multiLevelType w:val="hybridMultilevel"/>
    <w:lvl w:ilvl="0">
      <w:lvlJc w:val="left"/>
      <w:lvlText w:val="%1."/>
      <w:numFmt w:val="decimal"/>
      <w:start w:val="5"/>
    </w:lvl>
    <w:lvl w:ilvl="1">
      <w:lvlJc w:val="left"/>
      <w:lvlText w:val="(%2)"/>
      <w:numFmt w:val="lowerLetter"/>
      <w:start w:val="1"/>
    </w:lvl>
  </w:abstractNum>
  <w:abstractNum w:abstractNumId="225">
    <w:nsid w:val="5953172F"/>
    <w:multiLevelType w:val="hybridMultilevel"/>
    <w:lvl w:ilvl="0">
      <w:lvlJc w:val="left"/>
      <w:lvlText w:val="%1."/>
      <w:numFmt w:val="decimal"/>
      <w:start w:val="13"/>
    </w:lvl>
    <w:lvl w:ilvl="1">
      <w:lvlJc w:val="left"/>
      <w:lvlText w:val="(%2)"/>
      <w:numFmt w:val="lowerLetter"/>
      <w:start w:val="1"/>
    </w:lvl>
  </w:abstractNum>
  <w:abstractNum w:abstractNumId="226">
    <w:nsid w:val="27EDFE3A"/>
    <w:multiLevelType w:val="hybridMultilevel"/>
    <w:lvl w:ilvl="0">
      <w:lvlJc w:val="left"/>
      <w:lvlText w:val="%1."/>
      <w:numFmt w:val="decimal"/>
      <w:start w:val="1"/>
    </w:lvl>
    <w:lvl w:ilvl="1">
      <w:lvlJc w:val="left"/>
      <w:lvlText w:val="(%2)"/>
      <w:numFmt w:val="lowerLetter"/>
      <w:start w:val="1"/>
    </w:lvl>
  </w:abstractNum>
  <w:abstractNum w:abstractNumId="227">
    <w:nsid w:val="52AC7DF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28">
    <w:nsid w:val="C4C3AF"/>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29">
    <w:nsid w:val="44380727"/>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1"/>
    </w:lvl>
  </w:abstractNum>
  <w:abstractNum w:abstractNumId="230">
    <w:nsid w:val="6C053B16"/>
    <w:multiLevelType w:val="hybridMultilevel"/>
    <w:lvl w:ilvl="0">
      <w:lvlJc w:val="left"/>
      <w:lvlText w:val="(%1)"/>
      <w:numFmt w:val="lowerLetter"/>
      <w:start w:val="1"/>
    </w:lvl>
  </w:abstractNum>
  <w:abstractNum w:abstractNumId="231">
    <w:nsid w:val="4F294393"/>
    <w:multiLevelType w:val="hybridMultilevel"/>
    <w:lvl w:ilvl="0">
      <w:lvlJc w:val="left"/>
      <w:lvlText w:val="%1."/>
      <w:numFmt w:val="decimal"/>
      <w:start w:val="10"/>
    </w:lvl>
  </w:abstractNum>
  <w:abstractNum w:abstractNumId="232">
    <w:nsid w:val="5243BFAC"/>
    <w:multiLevelType w:val="hybridMultilevel"/>
    <w:lvl w:ilvl="0">
      <w:lvlJc w:val="left"/>
      <w:lvlText w:val="1"/>
      <w:numFmt w:val="bullet"/>
      <w:start w:val="1"/>
    </w:lvl>
  </w:abstractNum>
  <w:abstractNum w:abstractNumId="233">
    <w:nsid w:val="425EB207"/>
    <w:multiLevelType w:val="hybridMultilevel"/>
    <w:lvl w:ilvl="0">
      <w:lvlJc w:val="left"/>
      <w:lvlText w:val="%1."/>
      <w:numFmt w:val="decimal"/>
      <w:start w:val="11"/>
    </w:lvl>
  </w:abstractNum>
  <w:abstractNum w:abstractNumId="234">
    <w:nsid w:val="334A6F1F"/>
    <w:multiLevelType w:val="hybridMultilevel"/>
    <w:lvl w:ilvl="0">
      <w:lvlJc w:val="left"/>
      <w:lvlText w:val="(%1)"/>
      <w:numFmt w:val="lowerLetter"/>
      <w:start w:val="1"/>
    </w:lvl>
  </w:abstractNum>
  <w:abstractNum w:abstractNumId="235">
    <w:nsid w:val="2E5B12B8"/>
    <w:multiLevelType w:val="hybridMultilevel"/>
    <w:lvl w:ilvl="0">
      <w:lvlJc w:val="left"/>
      <w:lvlText w:val="%1."/>
      <w:numFmt w:val="decimal"/>
      <w:start w:val="1"/>
    </w:lvl>
    <w:lvl w:ilvl="1">
      <w:lvlJc w:val="left"/>
      <w:lvlText w:val="%2."/>
      <w:numFmt w:val="lowerLetter"/>
      <w:start w:val="1"/>
    </w:lvl>
  </w:abstractNum>
  <w:abstractNum w:abstractNumId="236">
    <w:nsid w:val="5C03D76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2024-08-08T08:07:45Z</dcterms:created>
  <dcterms:modified xsi:type="dcterms:W3CDTF">2024-08-08T08:07:45Z</dcterms:modified>
</cp:coreProperties>
</file>