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bio20260630_10q.htm"/>
      <w:bookmarkStart w:id="1" w:name="kshbio2026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001-33957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798320"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8320" cy="800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04-3306140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 Holliston, Massachusetts 01746</w:t>
            </w:r>
          </w:p>
        </w:tc>
      </w:tr>
      <w:tr>
        <w:trPr/>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(508) 893-8999</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w:t>
        <w:br/>
        <w:t> </w:t>
      </w:r>
    </w:p>
    <w:tbl>
      <w:tblPr>
        <w:tblW w:w="7740" w:type="dxa"/>
        <w:jc w:val="left"/>
        <w:tblInd w:w="0" w:type="dxa"/>
        <w:tblLayout w:type="fixed"/>
        <w:tblCellMar>
          <w:top w:w="28" w:type="dxa"/>
          <w:left w:w="28" w:type="dxa"/>
          <w:bottom w:w="28" w:type="dxa"/>
          <w:right w:w="0" w:type="dxa"/>
        </w:tblCellMar>
      </w:tblPr>
      <w:tblGrid>
        <w:gridCol w:w="2630"/>
        <w:gridCol w:w="1535"/>
        <w:gridCol w:w="3575"/>
      </w:tblGrid>
      <w:tr>
        <w:trPr/>
        <w:tc>
          <w:tcPr>
            <w:tcW w:w="26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HBIO</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August 4, 2026, there were 4,552,305 shares of the registrant’s common stock issued and outstanding. This information reflects the reverse stock split of the registrant’s common stock that became effective on March 13, 2026, with trading on a post-split adjusted basis beginning on 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bookmarkStart w:id="2" w:name="toc"/>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8060"/>
        <w:gridCol w:w="440"/>
      </w:tblGrid>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art1">
              <w:r>
                <w:rPr>
                  <w:rStyle w:val="InternetLink"/>
                  <w:rFonts w:ascii="Times New Roman" w:hAnsi="Times New Roman"/>
                  <w:caps w:val="false"/>
                  <w:smallCaps w:val="false"/>
                  <w:sz w:val="20"/>
                </w:rPr>
                <w:t>PART I - FINANCIAL INFORMATION</w:t>
              </w:r>
            </w:hyperlink>
          </w:p>
        </w:tc>
        <w:tc>
          <w:tcPr>
            <w:tcW w:w="440" w:type="dxa"/>
            <w:tcBorders/>
            <w:vAlign w:val="center"/>
          </w:tcPr>
          <w:p>
            <w:pPr>
              <w:pStyle w:val="TableContents"/>
              <w:bidi w:val="0"/>
              <w:spacing w:before="0" w:after="0"/>
              <w:ind w:left="0" w:right="0" w:hanging="0"/>
              <w:jc w:val="center"/>
              <w:rPr/>
            </w:pPr>
            <w:hyperlink w:anchor="part1">
              <w:r>
                <w:rPr>
                  <w:rStyle w:val="InternetLink"/>
                  <w:rFonts w:ascii="Times New Roman" w:hAnsi="Times New Roman"/>
                  <w:caps w:val="false"/>
                  <w:smallCaps w:val="false"/>
                  <w:sz w:val="20"/>
                </w:rPr>
                <w:t>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1i1">
              <w:r>
                <w:rPr>
                  <w:rStyle w:val="InternetLink"/>
                  <w:rFonts w:ascii="Times New Roman" w:hAnsi="Times New Roman"/>
                  <w:caps w:val="false"/>
                  <w:smallCaps w:val="false"/>
                  <w:sz w:val="20"/>
                </w:rPr>
                <w:t>Item 1.    Financial Statements (unaudited)</w:t>
              </w:r>
            </w:hyperlink>
          </w:p>
        </w:tc>
        <w:tc>
          <w:tcPr>
            <w:tcW w:w="440" w:type="dxa"/>
            <w:tcBorders/>
            <w:vAlign w:val="center"/>
          </w:tcPr>
          <w:p>
            <w:pPr>
              <w:pStyle w:val="TableContents"/>
              <w:bidi w:val="0"/>
              <w:spacing w:before="0" w:after="0"/>
              <w:ind w:left="0" w:right="0" w:hanging="0"/>
              <w:jc w:val="center"/>
              <w:rPr/>
            </w:pPr>
            <w:hyperlink w:anchor="p1i1">
              <w:r>
                <w:rPr>
                  <w:rStyle w:val="InternetLink"/>
                  <w:rFonts w:ascii="Times New Roman" w:hAnsi="Times New Roman"/>
                  <w:caps w:val="false"/>
                  <w:smallCaps w:val="false"/>
                  <w:sz w:val="20"/>
                </w:rPr>
                <w:t>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900" w:right="0" w:hanging="0"/>
              <w:jc w:val="left"/>
              <w:rPr/>
            </w:pPr>
            <w:hyperlink w:anchor="balance_sheet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0"/>
              <w:ind w:left="0" w:right="0" w:hanging="0"/>
              <w:jc w:val="center"/>
              <w:rPr/>
            </w:pPr>
            <w:hyperlink w:anchor="balance_sheets">
              <w:r>
                <w:rPr>
                  <w:rStyle w:val="InternetLink"/>
                  <w:rFonts w:ascii="Times New Roman" w:hAnsi="Times New Roman"/>
                  <w:caps w:val="false"/>
                  <w:smallCaps w:val="false"/>
                  <w:sz w:val="20"/>
                </w:rPr>
                <w:t>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900" w:right="0" w:hanging="0"/>
              <w:jc w:val="left"/>
              <w:rPr/>
            </w:pPr>
            <w:hyperlink w:anchor="statements_of_operation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0"/>
              <w:ind w:left="0" w:right="0" w:hanging="0"/>
              <w:jc w:val="center"/>
              <w:rPr/>
            </w:pPr>
            <w:hyperlink w:anchor="statements_of_operations">
              <w:r>
                <w:rPr>
                  <w:rStyle w:val="InternetLink"/>
                  <w:rFonts w:ascii="Times New Roman" w:hAnsi="Times New Roman"/>
                  <w:caps w:val="false"/>
                  <w:smallCaps w:val="false"/>
                  <w:sz w:val="20"/>
                </w:rPr>
                <w:t>2</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900" w:right="0" w:hanging="0"/>
              <w:jc w:val="left"/>
              <w:rPr/>
            </w:pPr>
            <w:hyperlink w:anchor="comprehensive_loss">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0"/>
              <w:ind w:left="0" w:right="0" w:hanging="0"/>
              <w:jc w:val="center"/>
              <w:rPr/>
            </w:pPr>
            <w:hyperlink w:anchor="comprehensive_loss">
              <w:r>
                <w:rPr>
                  <w:rStyle w:val="InternetLink"/>
                  <w:rFonts w:ascii="Times New Roman" w:hAnsi="Times New Roman"/>
                  <w:caps w:val="false"/>
                  <w:smallCaps w:val="false"/>
                  <w:sz w:val="20"/>
                </w:rPr>
                <w:t>3</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900" w:right="0" w:hanging="0"/>
              <w:jc w:val="left"/>
              <w:rPr/>
            </w:pPr>
            <w:hyperlink w:anchor="stockholdersequity">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0"/>
              <w:ind w:left="0" w:right="0" w:hanging="0"/>
              <w:jc w:val="center"/>
              <w:rPr/>
            </w:pPr>
            <w:hyperlink w:anchor="stockholdersequity">
              <w:r>
                <w:rPr>
                  <w:rStyle w:val="InternetLink"/>
                  <w:rFonts w:ascii="Times New Roman" w:hAnsi="Times New Roman"/>
                  <w:caps w:val="false"/>
                  <w:smallCaps w:val="false"/>
                  <w:sz w:val="20"/>
                </w:rPr>
                <w:t>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900" w:right="0" w:hanging="0"/>
              <w:jc w:val="left"/>
              <w:rPr/>
            </w:pPr>
            <w:hyperlink w:anchor="cash_flows">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0"/>
              <w:ind w:left="0" w:right="0" w:hanging="0"/>
              <w:jc w:val="center"/>
              <w:rPr/>
            </w:pPr>
            <w:hyperlink w:anchor="cash_flows">
              <w:r>
                <w:rPr>
                  <w:rStyle w:val="InternetLink"/>
                  <w:rFonts w:ascii="Times New Roman" w:hAnsi="Times New Roman"/>
                  <w:caps w:val="false"/>
                  <w:smallCaps w:val="false"/>
                  <w:sz w:val="20"/>
                </w:rPr>
                <w:t>5</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900" w:right="0" w:hanging="0"/>
              <w:jc w:val="left"/>
              <w:rPr/>
            </w:pPr>
            <w:hyperlink w:anchor="financial_note">
              <w:r>
                <w:rPr>
                  <w:rStyle w:val="InternetLink"/>
                  <w:rFonts w:ascii="Times New Roman" w:hAnsi="Times New Roman"/>
                  <w:caps w:val="false"/>
                  <w:smallCaps w:val="false"/>
                  <w:sz w:val="20"/>
                </w:rPr>
                <w:t>Notes to Condensed Unaudited Consolidated Financial Statements</w:t>
              </w:r>
            </w:hyperlink>
          </w:p>
        </w:tc>
        <w:tc>
          <w:tcPr>
            <w:tcW w:w="440" w:type="dxa"/>
            <w:tcBorders/>
            <w:vAlign w:val="center"/>
          </w:tcPr>
          <w:p>
            <w:pPr>
              <w:pStyle w:val="TableContents"/>
              <w:bidi w:val="0"/>
              <w:spacing w:before="0" w:after="0"/>
              <w:ind w:left="0" w:right="0" w:hanging="0"/>
              <w:jc w:val="center"/>
              <w:rPr/>
            </w:pPr>
            <w:hyperlink w:anchor="financial_note">
              <w:r>
                <w:rPr>
                  <w:rStyle w:val="InternetLink"/>
                  <w:rFonts w:ascii="Times New Roman" w:hAnsi="Times New Roman"/>
                  <w:caps w:val="false"/>
                  <w:smallCaps w:val="false"/>
                  <w:sz w:val="20"/>
                </w:rPr>
                <w:t>6</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rPr>
                <w:t>Item 2.     Management’s Discussion and Analysis of Financial Condition and Results of Operations</w:t>
              </w:r>
            </w:hyperlink>
          </w:p>
        </w:tc>
        <w:tc>
          <w:tcPr>
            <w:tcW w:w="440" w:type="dxa"/>
            <w:tcBorders/>
            <w:vAlign w:val="center"/>
          </w:tcPr>
          <w:p>
            <w:pPr>
              <w:pStyle w:val="TableContents"/>
              <w:bidi w:val="0"/>
              <w:spacing w:before="0" w:after="0"/>
              <w:ind w:left="0" w:right="0" w:hanging="0"/>
              <w:jc w:val="center"/>
              <w:rPr/>
            </w:pPr>
            <w:hyperlink w:anchor="p1i2">
              <w:r>
                <w:rPr>
                  <w:rStyle w:val="InternetLink"/>
                  <w:rFonts w:ascii="Times New Roman" w:hAnsi="Times New Roman"/>
                  <w:caps w:val="false"/>
                  <w:smallCaps w:val="false"/>
                  <w:sz w:val="20"/>
                </w:rPr>
                <w:t>18</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rPr>
                <w:t>Item 3.     Quantitative and Qualitative Disclosures about Market Risk</w:t>
              </w:r>
            </w:hyperlink>
          </w:p>
        </w:tc>
        <w:tc>
          <w:tcPr>
            <w:tcW w:w="440" w:type="dxa"/>
            <w:tcBorders/>
            <w:vAlign w:val="center"/>
          </w:tcPr>
          <w:p>
            <w:pPr>
              <w:pStyle w:val="TableContents"/>
              <w:bidi w:val="0"/>
              <w:spacing w:before="0" w:after="0"/>
              <w:ind w:left="0" w:right="0" w:hanging="0"/>
              <w:jc w:val="center"/>
              <w:rPr/>
            </w:pPr>
            <w:hyperlink w:anchor="p1i3">
              <w:r>
                <w:rPr>
                  <w:rStyle w:val="InternetLink"/>
                  <w:rFonts w:ascii="Times New Roman" w:hAnsi="Times New Roman"/>
                  <w:caps w:val="false"/>
                  <w:smallCaps w:val="false"/>
                  <w:sz w:val="20"/>
                </w:rPr>
                <w:t>23</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rPr>
                <w:t>Item 4.     Controls and Procedures</w:t>
              </w:r>
            </w:hyperlink>
          </w:p>
        </w:tc>
        <w:tc>
          <w:tcPr>
            <w:tcW w:w="440" w:type="dxa"/>
            <w:tcBorders/>
            <w:vAlign w:val="center"/>
          </w:tcPr>
          <w:p>
            <w:pPr>
              <w:pStyle w:val="TableContents"/>
              <w:bidi w:val="0"/>
              <w:spacing w:before="0" w:after="0"/>
              <w:ind w:left="0" w:right="0" w:hanging="0"/>
              <w:jc w:val="center"/>
              <w:rPr/>
            </w:pPr>
            <w:hyperlink w:anchor="p1i4">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rPr>
                <w:t>PART II - OTHER INFORMATION</w:t>
              </w:r>
            </w:hyperlink>
          </w:p>
        </w:tc>
        <w:tc>
          <w:tcPr>
            <w:tcW w:w="440" w:type="dxa"/>
            <w:tcBorders/>
            <w:vAlign w:val="center"/>
          </w:tcPr>
          <w:p>
            <w:pPr>
              <w:pStyle w:val="TableContents"/>
              <w:bidi w:val="0"/>
              <w:spacing w:before="0" w:after="0"/>
              <w:ind w:left="0" w:right="0" w:hanging="0"/>
              <w:jc w:val="center"/>
              <w:rPr/>
            </w:pPr>
            <w:hyperlink w:anchor="p2">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440"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Item1A.   Risk Factors</w:t>
              </w:r>
            </w:hyperlink>
          </w:p>
        </w:tc>
        <w:tc>
          <w:tcPr>
            <w:tcW w:w="440" w:type="dxa"/>
            <w:tcBorders/>
            <w:vAlign w:val="center"/>
          </w:tcPr>
          <w:p>
            <w:pPr>
              <w:pStyle w:val="TableContents"/>
              <w:bidi w:val="0"/>
              <w:spacing w:before="0" w:after="0"/>
              <w:ind w:left="0" w:right="0" w:hanging="0"/>
              <w:jc w:val="center"/>
              <w:rPr/>
            </w:pPr>
            <w:hyperlink w:anchor="p2i1a">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440"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440"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440"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440"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24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440"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25</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8060" w:type="dxa"/>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rPr>
                <w:t>25</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bookmarkStart w:id="3" w:name="part1"/>
      <w:bookmarkEnd w:id="3"/>
    </w:p>
    <w:p>
      <w:pPr>
        <w:pStyle w:val="TextBody"/>
        <w:bidi w:val="0"/>
        <w:spacing w:before="0" w:after="0"/>
        <w:ind w:left="0" w:right="0" w:hanging="0"/>
        <w:jc w:val="left"/>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605"/>
        <w:gridCol w:w="183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8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Statements.</w:t>
            </w:r>
            <w:bookmarkStart w:id="4" w:name="p1i1"/>
            <w:bookmarkEnd w:id="4"/>
          </w:p>
        </w:tc>
      </w:tr>
    </w:tbl>
    <w:p>
      <w:pPr>
        <w:pStyle w:val="TextBody"/>
        <w:bidi w:val="0"/>
        <w:spacing w:before="0" w:after="0"/>
        <w:ind w:left="0" w:right="0" w:hanging="0"/>
        <w:jc w:val="left"/>
        <w:rPr>
          <w:caps w:val="false"/>
          <w:smallCaps w:val="false"/>
        </w:rPr>
      </w:pPr>
      <w:r>
        <w:rPr>
          <w:caps w:val="false"/>
          <w:smallCaps w:val="false"/>
        </w:rPr>
        <w:t> </w:t>
      </w:r>
    </w:p>
    <w:tbl>
      <w:tblPr>
        <w:tblW w:w="4910" w:type="dxa"/>
        <w:jc w:val="left"/>
        <w:tblInd w:w="0" w:type="dxa"/>
        <w:tblLayout w:type="fixed"/>
        <w:tblCellMar>
          <w:top w:w="0" w:type="dxa"/>
          <w:left w:w="0" w:type="dxa"/>
          <w:bottom w:w="0" w:type="dxa"/>
          <w:right w:w="0" w:type="dxa"/>
        </w:tblCellMar>
      </w:tblPr>
      <w:tblGrid>
        <w:gridCol w:w="4910"/>
      </w:tblGrid>
      <w:tr>
        <w:trPr/>
        <w:tc>
          <w:tcPr>
            <w:tcW w:w="4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4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bookmarkStart w:id="5" w:name="balance_sheets"/>
            <w:bookmarkEnd w:id="5"/>
          </w:p>
        </w:tc>
      </w:tr>
      <w:tr>
        <w:trPr/>
        <w:tc>
          <w:tcPr>
            <w:tcW w:w="49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 except share and per share data)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30"/>
        <w:gridCol w:w="60"/>
        <w:gridCol w:w="125"/>
        <w:gridCol w:w="755"/>
        <w:gridCol w:w="80"/>
        <w:gridCol w:w="60"/>
        <w:gridCol w:w="143"/>
        <w:gridCol w:w="871"/>
        <w:gridCol w:w="81"/>
      </w:tblGrid>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1" w:type="dxa"/>
            <w:tcBorders/>
            <w:vAlign w:val="center"/>
          </w:tcPr>
          <w:p>
            <w:pPr>
              <w:pStyle w:val="TableContents"/>
              <w:bidi w:val="0"/>
              <w:spacing w:before="0" w:after="283"/>
              <w:jc w:val="left"/>
              <w:rPr/>
            </w:pPr>
            <w:r>
              <w:rPr/>
              <w:t> </w:t>
            </w:r>
          </w:p>
        </w:tc>
      </w:tr>
      <w:tr>
        <w:trPr/>
        <w:tc>
          <w:tcPr>
            <w:tcW w:w="80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1"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8,614</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16,043</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7,172</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9,559</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7,639</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80,071</w:t>
            </w:r>
          </w:p>
        </w:tc>
        <w:tc>
          <w:tcPr>
            <w:tcW w:w="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3,652</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21,960</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35,870</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6,882</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8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3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66,337</w:t>
            </w:r>
          </w:p>
        </w:tc>
        <w:tc>
          <w:tcPr>
            <w:tcW w:w="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 Note 11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$0.01 per share, 5,000,000 shares authorized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Common stock, par value $0.01 per share, 80,000,000 shares authorized: 4,552,305 shares issued and outstanding at June 30, 2026; 4,471,989 shares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239,669</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(221,044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(214,710</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0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(11,672</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0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13,734</w:t>
            </w:r>
          </w:p>
        </w:tc>
        <w:tc>
          <w:tcPr>
            <w:tcW w:w="8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3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76,286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80,071</w:t>
            </w:r>
          </w:p>
        </w:tc>
        <w:tc>
          <w:tcPr>
            <w:tcW w:w="8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25"/>
        <w:gridCol w:w="731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bookmarkStart w:id="6" w:name="statements_of_operations"/>
            <w:bookmarkEnd w:id="6"/>
          </w:p>
        </w:tc>
      </w:tr>
    </w:tbl>
    <w:tbl>
      <w:tblPr>
        <w:tblW w:w="4085" w:type="dxa"/>
        <w:jc w:val="left"/>
        <w:tblInd w:w="0" w:type="dxa"/>
        <w:tblLayout w:type="fixed"/>
        <w:tblCellMar>
          <w:top w:w="0" w:type="dxa"/>
          <w:left w:w="0" w:type="dxa"/>
          <w:bottom w:w="0" w:type="dxa"/>
          <w:right w:w="0" w:type="dxa"/>
        </w:tblCellMar>
      </w:tblPr>
      <w:tblGrid>
        <w:gridCol w:w="4085"/>
      </w:tblGrid>
      <w:tr>
        <w:trPr/>
        <w:tc>
          <w:tcPr>
            <w:tcW w:w="408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 in thousands, except per share data)</w:t>
            </w:r>
            <w:r>
              <w:rPr>
                <w:rFonts w:ascii="Times New Roman" w:hAnsi="Times New Roman"/>
                <w:caps w:val="false"/>
                <w:smallCaps w:val="false"/>
                <w:sz w:val="20"/>
              </w:rPr>
              <w:t> </w:t>
            </w:r>
          </w:p>
        </w:tc>
      </w:tr>
    </w:tbl>
    <w:p>
      <w:pPr>
        <w:pStyle w:val="TextBody"/>
        <w:bidi w:val="0"/>
        <w:spacing w:before="0" w:after="0"/>
        <w:ind w:left="0" w:right="0" w:hanging="0"/>
        <w:jc w:val="left"/>
        <w:rPr/>
      </w:pPr>
      <w:r>
        <w:rPr/>
        <w:t> </w:t>
      </w:r>
    </w:p>
    <w:tbl>
      <w:tblPr>
        <w:tblW w:w="8570" w:type="dxa"/>
        <w:jc w:val="left"/>
        <w:tblInd w:w="0" w:type="dxa"/>
        <w:tblLayout w:type="fixed"/>
        <w:tblCellMar>
          <w:top w:w="0" w:type="dxa"/>
          <w:left w:w="0" w:type="dxa"/>
          <w:bottom w:w="0" w:type="dxa"/>
          <w:right w:w="0" w:type="dxa"/>
        </w:tblCellMar>
      </w:tblPr>
      <w:tblGrid>
        <w:gridCol w:w="3455"/>
        <w:gridCol w:w="60"/>
        <w:gridCol w:w="202"/>
        <w:gridCol w:w="954"/>
        <w:gridCol w:w="129"/>
        <w:gridCol w:w="97"/>
        <w:gridCol w:w="202"/>
        <w:gridCol w:w="954"/>
        <w:gridCol w:w="80"/>
        <w:gridCol w:w="60"/>
        <w:gridCol w:w="176"/>
        <w:gridCol w:w="832"/>
        <w:gridCol w:w="112"/>
        <w:gridCol w:w="84"/>
        <w:gridCol w:w="176"/>
        <w:gridCol w:w="917"/>
        <w:gridCol w:w="80"/>
      </w:tblGrid>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2"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832"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1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43,482</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10,097</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18,608</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12,630</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10,735</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9,319</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4</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 - Note 1</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13,608</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27,026</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(4,051</w:t>
            </w:r>
          </w:p>
        </w:tc>
        <w:tc>
          <w:tcPr>
            <w:tcW w:w="11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(2,896</w:t>
            </w:r>
          </w:p>
        </w:tc>
        <w:tc>
          <w:tcPr>
            <w:tcW w:w="12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(6,203</w:t>
            </w:r>
          </w:p>
        </w:tc>
        <w:tc>
          <w:tcPr>
            <w:tcW w:w="11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(53,048</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4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 *</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1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4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1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4,484</w:t>
            </w:r>
          </w:p>
        </w:tc>
        <w:tc>
          <w:tcPr>
            <w:tcW w:w="11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25"/>
        <w:gridCol w:w="731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6830" w:type="dxa"/>
        <w:jc w:val="left"/>
        <w:tblInd w:w="0" w:type="dxa"/>
        <w:tblLayout w:type="fixed"/>
        <w:tblCellMar>
          <w:top w:w="0" w:type="dxa"/>
          <w:left w:w="0" w:type="dxa"/>
          <w:bottom w:w="0" w:type="dxa"/>
          <w:right w:w="0" w:type="dxa"/>
        </w:tblCellMar>
      </w:tblPr>
      <w:tblGrid>
        <w:gridCol w:w="6830"/>
      </w:tblGrid>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w:t>
            </w:r>
            <w:bookmarkStart w:id="7" w:name="comprehensive_loss"/>
            <w:bookmarkEnd w:id="7"/>
          </w:p>
        </w:tc>
      </w:tr>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73"/>
        <w:gridCol w:w="60"/>
        <w:gridCol w:w="202"/>
        <w:gridCol w:w="886"/>
        <w:gridCol w:w="129"/>
        <w:gridCol w:w="96"/>
        <w:gridCol w:w="202"/>
        <w:gridCol w:w="886"/>
        <w:gridCol w:w="80"/>
        <w:gridCol w:w="60"/>
        <w:gridCol w:w="176"/>
        <w:gridCol w:w="773"/>
        <w:gridCol w:w="113"/>
        <w:gridCol w:w="84"/>
        <w:gridCol w:w="176"/>
        <w:gridCol w:w="922"/>
        <w:gridCol w:w="87"/>
      </w:tblGrid>
      <w:tr>
        <w:trPr/>
        <w:tc>
          <w:tcPr>
            <w:tcW w:w="5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ind w:left="0" w:right="0" w:hanging="0"/>
              <w:jc w:val="left"/>
              <w:rPr/>
            </w:pPr>
            <w:r>
              <w:rPr/>
              <w:t> </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88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77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22"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ind w:left="0" w:right="0" w:hanging="0"/>
              <w:jc w:val="left"/>
              <w:rPr/>
            </w:pPr>
            <w:r>
              <w:rPr/>
              <w:t> </w:t>
            </w:r>
          </w:p>
        </w:tc>
      </w:tr>
      <w:tr>
        <w:trPr/>
        <w:tc>
          <w:tcPr>
            <w:tcW w:w="527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r>
      <w:tr>
        <w:trPr/>
        <w:tc>
          <w:tcPr>
            <w:tcW w:w="5273"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3,914</w:t>
            </w:r>
          </w:p>
        </w:tc>
        <w:tc>
          <w:tcPr>
            <w:tcW w:w="87" w:type="dxa"/>
            <w:tcBorders/>
            <w:shd w:fill="CCEEFF" w:val="clear"/>
            <w:vAlign w:val="center"/>
          </w:tcPr>
          <w:p>
            <w:pPr>
              <w:pStyle w:val="TableContents"/>
              <w:bidi w:val="0"/>
              <w:spacing w:before="0" w:after="283"/>
              <w:ind w:left="0" w:right="0" w:hanging="0"/>
              <w:jc w:val="left"/>
              <w:rPr/>
            </w:pPr>
            <w:r>
              <w:rPr/>
              <w:t> </w:t>
            </w:r>
          </w:p>
        </w:tc>
      </w:tr>
      <w:tr>
        <w:trPr/>
        <w:tc>
          <w:tcPr>
            <w:tcW w:w="5273"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 qualifying as cash flow hedges, net of tax of $-0-</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20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273"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273"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(2,972</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(7,037</w:t>
            </w:r>
          </w:p>
        </w:tc>
        <w:tc>
          <w:tcPr>
            <w:tcW w:w="1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(48,654</w:t>
            </w:r>
          </w:p>
        </w:tc>
        <w:tc>
          <w:tcPr>
            <w:tcW w:w="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40" w:right="0" w:hanging="328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STOCKHOLDERS' EQUITY</w:t>
            </w:r>
            <w:bookmarkStart w:id="8" w:name="stockholdersequity"/>
            <w:bookmarkEnd w:id="8"/>
          </w:p>
        </w:tc>
      </w:tr>
      <w:tr>
        <w:trPr/>
        <w:tc>
          <w:tcPr>
            <w:tcW w:w="705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87"/>
        <w:gridCol w:w="712"/>
        <w:gridCol w:w="80"/>
        <w:gridCol w:w="60"/>
        <w:gridCol w:w="217"/>
        <w:gridCol w:w="583"/>
        <w:gridCol w:w="60"/>
        <w:gridCol w:w="60"/>
        <w:gridCol w:w="146"/>
        <w:gridCol w:w="818"/>
        <w:gridCol w:w="80"/>
        <w:gridCol w:w="60"/>
        <w:gridCol w:w="160"/>
        <w:gridCol w:w="970"/>
        <w:gridCol w:w="80"/>
        <w:gridCol w:w="60"/>
        <w:gridCol w:w="215"/>
        <w:gridCol w:w="1125"/>
        <w:gridCol w:w="80"/>
        <w:gridCol w:w="60"/>
        <w:gridCol w:w="204"/>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10,046</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572" w:type="dxa"/>
        <w:jc w:val="left"/>
        <w:tblInd w:w="0" w:type="dxa"/>
        <w:tblLayout w:type="fixed"/>
        <w:tblCellMar>
          <w:top w:w="0" w:type="dxa"/>
          <w:left w:w="0" w:type="dxa"/>
          <w:bottom w:w="0" w:type="dxa"/>
          <w:right w:w="0" w:type="dxa"/>
        </w:tblCellMar>
      </w:tblPr>
      <w:tblGrid>
        <w:gridCol w:w="2585"/>
        <w:gridCol w:w="60"/>
        <w:gridCol w:w="87"/>
        <w:gridCol w:w="712"/>
        <w:gridCol w:w="60"/>
        <w:gridCol w:w="60"/>
        <w:gridCol w:w="217"/>
        <w:gridCol w:w="583"/>
        <w:gridCol w:w="60"/>
        <w:gridCol w:w="60"/>
        <w:gridCol w:w="146"/>
        <w:gridCol w:w="818"/>
        <w:gridCol w:w="60"/>
        <w:gridCol w:w="60"/>
        <w:gridCol w:w="160"/>
        <w:gridCol w:w="970"/>
        <w:gridCol w:w="80"/>
        <w:gridCol w:w="60"/>
        <w:gridCol w:w="215"/>
        <w:gridCol w:w="1125"/>
        <w:gridCol w:w="80"/>
        <w:gridCol w:w="60"/>
        <w:gridCol w:w="204"/>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14,835</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237,622</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87"/>
        <w:gridCol w:w="712"/>
        <w:gridCol w:w="80"/>
        <w:gridCol w:w="60"/>
        <w:gridCol w:w="217"/>
        <w:gridCol w:w="583"/>
        <w:gridCol w:w="60"/>
        <w:gridCol w:w="60"/>
        <w:gridCol w:w="146"/>
        <w:gridCol w:w="818"/>
        <w:gridCol w:w="80"/>
        <w:gridCol w:w="60"/>
        <w:gridCol w:w="160"/>
        <w:gridCol w:w="970"/>
        <w:gridCol w:w="80"/>
        <w:gridCol w:w="60"/>
        <w:gridCol w:w="215"/>
        <w:gridCol w:w="1125"/>
        <w:gridCol w:w="80"/>
        <w:gridCol w:w="60"/>
        <w:gridCol w:w="204"/>
        <w:gridCol w:w="970"/>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exercises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240,390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(221,044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7,418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87"/>
        <w:gridCol w:w="712"/>
        <w:gridCol w:w="80"/>
        <w:gridCol w:w="60"/>
        <w:gridCol w:w="217"/>
        <w:gridCol w:w="583"/>
        <w:gridCol w:w="60"/>
        <w:gridCol w:w="60"/>
        <w:gridCol w:w="146"/>
        <w:gridCol w:w="818"/>
        <w:gridCol w:w="80"/>
        <w:gridCol w:w="60"/>
        <w:gridCol w:w="160"/>
        <w:gridCol w:w="970"/>
        <w:gridCol w:w="80"/>
        <w:gridCol w:w="60"/>
        <w:gridCol w:w="215"/>
        <w:gridCol w:w="1125"/>
        <w:gridCol w:w="80"/>
        <w:gridCol w:w="60"/>
        <w:gridCol w:w="188"/>
        <w:gridCol w:w="986"/>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63,340</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 purchase plan</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(210,632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25"/>
        <w:gridCol w:w="731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bookmarkStart w:id="9" w:name="cash_flows"/>
            <w:bookmarkEnd w:id="9"/>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 in thousands)</w:t>
            </w:r>
          </w:p>
        </w:tc>
      </w:tr>
    </w:tbl>
    <w:p>
      <w:pPr>
        <w:pStyle w:val="TextBody"/>
        <w:bidi w:val="0"/>
        <w:spacing w:before="0" w:after="0"/>
        <w:ind w:left="0" w:right="0" w:hanging="0"/>
        <w:jc w:val="left"/>
        <w:rPr/>
      </w:pPr>
      <w:r>
        <w:rPr/>
        <w:t> </w:t>
      </w:r>
    </w:p>
    <w:tbl>
      <w:tblPr>
        <w:tblW w:w="9566" w:type="dxa"/>
        <w:jc w:val="left"/>
        <w:tblInd w:w="0" w:type="dxa"/>
        <w:tblLayout w:type="fixed"/>
        <w:tblCellMar>
          <w:top w:w="0" w:type="dxa"/>
          <w:left w:w="0" w:type="dxa"/>
          <w:bottom w:w="0" w:type="dxa"/>
          <w:right w:w="0" w:type="dxa"/>
        </w:tblCellMar>
      </w:tblPr>
      <w:tblGrid>
        <w:gridCol w:w="7085"/>
        <w:gridCol w:w="60"/>
        <w:gridCol w:w="184"/>
        <w:gridCol w:w="806"/>
        <w:gridCol w:w="118"/>
        <w:gridCol w:w="88"/>
        <w:gridCol w:w="184"/>
        <w:gridCol w:w="961"/>
        <w:gridCol w:w="80"/>
      </w:tblGrid>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8" w:type="dxa"/>
            <w:tcBorders>
              <w:bottom w:val="single" w:sz="2" w:space="0" w:color="000000"/>
            </w:tcBorders>
            <w:tcMar>
              <w:bottom w:w="28" w:type="dxa"/>
            </w:tcMar>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910</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4</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and other</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1,564</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property, plant and equipment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term debt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9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warrants and stock purchase plan</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18"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1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w:t>
            </w:r>
          </w:p>
        </w:tc>
        <w:tc>
          <w:tcPr>
            <w:tcW w:w="11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9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8,614</w:t>
            </w:r>
          </w:p>
        </w:tc>
        <w:tc>
          <w:tcPr>
            <w:tcW w:w="11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7,442</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8135" w:type="dxa"/>
            <w:gridSpan w:val="4"/>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disclosures of cash flow information:</w:t>
            </w:r>
          </w:p>
        </w:tc>
        <w:tc>
          <w:tcPr>
            <w:tcW w:w="11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9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11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bookmarkStart w:id="10" w:name="financial_note"/>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59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Basis of Presentation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unaudited consolidated financial statements of Harvard Bioscience, Inc. and its wholly-owned subsidiaries (collectively, the “Company”) as of June 30, 2026 and for the three and six months ended June 30, 2026 and 2025,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2025 consolidated balance sheet included herein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financial position as of June 30, 2026, results of operations and comprehensive loss for the three and six months ended June 30, 2026 and 2025, and cash flows for the six months ended June 30, 2026 and 2025, as applicable, have been made. The results of operations for the three and six months ended June 30, 2026, are not necessarily indicative of the anticipated operating results for the full year ending December 31, 2026,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accounting policies underlying the accompanying unaudited consolidated financial statements are set forth in Note 2 to the consolidated financial statements included in the Company’s Annual Report on Form 10-K for the year ended December 31, 2025. There have been no material changes in the Company’s significant accounting policies during the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March 6, 2026, stockholders approved an amendment to the Harvard Bioscience, Inc. Second Amended and Restated Certificate of Incorporation to effect a reverse stock split of the Company’s issued and outstanding shares of common stock, $0.01 par value per share, at a ratio within the range of 1-for-5 to 1-for-15. On March 6, 2026, the Company’s board of directors determined to effectuate the reverse stock split at a ratio of 1-for-10, effective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holder of common stock owned fewer shares of common stock as a result of the reverse stock split. However, the reverse stock split affected all holders of common stock uniformly and did not affect any stockholder’s percentage ownership interest in the Company, except to the extent that the reverse stock split resulted in an adjustment to a stockholder’s ownership of common stock due to the treatment of fractional shares in the reverse stock split. Therefore, voting rights and other rights and preferences of the holders of common stock were not affected by the reverse stock split (other than as a result of the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fractional shares were issued as a result of the reverse stock split. Instead, each stockholder received a cash payment equal to the fraction of a share to which such stockholder was otherwise entitled multiplied by the closing price per share of the common stock on the effective date of the reverse stock split as reported by Nasdaq (as adjusted to give effect to the reverse stock split). The common stock began trading on a reverse stock split-adjusted basis on The Nasdaq Capital Market on March 16, 2026. The trading symbol for the common stock remained “HBIO.” This reverse stock split reduced the number of shares of common stock as of March 13, 2026 from 44,719,894 shares to 4,471,927 shares, net of 62 shares cash in lieu. All share and per share data in the accompanying condensed consolidated financial statements and accompanying notes have been retroactively adjusted to reflect the effect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the lower of cost or net realizable value, stock-based compensation expense, and the recoverability of long-lived and intangible assets, including goodwill. The Company assesses its previous estimates based upon currently available information. Actual results could differ materially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other operating expenses for the three and six months ended June 30, 2026 and 2025 were as follows:</w:t>
      </w:r>
    </w:p>
    <w:p>
      <w:pPr>
        <w:pStyle w:val="TextBody"/>
        <w:bidi w:val="0"/>
        <w:spacing w:before="0" w:after="0"/>
        <w:ind w:left="0" w:right="0" w:hanging="0"/>
        <w:jc w:val="both"/>
        <w:rPr>
          <w:caps w:val="false"/>
          <w:smallCaps w:val="false"/>
        </w:rPr>
      </w:pPr>
      <w:r>
        <w:rPr>
          <w:caps w:val="false"/>
          <w:smallCaps w:val="false"/>
        </w:rPr>
        <w:t> </w:t>
      </w:r>
    </w:p>
    <w:tbl>
      <w:tblPr>
        <w:tblW w:w="8904" w:type="dxa"/>
        <w:jc w:val="left"/>
        <w:tblInd w:w="0" w:type="dxa"/>
        <w:tblLayout w:type="fixed"/>
        <w:tblCellMar>
          <w:top w:w="0" w:type="dxa"/>
          <w:left w:w="0" w:type="dxa"/>
          <w:bottom w:w="0" w:type="dxa"/>
          <w:right w:w="0" w:type="dxa"/>
        </w:tblCellMar>
      </w:tblPr>
      <w:tblGrid>
        <w:gridCol w:w="3815"/>
        <w:gridCol w:w="60"/>
        <w:gridCol w:w="305"/>
        <w:gridCol w:w="818"/>
        <w:gridCol w:w="146"/>
        <w:gridCol w:w="146"/>
        <w:gridCol w:w="305"/>
        <w:gridCol w:w="818"/>
        <w:gridCol w:w="60"/>
        <w:gridCol w:w="60"/>
        <w:gridCol w:w="276"/>
        <w:gridCol w:w="740"/>
        <w:gridCol w:w="132"/>
        <w:gridCol w:w="132"/>
        <w:gridCol w:w="276"/>
        <w:gridCol w:w="740"/>
        <w:gridCol w:w="75"/>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2" w:type="dxa"/>
            <w:tcBorders>
              <w:bottom w:val="single" w:sz="2" w:space="0" w:color="000000"/>
            </w:tcBorders>
            <w:tcMar>
              <w:bottom w:w="28" w:type="dxa"/>
            </w:tcMar>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(see Note 12)</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w:t>
            </w:r>
          </w:p>
        </w:tc>
        <w:tc>
          <w:tcPr>
            <w:tcW w:w="75"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fees (see Note 5)</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2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1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July 2025, the Financial Accounting Standards Board (the “FASB”) issued ASU 2025-05, </w:t>
      </w:r>
      <w:r>
        <w:rPr>
          <w:rFonts w:ascii="Times New Roman" w:hAnsi="Times New Roman"/>
          <w:i/>
          <w:caps w:val="false"/>
          <w:smallCaps w:val="false"/>
          <w:sz w:val="20"/>
        </w:rPr>
        <w:t xml:space="preserve">Credit Losses (Topic 326) </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which provides a practical expedient to assume that the current conditions as of the balance sheet date will remain unchanged for the remaining life of the asset when developing a reasonable and supportable forecast as part of estimating expected credit losses on current accounts receivable and current contract assets arising from transactions accounted for under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The Company adopted ASU 2025-05 on January 1, 2026, on a prospective basis. The adoption of this guidance did not have an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2025, the FASB issued ASU 2025-06—</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Internal-Use Software (Subtopic 350-40): Targeted Improvements to the Accounting for Internal-Use Software</w:t>
      </w:r>
      <w:r>
        <w:rPr>
          <w:rFonts w:ascii="Times New Roman" w:hAnsi="Times New Roman"/>
          <w:caps w:val="false"/>
          <w:smallCaps w:val="false"/>
          <w:sz w:val="20"/>
        </w:rPr>
        <w:t>. The amendments in this update are intended to modernize the accounting for internal-use software costs accounted for under ASC Subtopic 350-40. The amendment removes all references to software development project stages and requires entities to start capitalizing software costs when both of the following occur: (i) funding has been committed and management authorization has been granted, and (ii) it is probable the project will be completed. The standard is effective for annual reporting periods beginning after December 15, 2027, and interim reporting periods within those annual reporting periods. We early adopted ASU 2025-06 effective January 1, 2026 on a prospective basis and the adoption of this guidance did not have an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Recently Issued Accounting Pronouncements Yet to Be Adopted</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No. 2024-03, </w:t>
      </w:r>
      <w:r>
        <w:rPr>
          <w:rFonts w:ascii="Times New Roman" w:hAnsi="Times New Roman"/>
          <w:i/>
          <w:caps w:val="false"/>
          <w:smallCaps w:val="false"/>
          <w:sz w:val="20"/>
        </w:rPr>
        <w:t>Income Statement (Subtopic 220-40): 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xml:space="preserve"> (“ASU No. 2024-03”),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continuing to assess the impact adopting ASU No. 2024-03 will have on the disclosures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2025-10, </w:t>
      </w:r>
      <w:r>
        <w:rPr>
          <w:rFonts w:ascii="Times New Roman" w:hAnsi="Times New Roman"/>
          <w:i/>
          <w:caps w:val="false"/>
          <w:smallCaps w:val="false"/>
          <w:sz w:val="20"/>
        </w:rPr>
        <w:t>Government Grants (Topic</w:t>
      </w:r>
      <w:r>
        <w:rPr>
          <w:rFonts w:ascii="Times New Roman" w:hAnsi="Times New Roman"/>
          <w:caps w:val="false"/>
          <w:smallCaps w:val="false"/>
          <w:sz w:val="20"/>
        </w:rPr>
        <w:t> </w:t>
      </w:r>
      <w:r>
        <w:rPr>
          <w:rFonts w:ascii="Times New Roman" w:hAnsi="Times New Roman"/>
          <w:i/>
          <w:caps w:val="false"/>
          <w:smallCaps w:val="false"/>
          <w:sz w:val="20"/>
        </w:rPr>
        <w:t>832): Accounting for Government Grants Received by Business Entities</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ASU</w:t>
      </w:r>
      <w:r>
        <w:rPr>
          <w:rFonts w:ascii="Times New Roman" w:hAnsi="Times New Roman"/>
          <w:caps w:val="false"/>
          <w:smallCaps w:val="false"/>
          <w:sz w:val="20"/>
        </w:rPr>
        <w:t> </w:t>
      </w:r>
      <w:r>
        <w:rPr>
          <w:rFonts w:ascii="Times New Roman" w:hAnsi="Times New Roman"/>
          <w:i/>
          <w:caps w:val="false"/>
          <w:smallCaps w:val="false"/>
          <w:sz w:val="20"/>
        </w:rPr>
        <w:t>2025-10</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to provide guidance on how business entities should recognize, measure, and present government grants received. ASU 2025-10 is effective for fiscal years beginning after December 15, 2028, including interim periods within those fiscal years. Early adoption is permitted, and the amendments may be applied using a modified prospective, modified retrospective, or full retrospective adoption. The Company is currently evaluating the impact the adoption of ASU 2025-10 may have on the Company’s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No. 2025-11, </w:t>
      </w:r>
      <w:r>
        <w:rPr>
          <w:rFonts w:ascii="Times New Roman" w:hAnsi="Times New Roman"/>
          <w:i/>
          <w:caps w:val="false"/>
          <w:smallCaps w:val="false"/>
          <w:sz w:val="20"/>
        </w:rPr>
        <w:t>Interim Reporting (Topic</w:t>
      </w:r>
      <w:r>
        <w:rPr>
          <w:rFonts w:ascii="Times New Roman" w:hAnsi="Times New Roman"/>
          <w:caps w:val="false"/>
          <w:smallCaps w:val="false"/>
          <w:sz w:val="20"/>
        </w:rPr>
        <w:t> </w:t>
      </w:r>
      <w:r>
        <w:rPr>
          <w:rFonts w:ascii="Times New Roman" w:hAnsi="Times New Roman"/>
          <w:i/>
          <w:caps w:val="false"/>
          <w:smallCaps w:val="false"/>
          <w:sz w:val="20"/>
        </w:rPr>
        <w:t>270): Narrow-Scope Improvements</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w:t>
      </w:r>
      <w:r>
        <w:rPr>
          <w:rFonts w:ascii="Times New Roman" w:hAnsi="Times New Roman"/>
          <w:i/>
          <w:caps w:val="false"/>
          <w:smallCaps w:val="false"/>
          <w:sz w:val="20"/>
        </w:rPr>
        <w:t>ASU</w:t>
      </w:r>
      <w:r>
        <w:rPr>
          <w:rFonts w:ascii="Times New Roman" w:hAnsi="Times New Roman"/>
          <w:caps w:val="false"/>
          <w:smallCaps w:val="false"/>
          <w:sz w:val="20"/>
        </w:rPr>
        <w:t> </w:t>
      </w:r>
      <w:r>
        <w:rPr>
          <w:rFonts w:ascii="Times New Roman" w:hAnsi="Times New Roman"/>
          <w:i/>
          <w:caps w:val="false"/>
          <w:smallCaps w:val="false"/>
          <w:sz w:val="20"/>
        </w:rPr>
        <w:t>2025-11</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and the amendments may be applied prospectively or retrospectively to all periods presented in the financial statements. The Company is currently evaluating the impact the adoption of ASU 2025-11 may have on the Company’s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In December 2025, the FASB issued ASU No. 2025-12, </w:t>
      </w:r>
      <w:r>
        <w:rPr>
          <w:rFonts w:ascii="Times New Roman" w:hAnsi="Times New Roman"/>
          <w:i/>
          <w:caps w:val="false"/>
          <w:smallCaps w:val="false"/>
          <w:sz w:val="20"/>
        </w:rPr>
        <w:t>Codification Improvements (</w:t>
      </w:r>
      <w:r>
        <w:rPr>
          <w:rFonts w:ascii="Times New Roman" w:hAnsi="Times New Roman"/>
          <w:caps w:val="false"/>
          <w:smallCaps w:val="false"/>
          <w:sz w:val="20"/>
        </w:rPr>
        <w:t>“</w:t>
      </w:r>
      <w:r>
        <w:rPr>
          <w:rFonts w:ascii="Times New Roman" w:hAnsi="Times New Roman"/>
          <w:i/>
          <w:caps w:val="false"/>
          <w:smallCaps w:val="false"/>
          <w:sz w:val="20"/>
        </w:rPr>
        <w:t>ASU 2025-12</w:t>
      </w:r>
      <w:r>
        <w:rPr>
          <w:rFonts w:ascii="Times New Roman" w:hAnsi="Times New Roman"/>
          <w:caps w:val="false"/>
          <w:smallCaps w:val="false"/>
          <w:sz w:val="20"/>
        </w:rPr>
        <w:t>”</w:t>
      </w:r>
      <w:r>
        <w:rPr>
          <w:rFonts w:ascii="Times New Roman" w:hAnsi="Times New Roman"/>
          <w:i/>
          <w:caps w:val="false"/>
          <w:smallCaps w:val="false"/>
          <w:sz w:val="20"/>
        </w:rPr>
        <w:t>)</w:t>
      </w:r>
      <w:r>
        <w:rPr>
          <w:rFonts w:ascii="Times New Roman" w:hAnsi="Times New Roman"/>
          <w:caps w:val="false"/>
          <w:smallCaps w:val="false"/>
          <w:sz w:val="20"/>
        </w:rPr>
        <w:t>. The guidance in ASU 2025-12 provides incremental improvements to accounting standards for a broad range of topics. The standard is effective for annual fiscal years beginning after December 15, 2026 and interim periods within fiscal years beginning after December 15, 2026, with early adoption permitted. Upon adoption, ASU 2025-12 may be applied prospectively or retrospectively on an issue-by-issue basis. The Company is currently evaluating the impact that the adoption of ASU 2025-12 may have on its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Prior Period Financial Statement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immaterial reclassifications have been made to the prior year financial statements to conform to the current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215"/>
        <w:gridCol w:w="2225"/>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2. </w:t>
            </w:r>
          </w:p>
        </w:tc>
        <w:tc>
          <w:tcPr>
            <w:tcW w:w="22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Basic earnings (loss) per share is computed by dividing net income (loss)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summarizes the calculation of basic and diluted net loss per share of common stock:</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66"/>
        <w:gridCol w:w="60"/>
        <w:gridCol w:w="199"/>
        <w:gridCol w:w="870"/>
        <w:gridCol w:w="127"/>
        <w:gridCol w:w="95"/>
        <w:gridCol w:w="199"/>
        <w:gridCol w:w="870"/>
        <w:gridCol w:w="80"/>
        <w:gridCol w:w="60"/>
        <w:gridCol w:w="171"/>
        <w:gridCol w:w="749"/>
        <w:gridCol w:w="110"/>
        <w:gridCol w:w="82"/>
        <w:gridCol w:w="171"/>
        <w:gridCol w:w="894"/>
        <w:gridCol w:w="102"/>
      </w:tblGrid>
      <w:tr>
        <w:trPr/>
        <w:tc>
          <w:tcPr>
            <w:tcW w:w="536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7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60" w:type="dxa"/>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7" w:type="dxa"/>
            <w:tcBorders>
              <w:bottom w:val="single" w:sz="2" w:space="0" w:color="000000"/>
            </w:tcBorders>
            <w:tcMar>
              <w:bottom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0"/>
              <w:jc w:val="left"/>
              <w:rPr/>
            </w:pPr>
            <w:r>
              <w:rPr/>
              <w:t> </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0" w:type="dxa"/>
            <w:tcBorders>
              <w:bottom w:val="single" w:sz="2" w:space="0" w:color="000000"/>
            </w:tcBorders>
            <w:tcMar>
              <w:bottom w:w="28" w:type="dxa"/>
            </w:tcMar>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ind w:left="0" w:right="0" w:hanging="0"/>
              <w:jc w:val="left"/>
              <w:rPr/>
            </w:pPr>
            <w:r>
              <w:rPr/>
              <w:t> </w:t>
            </w:r>
          </w:p>
        </w:tc>
        <w:tc>
          <w:tcPr>
            <w:tcW w:w="10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4,484</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w:t>
            </w:r>
          </w:p>
        </w:tc>
        <w:tc>
          <w:tcPr>
            <w:tcW w:w="102" w:type="dxa"/>
            <w:tcBorders/>
            <w:shd w:fill="FFFFFF" w:val="clear"/>
            <w:vAlign w:val="center"/>
          </w:tcPr>
          <w:p>
            <w:pPr>
              <w:pStyle w:val="TableContents"/>
              <w:bidi w:val="0"/>
              <w:spacing w:before="0" w:after="283"/>
              <w:jc w:val="left"/>
              <w:rPr/>
            </w:pPr>
            <w:r>
              <w:rPr/>
              <w:t> </w:t>
            </w:r>
          </w:p>
        </w:tc>
      </w:tr>
      <w:tr>
        <w:trPr/>
        <w:tc>
          <w:tcPr>
            <w:tcW w:w="53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equity awards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8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jc w:val="left"/>
              <w:rPr/>
            </w:pPr>
            <w:r>
              <w:rPr/>
              <w:t> </w:t>
            </w:r>
          </w:p>
        </w:tc>
      </w:tr>
      <w:tr>
        <w:trPr/>
        <w:tc>
          <w:tcPr>
            <w:tcW w:w="53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convertible Term C loan</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8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jc w:val="left"/>
              <w:rPr/>
            </w:pPr>
            <w:r>
              <w:rPr/>
              <w:t> </w:t>
            </w:r>
          </w:p>
        </w:tc>
      </w:tr>
      <w:tr>
        <w:trPr/>
        <w:tc>
          <w:tcPr>
            <w:tcW w:w="53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warrants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4,526</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4,484</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4,420</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3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per share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per share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(0.64</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2"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6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excluded from diluted loss per share due to their anti-dilutive effect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12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1,259</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25"/>
        <w:gridCol w:w="731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8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represent a disaggregation of revenues from contracts with customers for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by type were as follows:</w:t>
      </w:r>
    </w:p>
    <w:p>
      <w:pPr>
        <w:pStyle w:val="TextBody"/>
        <w:bidi w:val="0"/>
        <w:spacing w:before="0" w:after="0"/>
        <w:ind w:left="0" w:right="0" w:hanging="0"/>
        <w:jc w:val="left"/>
        <w:rPr>
          <w:caps w:val="false"/>
          <w:smallCaps w:val="false"/>
        </w:rPr>
      </w:pPr>
      <w:r>
        <w:rPr>
          <w:caps w:val="false"/>
          <w:smallCaps w:val="false"/>
        </w:rPr>
        <w:t> </w:t>
      </w:r>
    </w:p>
    <w:tbl>
      <w:tblPr>
        <w:tblW w:w="9084" w:type="dxa"/>
        <w:jc w:val="left"/>
        <w:tblInd w:w="0" w:type="dxa"/>
        <w:tblLayout w:type="fixed"/>
        <w:tblCellMar>
          <w:top w:w="0" w:type="dxa"/>
          <w:left w:w="0" w:type="dxa"/>
          <w:bottom w:w="0" w:type="dxa"/>
          <w:right w:w="0" w:type="dxa"/>
        </w:tblCellMar>
      </w:tblPr>
      <w:tblGrid>
        <w:gridCol w:w="3995"/>
        <w:gridCol w:w="60"/>
        <w:gridCol w:w="204"/>
        <w:gridCol w:w="966"/>
        <w:gridCol w:w="98"/>
        <w:gridCol w:w="98"/>
        <w:gridCol w:w="204"/>
        <w:gridCol w:w="966"/>
        <w:gridCol w:w="60"/>
        <w:gridCol w:w="60"/>
        <w:gridCol w:w="185"/>
        <w:gridCol w:w="875"/>
        <w:gridCol w:w="89"/>
        <w:gridCol w:w="89"/>
        <w:gridCol w:w="185"/>
        <w:gridCol w:w="875"/>
        <w:gridCol w:w="75"/>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Instruments, equipment, software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20,304</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38,870</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38,043</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4,612</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22,727</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43,482</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by timing of recognition were as follows: </w:t>
      </w:r>
    </w:p>
    <w:p>
      <w:pPr>
        <w:pStyle w:val="TextBody"/>
        <w:bidi w:val="0"/>
        <w:spacing w:before="0" w:after="0"/>
        <w:ind w:left="0" w:right="0" w:hanging="0"/>
        <w:jc w:val="left"/>
        <w:rPr>
          <w:caps w:val="false"/>
          <w:smallCaps w:val="false"/>
        </w:rPr>
      </w:pPr>
      <w:r>
        <w:rPr>
          <w:caps w:val="false"/>
          <w:smallCaps w:val="false"/>
        </w:rPr>
        <w:t> </w:t>
      </w:r>
    </w:p>
    <w:tbl>
      <w:tblPr>
        <w:tblW w:w="9009" w:type="dxa"/>
        <w:jc w:val="left"/>
        <w:tblInd w:w="0" w:type="dxa"/>
        <w:tblLayout w:type="fixed"/>
        <w:tblCellMar>
          <w:top w:w="0" w:type="dxa"/>
          <w:left w:w="0" w:type="dxa"/>
          <w:bottom w:w="0" w:type="dxa"/>
          <w:right w:w="0" w:type="dxa"/>
        </w:tblCellMar>
      </w:tblPr>
      <w:tblGrid>
        <w:gridCol w:w="3920"/>
        <w:gridCol w:w="60"/>
        <w:gridCol w:w="204"/>
        <w:gridCol w:w="966"/>
        <w:gridCol w:w="98"/>
        <w:gridCol w:w="98"/>
        <w:gridCol w:w="204"/>
        <w:gridCol w:w="966"/>
        <w:gridCol w:w="60"/>
        <w:gridCol w:w="60"/>
        <w:gridCol w:w="185"/>
        <w:gridCol w:w="875"/>
        <w:gridCol w:w="89"/>
        <w:gridCol w:w="89"/>
        <w:gridCol w:w="185"/>
        <w:gridCol w:w="875"/>
        <w:gridCol w:w="75"/>
      </w:tblGrid>
      <w:tr>
        <w:trPr/>
        <w:tc>
          <w:tcPr>
            <w:tcW w:w="39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at a point in time</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21,361</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40,796</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40,214</w:t>
            </w:r>
          </w:p>
        </w:tc>
        <w:tc>
          <w:tcPr>
            <w:tcW w:w="75" w:type="dxa"/>
            <w:tcBorders/>
            <w:shd w:fill="CCEEFF" w:val="clear"/>
            <w:vAlign w:val="center"/>
          </w:tcPr>
          <w:p>
            <w:pPr>
              <w:pStyle w:val="TableContents"/>
              <w:bidi w:val="0"/>
              <w:spacing w:before="0" w:after="283"/>
              <w:jc w:val="left"/>
              <w:rPr/>
            </w:pPr>
            <w:r>
              <w:rPr/>
              <w:t> </w:t>
            </w:r>
          </w:p>
        </w:tc>
      </w:tr>
      <w:tr>
        <w:trPr/>
        <w:tc>
          <w:tcPr>
            <w:tcW w:w="39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over time</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1,366</w:t>
            </w:r>
          </w:p>
        </w:tc>
        <w:tc>
          <w:tcPr>
            <w:tcW w:w="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2,686</w:t>
            </w:r>
          </w:p>
        </w:tc>
        <w:tc>
          <w:tcPr>
            <w:tcW w:w="8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22,727</w:t>
            </w:r>
          </w:p>
        </w:tc>
        <w:tc>
          <w:tcPr>
            <w:tcW w:w="9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43,482</w:t>
            </w:r>
          </w:p>
        </w:tc>
        <w:tc>
          <w:tcPr>
            <w:tcW w:w="8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by geographic destination were as follows:</w:t>
      </w:r>
    </w:p>
    <w:p>
      <w:pPr>
        <w:pStyle w:val="TextBody"/>
        <w:bidi w:val="0"/>
        <w:spacing w:before="0" w:after="0"/>
        <w:ind w:left="0" w:right="0" w:hanging="0"/>
        <w:jc w:val="left"/>
        <w:rPr>
          <w:caps w:val="false"/>
          <w:smallCaps w:val="false"/>
        </w:rPr>
      </w:pPr>
      <w:r>
        <w:rPr>
          <w:caps w:val="false"/>
          <w:smallCaps w:val="false"/>
        </w:rPr>
        <w:t> </w:t>
      </w:r>
    </w:p>
    <w:tbl>
      <w:tblPr>
        <w:tblW w:w="7674" w:type="dxa"/>
        <w:jc w:val="left"/>
        <w:tblInd w:w="0" w:type="dxa"/>
        <w:tblLayout w:type="fixed"/>
        <w:tblCellMar>
          <w:top w:w="0" w:type="dxa"/>
          <w:left w:w="0" w:type="dxa"/>
          <w:bottom w:w="0" w:type="dxa"/>
          <w:right w:w="0" w:type="dxa"/>
        </w:tblCellMar>
      </w:tblPr>
      <w:tblGrid>
        <w:gridCol w:w="2585"/>
        <w:gridCol w:w="60"/>
        <w:gridCol w:w="204"/>
        <w:gridCol w:w="966"/>
        <w:gridCol w:w="98"/>
        <w:gridCol w:w="98"/>
        <w:gridCol w:w="204"/>
        <w:gridCol w:w="966"/>
        <w:gridCol w:w="60"/>
        <w:gridCol w:w="60"/>
        <w:gridCol w:w="185"/>
        <w:gridCol w:w="875"/>
        <w:gridCol w:w="89"/>
        <w:gridCol w:w="89"/>
        <w:gridCol w:w="185"/>
        <w:gridCol w:w="875"/>
        <w:gridCol w:w="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ind w:left="0" w:right="0" w:hanging="0"/>
              <w:jc w:val="left"/>
              <w:rPr/>
            </w:pPr>
            <w:r>
              <w:rPr/>
              <w:t> </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9"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10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19,308</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19,483</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 - Other</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8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13,254</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12,618</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3,076</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5,883</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8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w:t>
            </w:r>
          </w:p>
        </w:tc>
        <w:tc>
          <w:tcPr>
            <w:tcW w:w="75"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 Other</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w:t>
            </w:r>
          </w:p>
        </w:tc>
        <w:tc>
          <w:tcPr>
            <w:tcW w:w="9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3,312</w:t>
            </w:r>
          </w:p>
        </w:tc>
        <w:tc>
          <w:tcPr>
            <w:tcW w:w="8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3,687</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22,727</w:t>
            </w:r>
          </w:p>
        </w:tc>
        <w:tc>
          <w:tcPr>
            <w:tcW w:w="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43,482</w:t>
            </w:r>
          </w:p>
        </w:tc>
        <w:tc>
          <w:tcPr>
            <w:tcW w:w="8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details of contract liabilities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8673" w:type="dxa"/>
        <w:jc w:val="left"/>
        <w:tblInd w:w="0" w:type="dxa"/>
        <w:tblLayout w:type="fixed"/>
        <w:tblCellMar>
          <w:top w:w="0" w:type="dxa"/>
          <w:left w:w="0" w:type="dxa"/>
          <w:bottom w:w="0" w:type="dxa"/>
          <w:right w:w="0" w:type="dxa"/>
        </w:tblCellMar>
      </w:tblPr>
      <w:tblGrid>
        <w:gridCol w:w="4505"/>
        <w:gridCol w:w="60"/>
        <w:gridCol w:w="148"/>
        <w:gridCol w:w="576"/>
        <w:gridCol w:w="60"/>
        <w:gridCol w:w="60"/>
        <w:gridCol w:w="240"/>
        <w:gridCol w:w="934"/>
        <w:gridCol w:w="60"/>
        <w:gridCol w:w="60"/>
        <w:gridCol w:w="159"/>
        <w:gridCol w:w="506"/>
        <w:gridCol w:w="80"/>
        <w:gridCol w:w="60"/>
        <w:gridCol w:w="165"/>
        <w:gridCol w:w="800"/>
        <w:gridCol w:w="200"/>
      </w:tblGrid>
      <w:tr>
        <w:trPr/>
        <w:tc>
          <w:tcPr>
            <w:tcW w:w="4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Installation and training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contract liabilities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Changes in the Company’s contract liabilities are primarily due to the timing of receipt of payments under service, maintenance and warranty contracts and lower sales volumes. Additionally, customer advances have decreased due to the recognition of amounts under the Company’s equipment exchange program. During the three months ended June 30, 2026 and 2025, the Company recognized revenues of $1.0 million and $1.1 million from contract liabilities existing at December 31, 2025 and 2024, respectively. During the six months ended June 30, 2026 and 2025, the Company recognized revenue of $2.4 million and $2.8 million from contract liabilities existing at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Company's remaining performance obligations from contracts that are recognized over time as of June 30, 2026:</w:t>
      </w:r>
    </w:p>
    <w:p>
      <w:pPr>
        <w:pStyle w:val="TextBody"/>
        <w:bidi w:val="0"/>
        <w:spacing w:before="0" w:after="0"/>
        <w:ind w:left="0" w:right="0" w:hanging="0"/>
        <w:jc w:val="left"/>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3635"/>
        <w:gridCol w:w="60"/>
        <w:gridCol w:w="125"/>
        <w:gridCol w:w="590"/>
        <w:gridCol w:w="60"/>
        <w:gridCol w:w="60"/>
        <w:gridCol w:w="125"/>
        <w:gridCol w:w="440"/>
        <w:gridCol w:w="60"/>
        <w:gridCol w:w="60"/>
        <w:gridCol w:w="125"/>
        <w:gridCol w:w="440"/>
        <w:gridCol w:w="60"/>
        <w:gridCol w:w="60"/>
        <w:gridCol w:w="125"/>
        <w:gridCol w:w="440"/>
        <w:gridCol w:w="60"/>
        <w:gridCol w:w="60"/>
        <w:gridCol w:w="125"/>
        <w:gridCol w:w="440"/>
        <w:gridCol w:w="60"/>
        <w:gridCol w:w="60"/>
        <w:gridCol w:w="570"/>
        <w:gridCol w:w="365"/>
        <w:gridCol w:w="60"/>
        <w:gridCol w:w="60"/>
        <w:gridCol w:w="125"/>
        <w:gridCol w:w="485"/>
        <w:gridCol w:w="7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240"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Performance Obligations</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2027</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2028</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2029</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tcMar>
              <w:bottom w:w="28" w:type="dxa"/>
            </w:tcMar>
            <w:vAlign w:val="center"/>
          </w:tcPr>
          <w:p>
            <w:pPr>
              <w:pStyle w:val="TableContents"/>
              <w:bidi w:val="0"/>
              <w:spacing w:before="0" w:after="283"/>
              <w:ind w:left="0" w:right="0" w:hanging="0"/>
              <w:jc w:val="center"/>
              <w:rPr>
                <w:rFonts w:ascii="Times New Roman;Times;serif" w:hAnsi="Times New Roman;Times;serif"/>
                <w:b/>
                <w:sz w:val="20"/>
              </w:rPr>
            </w:pPr>
            <w:r>
              <w:rPr>
                <w:rFonts w:ascii="Times New Roman;Times;serif" w:hAnsi="Times New Roman;Times;serif"/>
                <w:b/>
                <w:sz w:val="20"/>
              </w:rPr>
              <w:t>2030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7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remainder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Provision for Expected Credit Losses on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Activity in the provision for expected credit losses on receivables was as follows:</w:t>
      </w:r>
    </w:p>
    <w:p>
      <w:pPr>
        <w:pStyle w:val="TextBody"/>
        <w:bidi w:val="0"/>
        <w:spacing w:before="0" w:after="0"/>
        <w:ind w:left="0" w:right="0" w:hanging="0"/>
        <w:jc w:val="left"/>
        <w:rPr>
          <w:caps w:val="false"/>
          <w:smallCaps w:val="false"/>
        </w:rPr>
      </w:pPr>
      <w:r>
        <w:rPr>
          <w:caps w:val="false"/>
          <w:smallCaps w:val="false"/>
        </w:rPr>
        <w:t> </w:t>
      </w:r>
    </w:p>
    <w:tbl>
      <w:tblPr>
        <w:tblW w:w="5352" w:type="dxa"/>
        <w:jc w:val="left"/>
        <w:tblInd w:w="0" w:type="dxa"/>
        <w:tblLayout w:type="fixed"/>
        <w:tblCellMar>
          <w:top w:w="0" w:type="dxa"/>
          <w:left w:w="0" w:type="dxa"/>
          <w:bottom w:w="0" w:type="dxa"/>
          <w:right w:w="0" w:type="dxa"/>
        </w:tblCellMar>
      </w:tblPr>
      <w:tblGrid>
        <w:gridCol w:w="2900"/>
        <w:gridCol w:w="60"/>
        <w:gridCol w:w="271"/>
        <w:gridCol w:w="726"/>
        <w:gridCol w:w="173"/>
        <w:gridCol w:w="130"/>
        <w:gridCol w:w="271"/>
        <w:gridCol w:w="726"/>
        <w:gridCol w:w="9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3"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7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 and other</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 xml:space="preserve">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customer accounted for more than 10% of revenues for the three and six months ended June 30, 2026 and 2025. At June 30, 2026 and December 31, 2025, no customer accounted for more than 10% of net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Activity in the product warranties accrual was as follows:</w:t>
      </w:r>
    </w:p>
    <w:p>
      <w:pPr>
        <w:pStyle w:val="TextBody"/>
        <w:bidi w:val="0"/>
        <w:spacing w:before="0" w:after="0"/>
        <w:ind w:left="0" w:right="0" w:hanging="0"/>
        <w:jc w:val="left"/>
        <w:rPr>
          <w:caps w:val="false"/>
          <w:smallCaps w:val="false"/>
        </w:rPr>
      </w:pPr>
      <w:r>
        <w:rPr>
          <w:caps w:val="false"/>
          <w:smallCaps w:val="false"/>
        </w:rPr>
        <w:t> </w:t>
      </w:r>
    </w:p>
    <w:tbl>
      <w:tblPr>
        <w:tblW w:w="4857" w:type="dxa"/>
        <w:jc w:val="left"/>
        <w:tblInd w:w="0" w:type="dxa"/>
        <w:tblLayout w:type="fixed"/>
        <w:tblCellMar>
          <w:top w:w="0" w:type="dxa"/>
          <w:left w:w="0" w:type="dxa"/>
          <w:bottom w:w="0" w:type="dxa"/>
          <w:right w:w="0" w:type="dxa"/>
        </w:tblCellMar>
      </w:tblPr>
      <w:tblGrid>
        <w:gridCol w:w="2405"/>
        <w:gridCol w:w="60"/>
        <w:gridCol w:w="271"/>
        <w:gridCol w:w="726"/>
        <w:gridCol w:w="173"/>
        <w:gridCol w:w="130"/>
        <w:gridCol w:w="271"/>
        <w:gridCol w:w="726"/>
        <w:gridCol w:w="95"/>
      </w:tblGrid>
      <w:tr>
        <w:trPr/>
        <w:tc>
          <w:tcPr>
            <w:tcW w:w="24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3" w:type="dxa"/>
            <w:tcBorders>
              <w:bottom w:val="single" w:sz="2" w:space="0" w:color="000000"/>
            </w:tcBorders>
            <w:tcMar>
              <w:bottom w:w="28" w:type="dxa"/>
            </w:tcMar>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ind w:left="0" w:right="0" w:hanging="0"/>
              <w:jc w:val="left"/>
              <w:rPr/>
            </w:pPr>
            <w:r>
              <w:rPr/>
              <w:t> </w:t>
            </w:r>
          </w:p>
        </w:tc>
        <w:tc>
          <w:tcPr>
            <w:tcW w:w="9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173"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2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9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warranties</w:t>
            </w:r>
          </w:p>
        </w:tc>
        <w:tc>
          <w:tcPr>
            <w:tcW w:w="6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173"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9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claims</w:t>
            </w:r>
          </w:p>
        </w:tc>
        <w:tc>
          <w:tcPr>
            <w:tcW w:w="6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0" w:type="dxa"/>
            <w:tcBorders/>
            <w:shd w:fill="CCEEFF" w:val="clear"/>
            <w:vAlign w:val="center"/>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2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170"/>
        <w:gridCol w:w="276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27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and Long-Lived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quarter ended March 31, 2025, the Company determined that a sustained decrease in its stock price that occurred during that quarter indicated that the carrying values of its goodwill and other long-lived assets might not be recoverable. Additional factors that contributed to this conclusion were the Company’s recent operating results, liquidity risk and the macroeconomic conditions then impacting the life sciences industry. Based on this determination, the Company performed an interim quantitative impairment test on its goodwill and other long-lived assets as of March 31, 2025 and, while there was no impairment of its other long-lived assets as of March 31, 2025,  determined that the carrying value of the reporting unit exceeded its fair value by $48.0 million. Accordingly, the Company recorded such amount as a goodwill impairment charge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quarter ended March 31, 2026, the Company’s decision in January 2026 to initiate the Project Viking restructuring plan was determined to be a triggering event indicating that the carrying values of its goodwill and other long-lived assets might not be recoverable. The Company performed a quantitative goodwill impairment test and long-lived asset recoverability assessment as of March 31, 2026 and determined no impairment existed. The Company evaluated events and circumstances through June 30, 2026 and determined no additional triggering events occurred during the three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change in the carrying amount of goodwill for the six months ended June 30, 2026 was as follows:</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3215"/>
        <w:gridCol w:w="60"/>
        <w:gridCol w:w="125"/>
        <w:gridCol w:w="485"/>
        <w:gridCol w:w="80"/>
      </w:tblGrid>
      <w:tr>
        <w:trPr/>
        <w:tc>
          <w:tcPr>
            <w:tcW w:w="3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9,559</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June 30,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Intangible assets, net at June 30, 2026 and December 31,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3185"/>
        <w:gridCol w:w="60"/>
        <w:gridCol w:w="125"/>
        <w:gridCol w:w="590"/>
        <w:gridCol w:w="60"/>
        <w:gridCol w:w="60"/>
        <w:gridCol w:w="177"/>
        <w:gridCol w:w="923"/>
        <w:gridCol w:w="80"/>
        <w:gridCol w:w="60"/>
        <w:gridCol w:w="125"/>
        <w:gridCol w:w="485"/>
        <w:gridCol w:w="60"/>
        <w:gridCol w:w="60"/>
        <w:gridCol w:w="125"/>
        <w:gridCol w:w="590"/>
        <w:gridCol w:w="60"/>
        <w:gridCol w:w="60"/>
        <w:gridCol w:w="177"/>
        <w:gridCol w:w="923"/>
        <w:gridCol w:w="80"/>
        <w:gridCol w:w="60"/>
        <w:gridCol w:w="125"/>
        <w:gridCol w:w="485"/>
        <w:gridCol w:w="6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Amortizable intangible assets: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 and software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patents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amortizable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60,491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(54,483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Intangible asset amortization expense for the three and six months ended June 30, 2026 and 2025 was as follows:</w:t>
      </w:r>
    </w:p>
    <w:p>
      <w:pPr>
        <w:pStyle w:val="TextBody"/>
        <w:bidi w:val="0"/>
        <w:spacing w:before="0" w:after="0"/>
        <w:ind w:left="0" w:right="0" w:hanging="0"/>
        <w:jc w:val="left"/>
        <w:rPr>
          <w:caps w:val="false"/>
          <w:smallCaps w:val="false"/>
        </w:rPr>
      </w:pPr>
      <w:r>
        <w:rPr>
          <w:caps w:val="false"/>
          <w:smallCaps w:val="false"/>
        </w:rPr>
        <w:t> </w:t>
      </w:r>
    </w:p>
    <w:tbl>
      <w:tblPr>
        <w:tblW w:w="8214" w:type="dxa"/>
        <w:jc w:val="left"/>
        <w:tblInd w:w="0" w:type="dxa"/>
        <w:tblLayout w:type="fixed"/>
        <w:tblCellMar>
          <w:top w:w="0" w:type="dxa"/>
          <w:left w:w="0" w:type="dxa"/>
          <w:bottom w:w="0" w:type="dxa"/>
          <w:right w:w="0" w:type="dxa"/>
        </w:tblCellMar>
      </w:tblPr>
      <w:tblGrid>
        <w:gridCol w:w="3140"/>
        <w:gridCol w:w="60"/>
        <w:gridCol w:w="266"/>
        <w:gridCol w:w="715"/>
        <w:gridCol w:w="128"/>
        <w:gridCol w:w="128"/>
        <w:gridCol w:w="266"/>
        <w:gridCol w:w="1035"/>
        <w:gridCol w:w="60"/>
        <w:gridCol w:w="60"/>
        <w:gridCol w:w="214"/>
        <w:gridCol w:w="832"/>
        <w:gridCol w:w="102"/>
        <w:gridCol w:w="102"/>
        <w:gridCol w:w="214"/>
        <w:gridCol w:w="832"/>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8" w:type="dxa"/>
            <w:tcBorders>
              <w:bottom w:val="single" w:sz="2" w:space="0" w:color="000000"/>
            </w:tcBorders>
            <w:tcMar>
              <w:bottom w:w="28" w:type="dxa"/>
            </w:tcMar>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2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26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estimated future amortization expense of amortizable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2015"/>
        <w:gridCol w:w="60"/>
        <w:gridCol w:w="125"/>
        <w:gridCol w:w="485"/>
        <w:gridCol w:w="60"/>
      </w:tblGrid>
      <w:tr>
        <w:trPr/>
        <w:tc>
          <w:tcPr>
            <w:tcW w:w="2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(remainder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1,180</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22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Sheet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tables provide details of selected balance sheet items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3454" w:type="dxa"/>
        <w:jc w:val="left"/>
        <w:tblInd w:w="0" w:type="dxa"/>
        <w:tblLayout w:type="fixed"/>
        <w:tblCellMar>
          <w:top w:w="0" w:type="dxa"/>
          <w:left w:w="0" w:type="dxa"/>
          <w:bottom w:w="0" w:type="dxa"/>
          <w:right w:w="0" w:type="dxa"/>
        </w:tblCellMar>
      </w:tblPr>
      <w:tblGrid>
        <w:gridCol w:w="1325"/>
        <w:gridCol w:w="60"/>
        <w:gridCol w:w="125"/>
        <w:gridCol w:w="590"/>
        <w:gridCol w:w="60"/>
        <w:gridCol w:w="60"/>
        <w:gridCol w:w="204"/>
        <w:gridCol w:w="970"/>
        <w:gridCol w:w="60"/>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5,371</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22,230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719" w:type="dxa"/>
        <w:jc w:val="left"/>
        <w:tblInd w:w="0" w:type="dxa"/>
        <w:tblLayout w:type="fixed"/>
        <w:tblCellMar>
          <w:top w:w="0" w:type="dxa"/>
          <w:left w:w="0" w:type="dxa"/>
          <w:bottom w:w="0" w:type="dxa"/>
          <w:right w:w="0" w:type="dxa"/>
        </w:tblCellMar>
      </w:tblPr>
      <w:tblGrid>
        <w:gridCol w:w="3590"/>
        <w:gridCol w:w="60"/>
        <w:gridCol w:w="125"/>
        <w:gridCol w:w="590"/>
        <w:gridCol w:w="60"/>
        <w:gridCol w:w="60"/>
        <w:gridCol w:w="204"/>
        <w:gridCol w:w="970"/>
        <w:gridCol w:w="60"/>
      </w:tblGrid>
      <w:tr>
        <w:trPr/>
        <w:tc>
          <w:tcPr>
            <w:tcW w:w="359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Current Liabilities: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credits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refunds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Coronavirus Aid, Relief, and Economic Security Act of 2020 (the “CARES Act”) provided an employee retention tax credit (“ERTC”)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(“IAS 20”). Under IAS 20, government grants are recognized when there is reasonable assurance that the grant will be received and that all conditions related to the grant will be met. The Company’s compliance with the program’s qualifications may be subject to audit until May 2029, which is when the statute of limitation expires.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received ERTC refunds of $3.6 million and $3.2 million during fiscal year 2025 and 2024, respectively. Due to the subjectivity of the accounting for the credit, the Company has included the refunds received in other current liabilities in the consolidated balance sheets as of June 30, 2026 and December 31, 2025, subject to a determination that the refunds are reasonably assured to be retained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59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noncancelable operating leases for offices, manufacturing facilities, warehouse space, automobiles and equipment expiring at various dates through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three and six months ended June 30,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6774" w:type="dxa"/>
        <w:jc w:val="left"/>
        <w:tblInd w:w="0" w:type="dxa"/>
        <w:tblLayout w:type="fixed"/>
        <w:tblCellMar>
          <w:top w:w="0" w:type="dxa"/>
          <w:left w:w="0" w:type="dxa"/>
          <w:bottom w:w="0" w:type="dxa"/>
          <w:right w:w="0" w:type="dxa"/>
        </w:tblCellMar>
      </w:tblPr>
      <w:tblGrid>
        <w:gridCol w:w="1700"/>
        <w:gridCol w:w="60"/>
        <w:gridCol w:w="305"/>
        <w:gridCol w:w="818"/>
        <w:gridCol w:w="146"/>
        <w:gridCol w:w="146"/>
        <w:gridCol w:w="305"/>
        <w:gridCol w:w="818"/>
        <w:gridCol w:w="60"/>
        <w:gridCol w:w="60"/>
        <w:gridCol w:w="214"/>
        <w:gridCol w:w="832"/>
        <w:gridCol w:w="102"/>
        <w:gridCol w:w="102"/>
        <w:gridCol w:w="214"/>
        <w:gridCol w:w="832"/>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1,110</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Sublease income</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4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FFFF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Supplemental cash flow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8121" w:type="dxa"/>
        <w:jc w:val="left"/>
        <w:tblInd w:w="0" w:type="dxa"/>
        <w:tblLayout w:type="fixed"/>
        <w:tblCellMar>
          <w:top w:w="0" w:type="dxa"/>
          <w:left w:w="0" w:type="dxa"/>
          <w:bottom w:w="0" w:type="dxa"/>
          <w:right w:w="0" w:type="dxa"/>
        </w:tblCellMar>
      </w:tblPr>
      <w:tblGrid>
        <w:gridCol w:w="5705"/>
        <w:gridCol w:w="60"/>
        <w:gridCol w:w="214"/>
        <w:gridCol w:w="832"/>
        <w:gridCol w:w="102"/>
        <w:gridCol w:w="102"/>
        <w:gridCol w:w="214"/>
        <w:gridCol w:w="832"/>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1,281</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6233" w:type="dxa"/>
        <w:jc w:val="left"/>
        <w:tblInd w:w="0" w:type="dxa"/>
        <w:tblLayout w:type="fixed"/>
        <w:tblCellMar>
          <w:top w:w="0" w:type="dxa"/>
          <w:left w:w="0" w:type="dxa"/>
          <w:bottom w:w="0" w:type="dxa"/>
          <w:right w:w="0" w:type="dxa"/>
        </w:tblCellMar>
      </w:tblPr>
      <w:tblGrid>
        <w:gridCol w:w="3800"/>
        <w:gridCol w:w="60"/>
        <w:gridCol w:w="148"/>
        <w:gridCol w:w="576"/>
        <w:gridCol w:w="185"/>
        <w:gridCol w:w="60"/>
        <w:gridCol w:w="249"/>
        <w:gridCol w:w="970"/>
        <w:gridCol w:w="18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18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5,926</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Future minimum lease payments for operating leases, with initial terms in excess of one year at June 30, 2026, are as follows:</w:t>
      </w:r>
    </w:p>
    <w:p>
      <w:pPr>
        <w:pStyle w:val="TextBody"/>
        <w:bidi w:val="0"/>
        <w:spacing w:before="0" w:after="0"/>
        <w:ind w:left="0" w:right="0" w:firstLine="720"/>
        <w:jc w:val="both"/>
        <w:rPr>
          <w:caps w:val="false"/>
          <w:smallCaps w:val="false"/>
        </w:rPr>
      </w:pPr>
      <w:r>
        <w:rPr>
          <w:caps w:val="false"/>
          <w:smallCaps w:val="false"/>
        </w:rPr>
        <w:t> </w:t>
      </w:r>
    </w:p>
    <w:tbl>
      <w:tblPr>
        <w:tblW w:w="3365" w:type="dxa"/>
        <w:jc w:val="left"/>
        <w:tblInd w:w="0" w:type="dxa"/>
        <w:tblLayout w:type="fixed"/>
        <w:tblCellMar>
          <w:top w:w="0" w:type="dxa"/>
          <w:left w:w="0" w:type="dxa"/>
          <w:bottom w:w="28" w:type="dxa"/>
          <w:right w:w="0" w:type="dxa"/>
        </w:tblCellMar>
      </w:tblPr>
      <w:tblGrid>
        <w:gridCol w:w="2555"/>
        <w:gridCol w:w="60"/>
        <w:gridCol w:w="125"/>
        <w:gridCol w:w="545"/>
        <w:gridCol w:w="80"/>
      </w:tblGrid>
      <w:tr>
        <w:trPr/>
        <w:tc>
          <w:tcPr>
            <w:tcW w:w="25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Ending December 31,</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54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(remainder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2,411</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7,524</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4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and December 31, 2025, the Company’s debt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5183" w:type="dxa"/>
        <w:jc w:val="left"/>
        <w:tblInd w:w="0" w:type="dxa"/>
        <w:tblLayout w:type="fixed"/>
        <w:tblCellMar>
          <w:top w:w="0" w:type="dxa"/>
          <w:left w:w="0" w:type="dxa"/>
          <w:bottom w:w="0" w:type="dxa"/>
          <w:right w:w="0" w:type="dxa"/>
        </w:tblCellMar>
      </w:tblPr>
      <w:tblGrid>
        <w:gridCol w:w="3005"/>
        <w:gridCol w:w="60"/>
        <w:gridCol w:w="126"/>
        <w:gridCol w:w="598"/>
        <w:gridCol w:w="80"/>
        <w:gridCol w:w="60"/>
        <w:gridCol w:w="204"/>
        <w:gridCol w:w="970"/>
        <w:gridCol w:w="8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A loan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 and discount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Exit fee accretion</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9,301</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B loan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 and discount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Exit fee accretion</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20,928</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C Loan</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 and discount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warrants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5,640</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35,870</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previously maintained a Credit Agreement with Citizens Bank, N.A., Wells Fargo Bank, N.A., and First-Citizens Bank &amp; Trust Company, through December 17, 2025 (the “Credit Agreement”). The Credit Agreement originally provided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were secured by substantially all of its assets, including all or a portion of the equity interests in certain of the Company’s domestic and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Credit Agreement included various customary financial covenants and other affirmative and negative covenants binding on the Company. The negative covenants limited the ability of the Company, among other things, to incur debt, permit liens, make investments, sell assets, or pay dividends on its capital stock. The financial covenants included a maximum consolidated net leverage ratio and a minimum consolidated fixed charge coverage ratio. The Credit Agreement also included customary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17, 2025, the Company entered into a Loan and Security Agreement (the “2025 Loan Agreement”) with certain financial institutions party thereto as lenders (the “Lenders”) and BroadOak Income Fund, L.P., as the administrative agent and collateral agent. The 2025 Loan Agreement provides for the following term loans: (i) a term loan in an aggregate principal amount of $10.0 million (the “Term A Loan”), (ii) a term loan in an aggregate principal amount of $22.5 million (the “Term B Loan”) and (iii) a term loan in an aggregate principal amount of $7.5 million (the “Term C Loan” and, together with the Term A Loan and Term B Loan, the “Term Loans”). The Term A Loan and Term B Loan are senior secured obligations maturing on December 31, 2029 (the “Maturity Date”). Commencing December 31, 2027 (the “Amortization Date”), the Company is required to make quarterly principal amortization payments on the Term A Loan and Term B Loan. The Amortization Date and Maturity Date may be extended by one year if the Company achieves a certain adjusted EBITDA milestone. The Term C Loan is a senior secured convertible term loan maturing on the Maturity Date that is convertible, together with accrued and unpaid interest, into shares of common stock of the Company at a conversion price of $10.00 per share (as adjusted to reflect the reverse stock split) from January 2, 2026 until the maturity of the Term Loans. The conversion right may be exercised at the Lenders’ option, or automatically if the share price of the common stock exceeds $15.00 per share for thirty consecutive trading days. The Term C Loan may not be prepaid by the Company prior to maturity, except in the event of a repayment in full of all of the Term Loans or a change of control of the Company, in which case the Lenders may elect whether to convert their Term C Loan into Common Stock or to be repaid in full in cash. The proceeds of the Term Loans were used to repay all obligations under the Credit Facility, to pay transaction fees and expenses and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Loans bear interest at a per annum rate equal to the greater of (i) 12.80% from the date of the 2025 Loan Agreement through the 2025 Loan Agreement’s second anniversary, then 12.50% thereafter and (ii) the prime rate detailed in the 2025 Loan Agreement plus 5.25%. Interest on the Term Loans is payable in cash in arrears on the last calendar day of each month; however, at the Company’s option, interest on the Term C Loan may be payable in kind. If any portion of the Term Loans are prepaid prior to maturity, the Company will be required to pay a prepayment premium in an amount equal to (a) 3.00% of the principal amount of such prepaid Term Loans if such prepayment occurs on or before the first anniversary of the closing of the transaction, (b) 2.00% of the principal amount of such prepaid Term Loans if such prepayment occurs after the first anniversary but on or prior to the second anniversary of the closing of the transaction, (c) 1.00% of the principal amount of such prepaid Term Loans if such prepayment occurs after the second anniversary but on or prior to the third anniversary of the closing of the transaction and (d) 0.00% thereafter. However, no prepayment premium will be payable with respect to any Term A Loan prepaid before March 31, 2027. Additionally, an exit fee of 10.00% will be payable on any Term Loan amounts that are prepaid or repaid, including at maturity, except that no exit fee will be payable with respect to any Term C Loan that convert into common stock. With respect to the principal amount of the Term A Loan and the Term B Loan that are outstanding as of the fifteen month anniversary of the closing date, the exit fee percentage shall be reduced by 1.00% for every $2.0 million of the principal amount of Term A Loan that had been repaid or prepaid prior to the fifteen month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2025 Loan Agreement are guaranteed by certain of the Company’s domestic subsidiaries, and are secured by substantially all of the assets of the Company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2025 Loan Agreement includes customary affirmative, negative, and financial covenants binding on the Company and its subsidiaries, including delivery of financial statements and other reports and maintenance of existence. The negative covenants limit the ability of the Company and its subsidiaries, among other things, to incur debt, incur liens, make investments, sell assets and pay dividends on its capital stock. The financial covenants set forth in the 2025 Loan Agreement include a minimum liquidity covenant, which will apply at all times, and a minimum adjusted EBITDA covenant, which will be tested at the end of each fiscal quarter of the Company. The 2025 Loan Agreement also includes customary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was in compliance with the covenants in the 2025 Loan Agreement requiring minimum liquidity of $3 million at all times and minimum adjusted EBITDA of $6 million, measured on a trailing 12-month basis, at the end of each of the fiscal quarters ended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2025 Loan Agreement, the Company issued detachable warrants to the Lenders and its participants to purchase up to an aggregate 200,000 shares of common stock at an exercise price equal to $5.00 per share. The warrants are exercisable for a seven-year period beginning December 17, 2025. The warrants may also be exercised on a cashless basis under certain circumstances under the 2025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shares of common stock issuable upon the exercise of such warrants and conversion of the Term C Loan are registered for resale under the Securities Act of 1933, as amended, pursuant to a registration statement filed by the Company on January 30, 2026 and declared effective on February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determined that warrants issued in connection with 2025 Loan Agreement met the definition of a freestanding financial instrument and qualified for treatment as permanent equity. Warrants recorded as equity are recorded at the fair market value determined at issuance date and are not remeasured after that. The fair value of these 200,000 warrants was $1.4 million and was estimated using the Black-Scholes valuation model with the following assumptions: fair value of the Company’s common stock at issuance of $6.90 per share; four year expected term; 140.4% volatility; 0% dividend rate; and a risk-free interest rate of 3.6%. The Company allocated the value of warrants between the relative fair value of the notes payable without the warrants, and the warrants themselves at the time of issuance. The allocated portion of the warrants was treated as a debt discount and amortized over the term of the note. The amortization of the debt discount is recognized as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2026, certain lender participants exercised their warrants for cash in full to purchase an aggregate of 30,000 shares of common stock, at an exercise price per share of $5.00, resulting in aggregate gross proceeds to us of approximately $0.15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accretes loan exit fees into interest expense over the contractual terms of the 2025 Loan Agreement, to the extent that such amounts are expected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debt refinancing transaction on December 17, 2025 as described above, the Company paid to the Lenders a customary closing fee of $0.8 million. The Company also incurred certain legal costs and other fees totaling $2.1 million. These fees and costs were deferred on the Company’s balance sheet as a reduction of the carrying value of the Term Loans and will be amortized to interest expense over the contractual terms of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refinancing of the Credit Facility is considered a debt extinguishment and, as such, $0.1 million of net deferred financing costs and fees primarily related to the Credit Facility were expensed in December 2025 and included in Other expense, net in the consolidated statement of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contractual interest expense for the three months ended June 30, 2026 and 2025 was $1.3 million and $0.8 million, respectively and for the six months ended June 30, 2026 and 2025 was $2.6 million and $1.6 million, respectively. The non-cash interest expense for the three months ended June 30, 2026 and 2025 was $0.5 million and $0.2 million, respectively and for the six months ended June 30, 2026 and 2025 was $0.9 million and $0.3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effective interest rate on the Company’s borrowings for the three months ended June 30, 2026 and 2025 was 17.9% and 11.1%, respectively and for the six months ended June 30, 2026 and 2025 was 17.6% and 10.5%, respectively. The weighted average interest rate for December 31, 2025 was 13.7%, net of the effect of the Company’s interest rate swap agreement. The carrying value of the debt approximated fair value because the interest rate under the obligation approximates market rates of interest available to the Company for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170"/>
        <w:gridCol w:w="99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9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February 2023, the Company entered into an interest rate swap contract to improve the predictability of cash flows from interest payments related to its variable, SOFR-based debt which was scheduled to mature on December 22, 2025. This swap contract effectively converted the SOFR-based variable portion of the interest payable under the Credit Agreement into fixed-rate debt at an annual rate of 4.75%.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swap contract was considered an effective cash flow hedge, and as a result, net gains or losses are reported as a component of other comprehensive income (“OCI”) in the consolidated financial statements and are reclassified when the underlying hedged interest impacts earnings. An assessment was performed quarterly to evaluate the ongoing hedge effectiveness. As part of the refinancing on December 17, 2025, the Company terminated the interest rate swap effective December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effect of the cash flow hedge on other comprehensive income (loss) and earnings for the periods presented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1"/>
        <w:gridCol w:w="60"/>
        <w:gridCol w:w="428"/>
        <w:gridCol w:w="271"/>
        <w:gridCol w:w="203"/>
        <w:gridCol w:w="203"/>
        <w:gridCol w:w="425"/>
        <w:gridCol w:w="985"/>
        <w:gridCol w:w="80"/>
        <w:gridCol w:w="60"/>
        <w:gridCol w:w="395"/>
        <w:gridCol w:w="250"/>
        <w:gridCol w:w="188"/>
        <w:gridCol w:w="188"/>
        <w:gridCol w:w="392"/>
        <w:gridCol w:w="909"/>
        <w:gridCol w:w="87"/>
      </w:tblGrid>
      <w:tr>
        <w:trPr/>
        <w:tc>
          <w:tcPr>
            <w:tcW w:w="50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1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2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Derivatives Qualifying as Hedges, net of tax </w:t>
            </w: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03" w:type="dxa"/>
            <w:tcBorders>
              <w:bottom w:val="single" w:sz="2" w:space="0" w:color="000000"/>
            </w:tcBorders>
            <w:tcMar>
              <w:bottom w:w="28" w:type="dxa"/>
            </w:tcMar>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ind w:left="0" w:right="0" w:hanging="0"/>
              <w:jc w:val="left"/>
              <w:rPr/>
            </w:pPr>
            <w:r>
              <w:rPr/>
              <w:t> </w:t>
            </w:r>
          </w:p>
        </w:tc>
        <w:tc>
          <w:tcPr>
            <w:tcW w:w="14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8" w:type="dxa"/>
            <w:tcBorders>
              <w:bottom w:val="single" w:sz="2" w:space="0" w:color="000000"/>
            </w:tcBorders>
            <w:tcMar>
              <w:bottom w:w="28" w:type="dxa"/>
            </w:tcMar>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ind w:left="0" w:right="0" w:hanging="0"/>
              <w:jc w:val="left"/>
              <w:rPr/>
            </w:pPr>
            <w:r>
              <w:rPr/>
              <w:t> </w:t>
            </w:r>
          </w:p>
        </w:tc>
        <w:tc>
          <w:tcPr>
            <w:tcW w:w="13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08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recognized in OCI on derivatives (effective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4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3"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39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7" w:type="dxa"/>
            <w:tcBorders/>
            <w:shd w:fill="CCEEFF" w:val="clear"/>
            <w:vAlign w:val="center"/>
          </w:tcPr>
          <w:p>
            <w:pPr>
              <w:pStyle w:val="TableContents"/>
              <w:bidi w:val="0"/>
              <w:spacing w:before="0" w:after="283"/>
              <w:jc w:val="left"/>
              <w:rPr/>
            </w:pPr>
            <w:r>
              <w:rPr/>
              <w:t> </w:t>
            </w:r>
          </w:p>
        </w:tc>
      </w:tr>
      <w:tr>
        <w:trPr/>
        <w:tc>
          <w:tcPr>
            <w:tcW w:w="508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AOCI to interest expense</w:t>
            </w:r>
          </w:p>
        </w:tc>
        <w:tc>
          <w:tcPr>
            <w:tcW w:w="60"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ind w:left="0" w:right="0" w:hanging="0"/>
              <w:jc w:val="left"/>
              <w:rPr/>
            </w:pPr>
            <w:r>
              <w:rPr/>
              <w:t> </w:t>
            </w:r>
          </w:p>
        </w:tc>
        <w:tc>
          <w:tcPr>
            <w:tcW w:w="2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3"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ind w:left="0" w:right="0" w:hanging="0"/>
              <w:jc w:val="left"/>
              <w:rPr/>
            </w:pPr>
            <w:r>
              <w:rPr/>
              <w:t> </w:t>
            </w:r>
          </w:p>
        </w:tc>
        <w:tc>
          <w:tcPr>
            <w:tcW w:w="2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8"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170"/>
        <w:gridCol w:w="231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231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three and six months ended June 30, 2026 and 2025 was allocated as follows:</w:t>
      </w:r>
    </w:p>
    <w:p>
      <w:pPr>
        <w:pStyle w:val="TextBody"/>
        <w:bidi w:val="0"/>
        <w:spacing w:before="0" w:after="0"/>
        <w:ind w:left="0" w:right="0" w:hanging="0"/>
        <w:jc w:val="left"/>
        <w:rPr>
          <w:caps w:val="false"/>
          <w:smallCaps w:val="false"/>
        </w:rPr>
      </w:pPr>
      <w:r>
        <w:rPr>
          <w:caps w:val="false"/>
          <w:smallCaps w:val="false"/>
        </w:rPr>
        <w:t> </w:t>
      </w:r>
    </w:p>
    <w:tbl>
      <w:tblPr>
        <w:tblW w:w="8064" w:type="dxa"/>
        <w:jc w:val="left"/>
        <w:tblInd w:w="0" w:type="dxa"/>
        <w:tblLayout w:type="fixed"/>
        <w:tblCellMar>
          <w:top w:w="0" w:type="dxa"/>
          <w:left w:w="0" w:type="dxa"/>
          <w:bottom w:w="0" w:type="dxa"/>
          <w:right w:w="0" w:type="dxa"/>
        </w:tblCellMar>
      </w:tblPr>
      <w:tblGrid>
        <w:gridCol w:w="2990"/>
        <w:gridCol w:w="60"/>
        <w:gridCol w:w="305"/>
        <w:gridCol w:w="818"/>
        <w:gridCol w:w="146"/>
        <w:gridCol w:w="146"/>
        <w:gridCol w:w="305"/>
        <w:gridCol w:w="818"/>
        <w:gridCol w:w="60"/>
        <w:gridCol w:w="60"/>
        <w:gridCol w:w="241"/>
        <w:gridCol w:w="647"/>
        <w:gridCol w:w="115"/>
        <w:gridCol w:w="115"/>
        <w:gridCol w:w="241"/>
        <w:gridCol w:w="937"/>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ind w:left="0" w:right="0" w:hanging="0"/>
              <w:jc w:val="left"/>
              <w:rPr/>
            </w:pPr>
            <w:r>
              <w:rPr/>
              <w:t> </w:t>
            </w:r>
          </w:p>
        </w:tc>
        <w:tc>
          <w:tcPr>
            <w:tcW w:w="112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ind w:left="0" w:right="0" w:hanging="0"/>
              <w:jc w:val="left"/>
              <w:rPr/>
            </w:pPr>
            <w:r>
              <w:rPr/>
              <w:t> </w:t>
            </w:r>
          </w:p>
        </w:tc>
        <w:tc>
          <w:tcPr>
            <w:tcW w:w="11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115"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6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w:t>
            </w:r>
          </w:p>
        </w:tc>
        <w:tc>
          <w:tcPr>
            <w:tcW w:w="11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1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of June 30, 2026, the total compensation cost related to unvested awards not yet recognized was $2.3million and the weighted average period over which it is expected to be recognized is approximately 1.9 years. The Company did not capitalize any stock-based compensation during these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Restricted stock unit (“RSU”) activity for the six months ended June 30, 2026 was as follows:</w:t>
      </w:r>
    </w:p>
    <w:p>
      <w:pPr>
        <w:pStyle w:val="TextBody"/>
        <w:bidi w:val="0"/>
        <w:spacing w:before="0" w:after="0"/>
        <w:ind w:left="0" w:right="0" w:hanging="0"/>
        <w:jc w:val="left"/>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2495"/>
        <w:gridCol w:w="60"/>
        <w:gridCol w:w="82"/>
        <w:gridCol w:w="958"/>
        <w:gridCol w:w="80"/>
        <w:gridCol w:w="60"/>
        <w:gridCol w:w="197"/>
        <w:gridCol w:w="767"/>
        <w:gridCol w:w="60"/>
        <w:gridCol w:w="60"/>
        <w:gridCol w:w="88"/>
        <w:gridCol w:w="876"/>
        <w:gridCol w:w="60"/>
        <w:gridCol w:w="60"/>
        <w:gridCol w:w="238"/>
        <w:gridCol w:w="726"/>
        <w:gridCol w:w="60"/>
        <w:gridCol w:w="60"/>
        <w:gridCol w:w="109"/>
        <w:gridCol w:w="1080"/>
        <w:gridCol w:w="80"/>
        <w:gridCol w:w="60"/>
        <w:gridCol w:w="197"/>
        <w:gridCol w:w="767"/>
        <w:gridCol w:w="6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Time-Based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(21,360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389,495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Retroactively presented to reflect 1-for-10 reverse stock split effective on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aggregate fair value of RSUs that vested during the six months ended June 30, 2026, and 2025 was $0.4 million and $0.2 million, respectively. Unvested shares related to market-based and performance-based vesting conditions are reflected at 100% of their target vesting amount in the table above. Actual vesting could range from zero to 150% of their target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Performance-based RSU awards are contingent on the achievement of certain performance metrics. Compensation cost associated with performance-based RSUs is recognized based on the estimated number of shares that the Company ultimately expects will be earned. If the estimated number of shares to be earned is revised in the future, then stock-based compensation expense will be adjusted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Stock option activity for the six months ended June 30, 2026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9"/>
        <w:gridCol w:w="60"/>
        <w:gridCol w:w="95"/>
        <w:gridCol w:w="952"/>
        <w:gridCol w:w="80"/>
        <w:gridCol w:w="60"/>
        <w:gridCol w:w="425"/>
        <w:gridCol w:w="1656"/>
        <w:gridCol w:w="60"/>
        <w:gridCol w:w="60"/>
        <w:gridCol w:w="457"/>
        <w:gridCol w:w="2101"/>
        <w:gridCol w:w="60"/>
        <w:gridCol w:w="60"/>
        <w:gridCol w:w="1118"/>
        <w:gridCol w:w="718"/>
        <w:gridCol w:w="64"/>
      </w:tblGrid>
      <w:tr>
        <w:trPr/>
        <w:tc>
          <w:tcPr>
            <w:tcW w:w="2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Remaining Contractual Term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Intrinsic Value (in thousands)</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2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21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1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1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June 30, 2026</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Retroactively presented to reflect 1-for-10 reverse stock split effective on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is no aggregate intrinsic value of stock options at June 30, 2026 because the Company’s closing stock price of $6.15 was below the exercise price of the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10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Income tax expense (benefit) was $0.01 million and $0.03 million for the three months ended June 30, 2026 and 2025, respectively, and was $0.1 million and $(0.4) million for the six months ended June 30, 2026 and 2025, respectively. The Company’s effective tax rate of (0.4)% and (2.1)% for the three and six months ended June 30, 2026, differed from the U.S statutory rate primarily due to a benefit for reserves related to uncertain tax positions, partially offset by changes in tax accruals and reserves related to the prior year’s tax matters. The Company’s effective tax rate of 1.2% and 0.8% for the three and six months ended June 30, 2025, was lower than the U.S statutory rate due to the tax effect of goodwill impairment. The effective tax rate for both periods was also impacted by changes in valuation allowances associated with the Company’s assessment of the likelihood of the recoverability of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34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Commitments and 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2026, the Company received notification from a third-party alleging a potential claim for breach of contract. The Company does not concede the validity of any allegations and is vigorously defending the matter. While the outcome is uncertain, it is reasonably possible a loss could be incurred. Management estimates the range of potential loss to be between $0.1 million and $0.8 million. The Company does not expect that this matter will have a material adverse impact on its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the Company has entered into indemnification agreements with its directors and officers. It is not possible to determine the maximum potential liability amount under these indemnification agreements due to the limited history of prior indemnification claims. The Company has not recorded any liability for costs related to contingent indemnification obligations as of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12.</w:t>
            </w:r>
          </w:p>
        </w:tc>
        <w:tc>
          <w:tcPr>
            <w:tcW w:w="16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an ongoing basis, the Company reviews the global economy, the healthcare industry, and the markets in which it competes to identify operational efficiencies and align its cost base and infrastructure with customer needs and its strategic plans. In order to realize these goals, the Company undertakes activities from time to time to optimize its 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2026, the Company announced a comprehensive plan, referred to as Project Viking, for the strategic consolidation of its manufacturing operations to improve efficiency and support long-term growth. The Company is expected to close its manufacturing facility in Holliston, MA and transition U.S. production to its manufacturing hub in Minneapolis, MN. Certain operations will also be relocated to facilities in Germany, Sweden, and the UK, intended to align specific product lines with their designated center of excellence and most strategically advantageous logistical location. The Company expects the initiative to deliver approximately $3 million in cost savings in 2027, and approximately $4 million in annual cost savings beginning in 2028, while improving throughput and execution. The Company expects to incur pre-tax restructuring charges related to Project Viking in the range of approximately $3.6 to $4.5 million, including non-cash asset write-off and/or accelerated depreciation charges in the range of approximately $0.6 to $0.7 million, primarily related to the exit of production activities and manufacturing operations at the Holliston, MA site. These amounts are estimates and are subject to future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and 2025, the Company incurred restructuring expenses of $0.3 million and $0.1 million, respectively and for the six months ended June 30, 2026 and 2025 incurred $0.6 million and $0.1 million, respectively. These costs primarily consisted of retention and severance incurred in connection with headcount reductions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severance and other costs detailed above have been included as a component of other operating expenses, and all inventory-related charges are included in cost of revenues. The changes in the accrued liabilities for restructuring and other charges for the six months ended June 30, 2026 were as follows:</w:t>
      </w:r>
    </w:p>
    <w:p>
      <w:pPr>
        <w:pStyle w:val="TextBody"/>
        <w:bidi w:val="0"/>
        <w:spacing w:before="0" w:after="0"/>
        <w:ind w:left="0" w:right="0" w:hanging="0"/>
        <w:jc w:val="left"/>
        <w:rPr>
          <w:caps w:val="false"/>
          <w:smallCaps w:val="false"/>
        </w:rPr>
      </w:pPr>
      <w:r>
        <w:rPr>
          <w:caps w:val="false"/>
          <w:smallCaps w:val="false"/>
        </w:rPr>
        <w:t> </w:t>
      </w:r>
    </w:p>
    <w:tbl>
      <w:tblPr>
        <w:tblW w:w="4877" w:type="dxa"/>
        <w:jc w:val="left"/>
        <w:tblInd w:w="0" w:type="dxa"/>
        <w:tblLayout w:type="fixed"/>
        <w:tblCellMar>
          <w:top w:w="0" w:type="dxa"/>
          <w:left w:w="0" w:type="dxa"/>
          <w:bottom w:w="28" w:type="dxa"/>
          <w:right w:w="0" w:type="dxa"/>
        </w:tblCellMar>
      </w:tblPr>
      <w:tblGrid>
        <w:gridCol w:w="2495"/>
        <w:gridCol w:w="60"/>
        <w:gridCol w:w="237"/>
        <w:gridCol w:w="637"/>
        <w:gridCol w:w="80"/>
        <w:gridCol w:w="60"/>
        <w:gridCol w:w="134"/>
        <w:gridCol w:w="425"/>
        <w:gridCol w:w="80"/>
        <w:gridCol w:w="60"/>
        <w:gridCol w:w="127"/>
        <w:gridCol w:w="402"/>
        <w:gridCol w:w="80"/>
      </w:tblGrid>
      <w:tr>
        <w:trPr/>
        <w:tc>
          <w:tcPr>
            <w:tcW w:w="24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Retention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3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ind w:left="0" w:right="0" w:hanging="0"/>
              <w:jc w:val="left"/>
              <w:rPr/>
            </w:pPr>
            <w:r>
              <w:rPr/>
              <w:t> </w:t>
            </w:r>
          </w:p>
        </w:tc>
        <w:tc>
          <w:tcPr>
            <w:tcW w:w="6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 w:type="dxa"/>
            <w:tcBorders/>
            <w:shd w:fill="FFFFFF" w:val="clear"/>
            <w:tcMar>
              <w:bottom w:w="0" w:type="dxa"/>
            </w:tcMar>
            <w:vAlign w:val="center"/>
          </w:tcPr>
          <w:p>
            <w:pPr>
              <w:pStyle w:val="TableContents"/>
              <w:bidi w:val="0"/>
              <w:spacing w:before="0" w:after="283"/>
              <w:ind w:left="0" w:right="0" w:hanging="0"/>
              <w:jc w:val="left"/>
              <w:rPr/>
            </w:pPr>
            <w:r>
              <w:rPr/>
              <w:t> </w:t>
            </w:r>
          </w:p>
        </w:tc>
        <w:tc>
          <w:tcPr>
            <w:tcW w:w="42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7" w:type="dxa"/>
            <w:tcBorders/>
            <w:shd w:fill="FFFFFF" w:val="clear"/>
            <w:tcMar>
              <w:bottom w:w="0" w:type="dxa"/>
            </w:tcMar>
            <w:vAlign w:val="center"/>
          </w:tcPr>
          <w:p>
            <w:pPr>
              <w:pStyle w:val="TableContents"/>
              <w:bidi w:val="0"/>
              <w:spacing w:before="0" w:after="283"/>
              <w:ind w:left="0" w:right="0" w:hanging="0"/>
              <w:jc w:val="left"/>
              <w:rPr/>
            </w:pPr>
            <w:r>
              <w:rPr/>
              <w:t> </w:t>
            </w:r>
          </w:p>
        </w:tc>
        <w:tc>
          <w:tcPr>
            <w:tcW w:w="40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2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402"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June 30,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2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2"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13.</w:t>
            </w:r>
          </w:p>
        </w:tc>
        <w:tc>
          <w:tcPr>
            <w:tcW w:w="182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conducts business as a single operating segment, which is based upon the Company’s organizational and management structure, as well as information used by the chief operating decision maker (“CODM”) to allocate resources and other factors. 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pStyle w:val="TextBody"/>
        <w:bidi w:val="0"/>
        <w:spacing w:before="0" w:after="0"/>
        <w:ind w:left="0" w:right="0" w:hanging="0"/>
        <w:jc w:val="left"/>
        <w:rPr>
          <w:caps w:val="false"/>
          <w:smallCaps w:val="false"/>
        </w:rPr>
      </w:pPr>
      <w:r>
        <w:rPr>
          <w:caps w:val="false"/>
          <w:smallCaps w:val="false"/>
        </w:rPr>
        <w:t> </w:t>
      </w:r>
    </w:p>
    <w:tbl>
      <w:tblPr>
        <w:tblW w:w="8420" w:type="dxa"/>
        <w:jc w:val="left"/>
        <w:tblInd w:w="0" w:type="dxa"/>
        <w:tblLayout w:type="fixed"/>
        <w:tblCellMar>
          <w:top w:w="0" w:type="dxa"/>
          <w:left w:w="0" w:type="dxa"/>
          <w:bottom w:w="0" w:type="dxa"/>
          <w:right w:w="0" w:type="dxa"/>
        </w:tblCellMar>
      </w:tblPr>
      <w:tblGrid>
        <w:gridCol w:w="3260"/>
        <w:gridCol w:w="60"/>
        <w:gridCol w:w="202"/>
        <w:gridCol w:w="954"/>
        <w:gridCol w:w="129"/>
        <w:gridCol w:w="97"/>
        <w:gridCol w:w="202"/>
        <w:gridCol w:w="954"/>
        <w:gridCol w:w="80"/>
        <w:gridCol w:w="60"/>
        <w:gridCol w:w="179"/>
        <w:gridCol w:w="848"/>
        <w:gridCol w:w="115"/>
        <w:gridCol w:w="86"/>
        <w:gridCol w:w="179"/>
        <w:gridCol w:w="935"/>
        <w:gridCol w:w="8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9" w:type="dxa"/>
            <w:tcBorders>
              <w:bottom w:val="single" w:sz="2" w:space="0" w:color="000000"/>
            </w:tcBorders>
            <w:tcMar>
              <w:bottom w:w="28" w:type="dxa"/>
            </w:tcMar>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ind w:left="0" w:right="0" w:hanging="0"/>
              <w:jc w:val="left"/>
              <w:rPr/>
            </w:pPr>
            <w:r>
              <w:rPr/>
              <w:t> </w:t>
            </w:r>
          </w:p>
        </w:tc>
        <w:tc>
          <w:tcPr>
            <w:tcW w:w="115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5" w:type="dxa"/>
            <w:tcBorders>
              <w:bottom w:val="single" w:sz="2" w:space="0" w:color="000000"/>
            </w:tcBorders>
            <w:tcMar>
              <w:bottom w:w="28" w:type="dxa"/>
            </w:tcMar>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54"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848"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22,727</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7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848"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10,082</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18,587</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18,446</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 (1)</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10,615</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9,286</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(1)</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8,922</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8,848</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 (1)</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4,680</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4,322</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29"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9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115"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9"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9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15"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expenses (2)</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w:t>
            </w:r>
          </w:p>
        </w:tc>
        <w:tc>
          <w:tcPr>
            <w:tcW w:w="1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1,720</w:t>
            </w:r>
          </w:p>
        </w:tc>
        <w:tc>
          <w:tcPr>
            <w:tcW w:w="11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(2,910</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p>
        </w:tc>
        <w:tc>
          <w:tcPr>
            <w:tcW w:w="11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ind w:left="0" w:right="0" w:hanging="0"/>
              <w:jc w:val="left"/>
              <w:rPr/>
            </w:pPr>
            <w:r>
              <w:rPr/>
              <w:t> </w:t>
            </w:r>
          </w:p>
        </w:tc>
        <w:tc>
          <w:tcPr>
            <w:tcW w:w="1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245"/>
        <w:gridCol w:w="366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3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Excludes stock-based compensation expense</w:t>
            </w:r>
          </w:p>
        </w:tc>
      </w:tr>
    </w:tbl>
    <w:tbl>
      <w:tblPr>
        <w:tblW w:w="6910" w:type="dxa"/>
        <w:jc w:val="left"/>
        <w:tblInd w:w="0" w:type="dxa"/>
        <w:tblLayout w:type="fixed"/>
        <w:tblCellMar>
          <w:top w:w="0" w:type="dxa"/>
          <w:left w:w="0" w:type="dxa"/>
          <w:bottom w:w="0" w:type="dxa"/>
          <w:right w:w="0" w:type="dxa"/>
        </w:tblCellMar>
      </w:tblPr>
      <w:tblGrid>
        <w:gridCol w:w="60"/>
        <w:gridCol w:w="245"/>
        <w:gridCol w:w="66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6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stock-based compensation, other operating expenses and other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855" w:type="dxa"/>
        <w:jc w:val="left"/>
        <w:tblInd w:w="0" w:type="dxa"/>
        <w:tblLayout w:type="fixed"/>
        <w:tblCellMar>
          <w:top w:w="0" w:type="dxa"/>
          <w:left w:w="0" w:type="dxa"/>
          <w:bottom w:w="0" w:type="dxa"/>
          <w:right w:w="0" w:type="dxa"/>
        </w:tblCellMar>
      </w:tblPr>
      <w:tblGrid>
        <w:gridCol w:w="275"/>
        <w:gridCol w:w="1580"/>
      </w:tblGrid>
      <w:tr>
        <w:trPr/>
        <w:tc>
          <w:tcPr>
            <w:tcW w:w="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14.</w:t>
            </w:r>
          </w:p>
        </w:tc>
        <w:tc>
          <w:tcPr>
            <w:tcW w:w="158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Subsequent Events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July 27, 2026, the Company entered into a settlement agreement with two counterparties relating to professional liability claims arising from a lawsuit that was settled in April 2022. Under the agreement, the Company received $0.5 million as a settlement and recorded $0.2 million in fees regarding these claims.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8125" w:type="dxa"/>
        <w:jc w:val="left"/>
        <w:tblInd w:w="0" w:type="dxa"/>
        <w:tblLayout w:type="fixed"/>
        <w:tblCellMar>
          <w:top w:w="0" w:type="dxa"/>
          <w:left w:w="0" w:type="dxa"/>
          <w:bottom w:w="0" w:type="dxa"/>
          <w:right w:w="0" w:type="dxa"/>
        </w:tblCellMar>
      </w:tblPr>
      <w:tblGrid>
        <w:gridCol w:w="605"/>
        <w:gridCol w:w="75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7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Management</w:t>
            </w:r>
            <w:r>
              <w:rPr>
                <w:rFonts w:ascii="Times New Roman;Times;serif" w:hAnsi="Times New Roman;Times;serif"/>
                <w:sz w:val="20"/>
              </w:rPr>
              <w:t>’</w:t>
            </w:r>
            <w:r>
              <w:rPr>
                <w:rFonts w:ascii="Times New Roman;Times;serif" w:hAnsi="Times New Roman;Times;serif"/>
                <w:b/>
                <w:sz w:val="20"/>
              </w:rPr>
              <w:t>s Discussion and Analysis of Financial Condition and Results of Operations.</w:t>
            </w:r>
            <w:bookmarkStart w:id="11" w:name="p1i2"/>
            <w:bookmarkEnd w:id="11"/>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The forward-looking statements are principally, but not exclusively, contained in </w:t>
      </w:r>
      <w:r>
        <w:rPr>
          <w:rFonts w:ascii="Times New Roman" w:hAnsi="Times New Roman"/>
          <w:caps w:val="false"/>
          <w:smallCaps w:val="false"/>
          <w:sz w:val="20"/>
        </w:rPr>
        <w:t>“</w:t>
      </w:r>
      <w:r>
        <w:rPr>
          <w:rFonts w:ascii="Times New Roman" w:hAnsi="Times New Roman"/>
          <w:i/>
          <w:caps w:val="false"/>
          <w:smallCaps w:val="false"/>
          <w:sz w:val="20"/>
        </w:rPr>
        <w:t>Item 2: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hAnsi="Times New Roman"/>
          <w:caps w:val="false"/>
          <w:smallCaps w:val="false"/>
          <w:sz w:val="20"/>
        </w:rPr>
        <w:t>’</w:t>
      </w:r>
      <w:r>
        <w:rPr>
          <w:rFonts w:ascii="Times New Roman" w:hAnsi="Times New Roman"/>
          <w:i/>
          <w:caps w:val="false"/>
          <w:smallCaps w:val="false"/>
          <w:sz w:val="20"/>
        </w:rPr>
        <w:t xml:space="preserve">s confidence or expectations, and our plans, objectives, expectations, and intentions that are not historical facts. In some cases, you can identify forward-looking statements by terms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aim,</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is likely,</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forecasts,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think,</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objectives,</w:t>
      </w:r>
      <w:r>
        <w:rPr>
          <w:rFonts w:ascii="Times New Roman" w:hAnsi="Times New Roman"/>
          <w:caps w:val="false"/>
          <w:smallCaps w:val="false"/>
          <w:sz w:val="20"/>
        </w:rPr>
        <w:t>” “</w:t>
      </w:r>
      <w:r>
        <w:rPr>
          <w:rFonts w:ascii="Times New Roman" w:hAnsi="Times New Roman"/>
          <w:i/>
          <w:caps w:val="false"/>
          <w:smallCaps w:val="false"/>
          <w:sz w:val="20"/>
        </w:rPr>
        <w:t>optimistic,</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goals,</w:t>
      </w:r>
      <w:r>
        <w:rPr>
          <w:rFonts w:ascii="Times New Roman" w:hAnsi="Times New Roman"/>
          <w:caps w:val="false"/>
          <w:smallCaps w:val="false"/>
          <w:sz w:val="20"/>
        </w:rPr>
        <w:t>” “</w:t>
      </w:r>
      <w:r>
        <w:rPr>
          <w:rFonts w:ascii="Times New Roman" w:hAnsi="Times New Roman"/>
          <w:i/>
          <w:caps w:val="false"/>
          <w:smallCaps w:val="false"/>
          <w:sz w:val="20"/>
        </w:rPr>
        <w:t>sees,</w:t>
      </w:r>
      <w:r>
        <w:rPr>
          <w:rFonts w:ascii="Times New Roman" w:hAnsi="Times New Roman"/>
          <w:caps w:val="false"/>
          <w:smallCaps w:val="false"/>
          <w:sz w:val="20"/>
        </w:rPr>
        <w:t>” “</w:t>
      </w:r>
      <w:r>
        <w:rPr>
          <w:rFonts w:ascii="Times New Roman" w:hAnsi="Times New Roman"/>
          <w:i/>
          <w:caps w:val="false"/>
          <w:smallCaps w:val="false"/>
          <w:sz w:val="20"/>
        </w:rPr>
        <w:t>new,</w:t>
      </w:r>
      <w:r>
        <w:rPr>
          <w:rFonts w:ascii="Times New Roman" w:hAnsi="Times New Roman"/>
          <w:caps w:val="false"/>
          <w:smallCaps w:val="false"/>
          <w:sz w:val="20"/>
        </w:rPr>
        <w:t>” “</w:t>
      </w:r>
      <w:r>
        <w:rPr>
          <w:rFonts w:ascii="Times New Roman" w:hAnsi="Times New Roman"/>
          <w:i/>
          <w:caps w:val="false"/>
          <w:smallCaps w:val="false"/>
          <w:sz w:val="20"/>
        </w:rPr>
        <w:t>guidance,</w:t>
      </w:r>
      <w:r>
        <w:rPr>
          <w:rFonts w:ascii="Times New Roman" w:hAnsi="Times New Roman"/>
          <w:caps w:val="false"/>
          <w:smallCaps w:val="false"/>
          <w:sz w:val="20"/>
        </w:rPr>
        <w:t>” “</w:t>
      </w:r>
      <w:r>
        <w:rPr>
          <w:rFonts w:ascii="Times New Roman" w:hAnsi="Times New Roman"/>
          <w:i/>
          <w:caps w:val="false"/>
          <w:smallCaps w:val="false"/>
          <w:sz w:val="20"/>
        </w:rPr>
        <w:t>future,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drive,</w:t>
      </w:r>
      <w:r>
        <w:rPr>
          <w:rFonts w:ascii="Times New Roman" w:hAnsi="Times New Roman"/>
          <w:caps w:val="false"/>
          <w:smallCaps w:val="false"/>
          <w:sz w:val="20"/>
        </w:rPr>
        <w:t>” “</w:t>
      </w:r>
      <w:r>
        <w:rPr>
          <w:rFonts w:ascii="Times New Roman" w:hAnsi="Times New Roman"/>
          <w:i/>
          <w:caps w:val="false"/>
          <w:smallCaps w:val="false"/>
          <w:sz w:val="20"/>
        </w:rPr>
        <w:t>growth,</w:t>
      </w:r>
      <w:r>
        <w:rPr>
          <w:rFonts w:ascii="Times New Roman" w:hAnsi="Times New Roman"/>
          <w:caps w:val="false"/>
          <w:smallCaps w:val="false"/>
          <w:sz w:val="20"/>
        </w:rPr>
        <w:t>” “</w:t>
      </w:r>
      <w:r>
        <w:rPr>
          <w:rFonts w:ascii="Times New Roman" w:hAnsi="Times New Roman"/>
          <w:i/>
          <w:caps w:val="false"/>
          <w:smallCaps w:val="false"/>
          <w:sz w:val="20"/>
        </w:rPr>
        <w:t>long-term,</w:t>
      </w:r>
      <w:r>
        <w:rPr>
          <w:rFonts w:ascii="Times New Roman" w:hAnsi="Times New Roman"/>
          <w:caps w:val="false"/>
          <w:smallCaps w:val="false"/>
          <w:sz w:val="20"/>
        </w:rPr>
        <w:t>” “</w:t>
      </w:r>
      <w:r>
        <w:rPr>
          <w:rFonts w:ascii="Times New Roman" w:hAnsi="Times New Roman"/>
          <w:i/>
          <w:caps w:val="false"/>
          <w:smallCaps w:val="false"/>
          <w:sz w:val="20"/>
        </w:rPr>
        <w:t>develop,</w:t>
      </w:r>
      <w:r>
        <w:rPr>
          <w:rFonts w:ascii="Times New Roman" w:hAnsi="Times New Roman"/>
          <w:caps w:val="false"/>
          <w:smallCaps w:val="false"/>
          <w:sz w:val="20"/>
        </w:rPr>
        <w:t>” “</w:t>
      </w:r>
      <w:r>
        <w:rPr>
          <w:rFonts w:ascii="Times New Roman" w:hAnsi="Times New Roman"/>
          <w:i/>
          <w:caps w:val="false"/>
          <w:smallCaps w:val="false"/>
          <w:sz w:val="20"/>
        </w:rPr>
        <w:t>possible,</w:t>
      </w:r>
      <w:r>
        <w:rPr>
          <w:rFonts w:ascii="Times New Roman" w:hAnsi="Times New Roman"/>
          <w:caps w:val="false"/>
          <w:smallCaps w:val="false"/>
          <w:sz w:val="20"/>
        </w:rPr>
        <w:t>” “</w:t>
      </w:r>
      <w:r>
        <w:rPr>
          <w:rFonts w:ascii="Times New Roman" w:hAnsi="Times New Roman"/>
          <w:i/>
          <w:caps w:val="false"/>
          <w:smallCaps w:val="false"/>
          <w:sz w:val="20"/>
        </w:rPr>
        <w:t>emerging,</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w:t>
      </w:r>
      <w:r>
        <w:rPr>
          <w:rFonts w:ascii="Times New Roman" w:hAnsi="Times New Roman"/>
          <w:i/>
          <w:caps w:val="false"/>
          <w:smallCaps w:val="false"/>
          <w:sz w:val="20"/>
        </w:rPr>
        <w:t>pursue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2025, our Quarterly Report on Form 10-Q for the quarter ended March 31, 2026,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business is affected by global and regional economic trends and uncertainties. Our revenue has been and may continue to be negatively affected by our customers forgoing or delaying purchases of our products and services as a result of ongoing uncertainty with respect to the level and timing of funding from the U.S. National Institutes of Health (the “NIH”) or similar government sources. Our business has also been negatively affected by the imposition of increased tariffs on shipments of products between the United States and other countries, and in particular between the United States and China. Our revenue has been and may continue to be negatively affected by greater restrictions and economic disincentives on international trade, including these tariffs. Products and services that we obtain from overseas sources have been and may continue to be affected by these tariffs, resulting in increased costs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these trends described above are prolonged or are more severe than anticipated, our business, results of operations, and cash flow may be materially and adversely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the life sciences industry accelerates toward New Approach Methodologies (“NAMs”), Harvard Bioscience expects to evolve from a traditional tools provider into a leading enabler of Translational Medicine – positioned to bridge the gap between laboratory research and human clinical success. Building on its gold-standard preclinical foundation, the Company plans to align its portfolio, innovation pipeline, and operating model around four strategic pillars, leading the translational bridge, new product introduction, consumables revenue expansion and operational excellence and disciplined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we have taken steps to rationalize our product portfolio and improve our operating cost structure. These activities have included the discontinuation of certain non-strategic products, the consolidation of our global operating footprint, and the reduction of our headcount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January 2026, the Company developed a comprehensive plan, referred to as Project Viking, for the strategic consolidation of certain of its manufacturing operations to improve efficiency and support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June 2026, the Company developed a comprehensive plan for the restructuring of our sales, services and marketing strategy. The Company expects the initiative to deliver approximately $1.0 to $1.2 million in cost savings in 2027, and approximately $0.5 million in annual cost savings for the remainder of fiscal year 2026. The Company expects to incur pre-tax charges related to this restructuring in the range of approximately $0.4 to $0.5 million in the second half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Three months ended June 30, 2026, compared to three months ended June 30, 2025</w:t>
      </w:r>
    </w:p>
    <w:p>
      <w:pPr>
        <w:pStyle w:val="TextBody"/>
        <w:bidi w:val="0"/>
        <w:spacing w:before="0" w:after="0"/>
        <w:ind w:left="0" w:right="0" w:hanging="0"/>
        <w:jc w:val="left"/>
        <w:rPr>
          <w:caps w:val="false"/>
          <w:smallCaps w:val="false"/>
        </w:rPr>
      </w:pPr>
      <w:r>
        <w:rPr>
          <w:caps w:val="false"/>
          <w:smallCaps w:val="false"/>
        </w:rPr>
        <w:t> </w:t>
      </w:r>
    </w:p>
    <w:tbl>
      <w:tblPr>
        <w:tblW w:w="7438" w:type="dxa"/>
        <w:jc w:val="left"/>
        <w:tblInd w:w="0" w:type="dxa"/>
        <w:tblLayout w:type="fixed"/>
        <w:tblCellMar>
          <w:top w:w="0" w:type="dxa"/>
          <w:left w:w="0" w:type="dxa"/>
          <w:bottom w:w="0" w:type="dxa"/>
          <w:right w:w="0" w:type="dxa"/>
        </w:tblCellMar>
      </w:tblPr>
      <w:tblGrid>
        <w:gridCol w:w="2990"/>
        <w:gridCol w:w="60"/>
        <w:gridCol w:w="125"/>
        <w:gridCol w:w="590"/>
        <w:gridCol w:w="60"/>
        <w:gridCol w:w="60"/>
        <w:gridCol w:w="154"/>
        <w:gridCol w:w="990"/>
        <w:gridCol w:w="185"/>
        <w:gridCol w:w="60"/>
        <w:gridCol w:w="125"/>
        <w:gridCol w:w="590"/>
        <w:gridCol w:w="60"/>
        <w:gridCol w:w="60"/>
        <w:gridCol w:w="154"/>
        <w:gridCol w:w="990"/>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0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increased $2.2 million, or 11.1%, to $22.7 million for the three months ended June 30, 2026, compared to $20.5 million for the three months ended June 30, 2025. The increase in revenues was primarily due to increased sales to CROs in the Americas and distributors in Asia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increased $1.1 million, or 9.5%, to $12.6 million for the three months ended June 30, 2026, compared with $11.5 million for the three months ended June 30, 2025, primarily due to the revenue increase described above. Gross margin was 55.6% for the three months ended June 30, 2026, compared to 56.4% for the three months ending June 30, 2025. The decrease in gross margin was primarily the result of unfavorable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increased $0.9 million, or 19.0%, to $5.4 million for the three months ended June 30, 2026, compared with $4.5 million for the three months ended June 30, 2025. This increase was primarily due to increases in personnel costs as a result of normalizing our cost structure, increases in travel costs, and 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increased $0.3 million, or 8.3%, to $4.6 million for the three months ended June 30, 2026, compared with $4.3 million for the three months ended June 30, 2025. The increase was primarily due to increases in personnel costs as a result of normalizing our cost structure and increases to 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$0.3 million, or 12.1%, to $2.5 million for the three months ended June 30, 2026, compared with $2.2 million for the three months ended June 30, 2025. This increase was primarily due to an increase in personnel costs as a result of normalizing our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was $0.8 million for the three months ended June 30, 2026, compared with $1.2 million for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operating expenses for the three months ended June 30, 2026 were $0.3 million, compared with $0.2 million for the three months ended June 30, 2025. During the three months ended June 30, 2026, other operating expenses included $0.3 million of restructuring costs in connection with Project Viking. During the three months ended June 30, 2025, other operating expenses included an agent fee of $0.2 million in connection with the receipt of employee retention credits under the CARES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increased $0.8 million, or 79.1%, to $1.8 million for the three months ended June 30, 2026, compared with $1.0 million for the three months ended June 30, 2025. The increase was primarily due to the higher interest rate and amortization of deferred financing costs related to the 2025 Loan Agreement discussed in greater detail in Note 7 (Debt) in the notes to the unaudited condensed consolidated financial statements included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 xml:space="preserve">Other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expense, net for the three months ended June 30, 2026, was $0.1 million which was primarily related to loss on foreign currency. Other expenses, net for the three months ended June 30, 2025, were $0.4 million, which was primarily related to loss on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income tax expense was $0.01 million and $0.03 million for the three months ended June 30, 2026 and 2025, respectively. The effective tax rates for the three months ended June 30, 2026 and 2025 were (0.4)% and 1.2%, respectively. The decrease in the effective tax rate during the three months ended June 30, 2026, compared to the three months ended June 30, 2025, was primarily due to the tax effects of stock compensation and changes in accruals and reserves related to prior year tax positions. The Company’s effective tax rate for the three months ended June 30, 2026, was different than the U.S. statutory rate primarily due to changes in valuation allowances associated with the Company’s assessment of the likelihood of the recoverability of deferred tax assets and a benefit recorded for reserves related to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Six months ended June 30, 2026, compared to six months ended June 30, 2025</w:t>
      </w:r>
    </w:p>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2990"/>
        <w:gridCol w:w="60"/>
        <w:gridCol w:w="125"/>
        <w:gridCol w:w="590"/>
        <w:gridCol w:w="60"/>
        <w:gridCol w:w="60"/>
        <w:gridCol w:w="154"/>
        <w:gridCol w:w="990"/>
        <w:gridCol w:w="185"/>
        <w:gridCol w:w="60"/>
        <w:gridCol w:w="125"/>
        <w:gridCol w:w="590"/>
        <w:gridCol w:w="80"/>
        <w:gridCol w:w="60"/>
        <w:gridCol w:w="125"/>
        <w:gridCol w:w="1019"/>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Revenues increased $1.3 million, or 3.0%, to $43.5 million for the six months ended June 30, 2026, compared to $42.2 million for the six months ended June 30, 2025. The increase in revenues was due to increased sales to CROs and pharmaceutical/biotechnology companies in the Americas, Europe, and Asia Pacific, with the largest growth percentage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Gross profit increased $1.2 million, or 4.9%, to $24.9 million for the six months ended June 30, 2026, compared with $23.7 million for the six months ended June 30, 2025, primarily due to the increase in revenues as well as the associated higher absorption of fixed manufacturing costs. Gross margin increased to 57.2% for the six months ended June 30, 2026, compared with 56.2% for the six months ended June 30, 2025. The increase in gross margin was primarily the result of favorable absorption of fixed manufacturing overhead costs and favorable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and marketing expenses increased $1.2 million, or 12.9%, to $10.7 million for the six months ended June 30, 2026, compared with $9.5 million for the six months ended June 30, 2025. This increase was primarily due to increased compensation, travel, promotional, and restructuring expenses, partially offset by lower stock-based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$0.1 million, or 1.4%, to $9.3 million for the six months ended June 30, 2026, compared with $9.4 million for the six months ended June 30, 2025. The decrease was primarily due to lower professional fees, partially offset by restructuring costs.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Research and development expenses increased $0.3 million, or 6.0%, to $4.8 million for the six months ended June 30, 2026, compared with $4.5 million for the six months ended June 30, 2025. This increase was primarily due to an increase in compensation and project related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decreased $0.7 million, or 29.4%, to $1.6 million for the six months ended June 30, 2026, compared with $2.3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recorded a non-cash goodwill impairment charge of $48.0 million for the six months ended June 30, 2025, following an analysis triggered by the sustained decrease in our stock price, our recent operating results, liquidity risk and the then-current macroeconomic conditions impacting the life sciences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operating expenses for the six months ended June 30, 2026 were $0.6 million, compared with $0.5 million for the six months ended June 30, 2025. During the six months ended June 30, 2026, other operating expenses included $0.6 million of restructuring costs in connection with Project Viking. During the six months ended June 30, 2025, other operating expenses included a fee of $0.4 million in connection with the receipt of employee retention credits under the CARES Act and restructuring costs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Interest expense increased $1.6 million, or 82.1%, to $3.5 million for the six months ended June 30, 2026, compared with $1.9 million for the six months ended June 30, 2025. The increase was primarily due to higher average borrowings and a higher effective interest rate during the period compared to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 xml:space="preserve">Other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Other expense, net for the six months ended June 30, 2026, was $0.5 million which was primarily related to costs of $0.4 million in connection with the Company’s reverse stock split. Other expenses, net for the six months ended June 30, 2025, were $0.6 million, which was primarily related to loss on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income tax expense (benefit) was $0.1 million and $(0.4) million for the six months ended June 30, 2026 and 2025, respectively. The effective tax rates for the six months ended June 30, 2026 and 2025 were (2.1)% and 0.8%, respectively. The lower effective tax rate during the six months ended June 30, 2026, compared to the six months ended June 30, 2025, was primarily due to the tax effect of 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primary sources of liquidity are cash and cash equivalents, internally generated cash flow from operations and our shelf registration statement that provides for the issuance of common stock, preferred stock, warrants and units up to an amount equal to $100 million (the “2024 Shelf Registration Statement”). Our expected cash outlays relate primarily to cash payments due under our Loan and Security Agreement (the “2025 Loan Agreement”), entered into with certain financial institutions party thereto as lenders and BroadOak Income Fund, L.P., as the administrative agent and collateral agent on December 17, 2025, as well as salaries, inventory, capital expenditures, and other operating costs. We held cash and cash equivalents of $6.5 million and $8.6 million as of June 30, 2026 and December 31, 2025, respectively. Borrowings outstanding were $40 million as of June 30,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December 17, 2025, the Company entered into the 2025 Loan Agreement and completed a comprehensive refinancing of the Credit Facility, resulting in a new maturity date and improved likelihood of covenant compliance. For additional details on the 2025 Loan Agreement and refinancing, see the discussion in Note 7 to the Condensed Consolidated Financial Statements (Unaudited) included in Part I, Item 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2025 Loan Agreement, the Company is required to maintain certain financial covenants that are based on financial measures not presented in accordance with U.S. generally accepted accounting principles. The Company was in compliance with these covenants, including the minimum liquidity requirement of $3.0 million at all times and the minimum adjusted EBITDA requirement, measured on a trailing 12-month basis, of at least $6.0 million, as of the end of each of the fiscal quarters ended June 30,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Coronavirus Aid, Relief, and Economic Security Act of 2020 provided an employee retention tax credit (“ERTC”) that was a refundable tax credit against certain employer taxes. The Company received ERTC refunds of $3.6 million during the year ended December 31, 2025. The Company’s compliance with the program’s qualifications may be subject to audit until May 2029, which is when the statute of limitation expires.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significant sources and uses of cash for the periods set forth below:</w:t>
      </w:r>
    </w:p>
    <w:p>
      <w:pPr>
        <w:pStyle w:val="TextBody"/>
        <w:bidi w:val="0"/>
        <w:spacing w:before="0" w:after="0"/>
        <w:ind w:left="0" w:right="0" w:hanging="0"/>
        <w:jc w:val="left"/>
        <w:rPr>
          <w:caps w:val="false"/>
          <w:smallCaps w:val="false"/>
        </w:rPr>
      </w:pPr>
      <w:r>
        <w:rPr>
          <w:caps w:val="false"/>
          <w:smallCaps w:val="false"/>
        </w:rPr>
        <w:t> </w:t>
      </w:r>
    </w:p>
    <w:tbl>
      <w:tblPr>
        <w:tblW w:w="6552" w:type="dxa"/>
        <w:jc w:val="left"/>
        <w:tblInd w:w="0" w:type="dxa"/>
        <w:tblLayout w:type="fixed"/>
        <w:tblCellMar>
          <w:top w:w="0" w:type="dxa"/>
          <w:left w:w="0" w:type="dxa"/>
          <w:bottom w:w="0" w:type="dxa"/>
          <w:right w:w="0" w:type="dxa"/>
        </w:tblCellMar>
      </w:tblPr>
      <w:tblGrid>
        <w:gridCol w:w="4115"/>
        <w:gridCol w:w="60"/>
        <w:gridCol w:w="194"/>
        <w:gridCol w:w="846"/>
        <w:gridCol w:w="124"/>
        <w:gridCol w:w="93"/>
        <w:gridCol w:w="194"/>
        <w:gridCol w:w="846"/>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4" w:type="dxa"/>
            <w:tcBorders>
              <w:bottom w:val="single" w:sz="2" w:space="0" w:color="000000"/>
            </w:tcBorders>
            <w:tcMar>
              <w:bottom w:w="28" w:type="dxa"/>
            </w:tcMar>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5,741</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w:t>
            </w:r>
          </w:p>
        </w:tc>
        <w:tc>
          <w:tcPr>
            <w:tcW w:w="1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2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12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w:t>
            </w:r>
          </w:p>
        </w:tc>
        <w:tc>
          <w:tcPr>
            <w:tcW w:w="1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provided by operations was $(0.3) million and $5.7 million for the six months ended June 30, 2026 and 2025, respectively. Net loss after adding back non-cash items, was $(2.1) million for the six months ended June 30, 2026, compared to $(0.6) million for the six months ended June 30, 2025. Cash flow from operations for the six months ended June 30, 2026 was negatively impacted by cash outflows from inventories of $1.7 million, compared with a favorable impact to cash flows of $1.6 million for the six months ended June 30, 2025. Cash flow from operations for the six months ended June 30, 2026 was also negatively impacted by $0.4 million of prepaid inventory and insurance. The change in accounts receivable for the six months ended June 30, 2026 had a favorable impact of $1.5 million compared to a favorable impact of $3.2 million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investing activities was $1.5 million and $0.9 million for the six months ended June 30, 2026 and 2025, respectively. Cash used in investing activities for the six months ended June 30, 2026 consisted of $1.1 million of capital expenditures and $0.4 million of capitalized software development. Cash used in investing activities for the six months ended June 30, 2025 consisted of $0.6 million of capital expenditures and $0.3 million of capitalized software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Cash used in financing activities was $0.05 million and $2.5 million for the six months ended June 30, 2026 and 2025, respectively. During the six months ended June 30, 2026, we paid $0.1 million in debt issuance costs as part of the 2025 Loan Agreement and we received $0.1 million in cash proceeds from the exercise of warrants.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Impact of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international operations in some instances operate as a natural hedge, as we sell our products in many countries and a substantial portion of our revenues, costs and expenses are denominated in foreign currencies, primarily the euro and British 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During the three months ended June 30, 2026, changes in foreign currency exchange rates resulted in a favorable effect on revenues of $0.1 million and an unfavorable effect on expenses of $0.1 million. During the six months ended June 30, 2026, changes in foreign currency exchange rates resulted in a favorable effect on revenues of $0.8 million and an unfavorable effect on expenses of $0.1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(loss) gain associated with the translation of our foreign equity into U.S. dollars included as a component of other comprehensive loss was $(0.1) million and $2.6 million for the three months ended June 30, 2026 and 2025, respectively and $(0.7) million and $3.9 million for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Currency exchange rate fluctuations included as a component of net loss resulted in currency losses (gain) of $(0.1) million and $0.4 million for three months ended June 30, 2026 and 2025, respectively, and $(0.1) million and $0.6 million for both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critical accounting policies underlying the accompanying Condensed Unaudited Consolidated Financial Statements and as set forth in Part II, Item 7 included in our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information on recent accounting pronouncements impacting our business, see “Recently Issued Accounting Pronouncements Yet to Be Adopted” included in Note 1 to our Condensed Unaudited Consolidated Financial Statements included in Part I, Item 1 of this report. </w:t>
      </w:r>
    </w:p>
    <w:p>
      <w:pPr>
        <w:pStyle w:val="TextBody"/>
        <w:bidi w:val="0"/>
        <w:spacing w:before="0" w:after="0"/>
        <w:ind w:left="0" w:right="0" w:hanging="0"/>
        <w:jc w:val="left"/>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605"/>
        <w:gridCol w:w="50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bookmarkStart w:id="12" w:name="p1i3"/>
            <w:bookmarkEnd w:id="12"/>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770" w:type="dxa"/>
        <w:jc w:val="left"/>
        <w:tblInd w:w="0" w:type="dxa"/>
        <w:tblLayout w:type="fixed"/>
        <w:tblCellMar>
          <w:top w:w="0" w:type="dxa"/>
          <w:left w:w="0" w:type="dxa"/>
          <w:bottom w:w="0" w:type="dxa"/>
          <w:right w:w="0" w:type="dxa"/>
        </w:tblCellMar>
      </w:tblPr>
      <w:tblGrid>
        <w:gridCol w:w="605"/>
        <w:gridCol w:w="21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bookmarkStart w:id="13" w:name="p1i4"/>
            <w:bookmarkEnd w:id="13"/>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the supervision of our Chief Executive Officer and Chief Financial Officer, we evaluated the effectiveness of our disclosure controls and procedures (as defined in Rules 13a-15(e) and 15d-15(e) under the Exchange Act)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Our Chief Executive Officer and Chief Financial Officer concluded that our disclosure controls and procedures were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the second quarter of fiscal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bookmarkStart w:id="14" w:name="p2"/>
      <w:bookmarkEnd w:id="14"/>
    </w:p>
    <w:p>
      <w:pPr>
        <w:pStyle w:val="TextBody"/>
        <w:bidi w:val="0"/>
        <w:spacing w:before="0" w:after="0"/>
        <w:ind w:left="0" w:right="0" w:hanging="0"/>
        <w:jc w:val="left"/>
        <w:rPr>
          <w:caps w:val="false"/>
          <w:smallCaps w:val="false"/>
        </w:rPr>
      </w:pPr>
      <w:r>
        <w:rPr>
          <w:caps w:val="false"/>
          <w:smallCaps w:val="false"/>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Legal Proceedings.</w:t>
            </w:r>
            <w:bookmarkStart w:id="15" w:name="p2i1"/>
            <w:bookmarkEnd w:id="15"/>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included in Note 11 to the Condensed Consolidated Financial Statements (Unaudited) included in Part I, Item 1 of this quarterly report is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740"/>
        <w:gridCol w:w="1130"/>
      </w:tblGrid>
      <w:tr>
        <w:trPr/>
        <w:tc>
          <w:tcPr>
            <w:tcW w:w="7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1A.</w:t>
            </w:r>
          </w:p>
        </w:tc>
        <w:tc>
          <w:tcPr>
            <w:tcW w:w="11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Risk Factors.</w:t>
            </w:r>
            <w:bookmarkStart w:id="16" w:name="p2i1a"/>
            <w:bookmarkEnd w:id="16"/>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carefully consider the risk factors discussed in Part I, “Item 1A. Risk Factors” in our Annual Report on Form 10-K for the fiscal year ended December 31, 2025,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w:t>
      </w:r>
    </w:p>
    <w:p>
      <w:pPr>
        <w:pStyle w:val="TextBody"/>
        <w:bidi w:val="0"/>
        <w:spacing w:before="0" w:after="0"/>
        <w:ind w:left="0" w:right="0" w:hanging="0"/>
        <w:jc w:val="left"/>
        <w:rPr>
          <w:caps w:val="false"/>
          <w:smallCaps w:val="false"/>
        </w:rPr>
      </w:pPr>
      <w:r>
        <w:rPr>
          <w:caps w:val="false"/>
          <w:smallCaps w:val="false"/>
        </w:rPr>
        <w:t> </w:t>
      </w:r>
    </w:p>
    <w:tbl>
      <w:tblPr>
        <w:tblW w:w="5665" w:type="dxa"/>
        <w:jc w:val="left"/>
        <w:tblInd w:w="0" w:type="dxa"/>
        <w:tblLayout w:type="fixed"/>
        <w:tblCellMar>
          <w:top w:w="0" w:type="dxa"/>
          <w:left w:w="0" w:type="dxa"/>
          <w:bottom w:w="0" w:type="dxa"/>
          <w:right w:w="0" w:type="dxa"/>
        </w:tblCellMar>
      </w:tblPr>
      <w:tblGrid>
        <w:gridCol w:w="605"/>
        <w:gridCol w:w="506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2.</w:t>
            </w:r>
          </w:p>
        </w:tc>
        <w:tc>
          <w:tcPr>
            <w:tcW w:w="50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Unregistered Sales of Equity Securities and Use of Proceeds.</w:t>
            </w:r>
            <w:bookmarkStart w:id="17" w:name="p2i2"/>
            <w:bookmarkEnd w:id="17"/>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5"/>
        <w:gridCol w:w="272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3.</w:t>
            </w:r>
          </w:p>
        </w:tc>
        <w:tc>
          <w:tcPr>
            <w:tcW w:w="27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Defaults Upon Senior Securities.</w:t>
            </w:r>
            <w:bookmarkStart w:id="18" w:name="p2i3"/>
            <w:bookmarkEnd w:id="18"/>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680" w:type="dxa"/>
        <w:jc w:val="left"/>
        <w:tblInd w:w="0" w:type="dxa"/>
        <w:tblLayout w:type="fixed"/>
        <w:tblCellMar>
          <w:top w:w="0" w:type="dxa"/>
          <w:left w:w="0" w:type="dxa"/>
          <w:bottom w:w="0" w:type="dxa"/>
          <w:right w:w="0" w:type="dxa"/>
        </w:tblCellMar>
      </w:tblPr>
      <w:tblGrid>
        <w:gridCol w:w="605"/>
        <w:gridCol w:w="207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4.</w:t>
            </w:r>
          </w:p>
        </w:tc>
        <w:tc>
          <w:tcPr>
            <w:tcW w:w="2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bookmarkStart w:id="19" w:name="p2i4"/>
            <w:bookmarkEnd w:id="19"/>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245" w:type="dxa"/>
        <w:jc w:val="left"/>
        <w:tblInd w:w="0" w:type="dxa"/>
        <w:tblLayout w:type="fixed"/>
        <w:tblCellMar>
          <w:top w:w="0" w:type="dxa"/>
          <w:left w:w="0" w:type="dxa"/>
          <w:bottom w:w="0" w:type="dxa"/>
          <w:right w:w="0" w:type="dxa"/>
        </w:tblCellMar>
      </w:tblPr>
      <w:tblGrid>
        <w:gridCol w:w="605"/>
        <w:gridCol w:w="164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5.</w:t>
            </w:r>
          </w:p>
        </w:tc>
        <w:tc>
          <w:tcPr>
            <w:tcW w:w="16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bookmarkStart w:id="20" w:name="p2i5"/>
            <w:bookmarkEnd w:id="20"/>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None of our directors or executive officers adopted or terminated a Rule 10b5-1 trading arrangement or a non-Rule 10b5-1 trading arrangement (as defined in Item 408(c) of Regulation S-K) during the quarterly period covered by this report.</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1375" w:type="dxa"/>
        <w:jc w:val="left"/>
        <w:tblInd w:w="0" w:type="dxa"/>
        <w:tblLayout w:type="fixed"/>
        <w:tblCellMar>
          <w:top w:w="0" w:type="dxa"/>
          <w:left w:w="0" w:type="dxa"/>
          <w:bottom w:w="0" w:type="dxa"/>
          <w:right w:w="0" w:type="dxa"/>
        </w:tblCellMar>
      </w:tblPr>
      <w:tblGrid>
        <w:gridCol w:w="605"/>
        <w:gridCol w:w="77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6.</w:t>
            </w:r>
          </w:p>
        </w:tc>
        <w:tc>
          <w:tcPr>
            <w:tcW w:w="7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Exhibits.</w:t>
            </w:r>
            <w:bookmarkStart w:id="21" w:name="p2i6"/>
            <w:bookmarkEnd w:id="21"/>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
        <w:gridCol w:w="9562"/>
      </w:tblGrid>
      <w:tr>
        <w:trPr/>
        <w:tc>
          <w:tcPr>
            <w:tcW w:w="643"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3.1</w:t>
              </w:r>
            </w:hyperlink>
          </w:p>
        </w:tc>
        <w:tc>
          <w:tcPr>
            <w:tcW w:w="9562"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Second Amended and Restated Certificate of Incorporation of Harvard Bioscience, Inc. (previously filed as an exhibit to the Company’s Registration Statement on Form S-1/A (File No. 333-45996) (filed November 9, 2000)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3.2</w:t>
              </w:r>
            </w:hyperlink>
          </w:p>
        </w:tc>
        <w:tc>
          <w:tcPr>
            <w:tcW w:w="9562"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Certificate of Amendment to Second Amended and Restated Certificate of Incorporation of Harvard Bioscience, Inc. (previously filed as an exhibit to the Company’s Current Report on Form 8-K (filed March 6, 2026)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3.3</w:t>
              </w:r>
            </w:hyperlink>
          </w:p>
        </w:tc>
        <w:tc>
          <w:tcPr>
            <w:tcW w:w="9562"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Amended and Restated By-laws of Harvard Bioscience, Inc. (previously filed as an exhibit to the Company’s Registration Statement on Form S-1/A (File No. 333-45996) (filed November 9, 2000)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3.4</w:t>
              </w:r>
            </w:hyperlink>
          </w:p>
        </w:tc>
        <w:tc>
          <w:tcPr>
            <w:tcW w:w="9562"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Amendment No. 1 to Amended and Restated Bylaws of Harvard Bioscience, Inc. (as adopted October 30, 2007) (previously filed as an exhibit to the Company’s Current Report on Form 8-K (filed November 1, 2007)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3.5</w:t>
              </w:r>
            </w:hyperlink>
          </w:p>
        </w:tc>
        <w:tc>
          <w:tcPr>
            <w:tcW w:w="9562"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Amendment No. 2 to Amended and Restated Bylaws of Harvard Bioscience, Inc. (as adopted January 19, 2026) (previously filed as an exhibit to the Company’s Current Report on Form 8-K (filed January 20, 2026)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10.1</w:t>
              </w:r>
            </w:hyperlink>
          </w:p>
        </w:tc>
        <w:tc>
          <w:tcPr>
            <w:tcW w:w="9562"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Harvard Bioscience, Inc. Amended and Restated 2021 Incentive Plan. (previously filed as Annex B to the Proxy Statement on Schedule 14A filed April 21, 2026,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10.2</w:t>
              </w:r>
            </w:hyperlink>
          </w:p>
        </w:tc>
        <w:tc>
          <w:tcPr>
            <w:tcW w:w="9562"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Harvard Bioscience, Inc. Employee Stock Purchase Plan, as amended (previously filed as an exhibit to the Company’s Current Report on Form 8-K (filed June 2, 2026) and incorporated by reference thereto).</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w:anchor="ex_996842.htm">
              <w:r>
                <w:rPr>
                  <w:rStyle w:val="InternetLink"/>
                  <w:rFonts w:ascii="Times New Roman" w:hAnsi="Times New Roman"/>
                  <w:caps w:val="false"/>
                  <w:smallCaps w:val="false"/>
                  <w:sz w:val="20"/>
                </w:rPr>
                <w:t>31.1</w:t>
              </w:r>
            </w:hyperlink>
          </w:p>
        </w:tc>
        <w:tc>
          <w:tcPr>
            <w:tcW w:w="9562" w:type="dxa"/>
            <w:tcBorders/>
            <w:vAlign w:val="center"/>
          </w:tcPr>
          <w:p>
            <w:pPr>
              <w:pStyle w:val="TableContents"/>
              <w:bidi w:val="0"/>
              <w:spacing w:before="0" w:after="0"/>
              <w:ind w:left="0" w:right="0" w:hanging="0"/>
              <w:jc w:val="left"/>
              <w:rPr/>
            </w:pPr>
            <w:hyperlink w:anchor="ex_996842.htm">
              <w:r>
                <w:rPr>
                  <w:rStyle w:val="InternetLink"/>
                  <w:rFonts w:ascii="Times New Roman" w:hAnsi="Times New Roman"/>
                  <w:caps w:val="false"/>
                  <w:smallCaps w:val="false"/>
                  <w:sz w:val="20"/>
                </w:rPr>
                <w:t>Certification of Chief Financial Officer of Harvard Bioscience, Inc., pursuant to Rules 13a-14(a) and 15d-14(a), as adopted pursuant to Section 302 of the Sarbanes-Oxley Act of 2002.</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w:anchor="ex_996843.htm">
              <w:r>
                <w:rPr>
                  <w:rStyle w:val="InternetLink"/>
                  <w:rFonts w:ascii="Times New Roman" w:hAnsi="Times New Roman"/>
                  <w:caps w:val="false"/>
                  <w:smallCaps w:val="false"/>
                  <w:sz w:val="20"/>
                </w:rPr>
                <w:t>31.2</w:t>
              </w:r>
            </w:hyperlink>
          </w:p>
        </w:tc>
        <w:tc>
          <w:tcPr>
            <w:tcW w:w="9562" w:type="dxa"/>
            <w:tcBorders/>
            <w:vAlign w:val="center"/>
          </w:tcPr>
          <w:p>
            <w:pPr>
              <w:pStyle w:val="TableContents"/>
              <w:bidi w:val="0"/>
              <w:spacing w:before="0" w:after="0"/>
              <w:ind w:left="0" w:right="0" w:hanging="0"/>
              <w:jc w:val="left"/>
              <w:rPr/>
            </w:pPr>
            <w:hyperlink w:anchor="ex_996843.htm">
              <w:r>
                <w:rPr>
                  <w:rStyle w:val="InternetLink"/>
                  <w:rFonts w:ascii="Times New Roman" w:hAnsi="Times New Roman"/>
                  <w:caps w:val="false"/>
                  <w:smallCaps w:val="false"/>
                  <w:sz w:val="20"/>
                </w:rPr>
                <w:t>Certification of Chief Executive Officer of Harvard Bioscience, Inc., pursuant to Rules 13a-14(a) and 15d-14(a), as adopted pursuant to Section 302 of the Sarbanes-Oxley Act of 2002.</w:t>
              </w:r>
            </w:hyperlink>
            <w:hyperlink w:anchor="ex_996843.htm">
              <w:r>
                <w:rPr>
                  <w:rStyle w:val="InternetLink"/>
                  <w:rFonts w:ascii="Times New Roman" w:hAnsi="Times New Roman"/>
                  <w:caps w:val="false"/>
                  <w:smallCaps w:val="false"/>
                  <w:sz w:val="20"/>
                  <w:u w:val="single"/>
                </w:rPr>
                <w:t> </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w:anchor="ex_996844.htm">
              <w:r>
                <w:rPr>
                  <w:rStyle w:val="InternetLink"/>
                  <w:rFonts w:ascii="Times New Roman" w:hAnsi="Times New Roman"/>
                  <w:caps w:val="false"/>
                  <w:smallCaps w:val="false"/>
                  <w:sz w:val="20"/>
                </w:rPr>
                <w:t>32.1*</w:t>
              </w:r>
            </w:hyperlink>
          </w:p>
        </w:tc>
        <w:tc>
          <w:tcPr>
            <w:tcW w:w="9562" w:type="dxa"/>
            <w:tcBorders/>
            <w:vAlign w:val="center"/>
          </w:tcPr>
          <w:p>
            <w:pPr>
              <w:pStyle w:val="TableContents"/>
              <w:bidi w:val="0"/>
              <w:spacing w:before="0" w:after="0"/>
              <w:ind w:left="0" w:right="0" w:hanging="0"/>
              <w:jc w:val="left"/>
              <w:rPr/>
            </w:pPr>
            <w:hyperlink w:anchor="ex_996844.htm">
              <w:r>
                <w:rPr>
                  <w:rStyle w:val="InternetLink"/>
                  <w:rFonts w:ascii="Times New Roman" w:hAnsi="Times New Roman"/>
                  <w:caps w:val="false"/>
                  <w:smallCaps w:val="false"/>
                  <w:sz w:val="20"/>
                </w:rPr>
                <w:t>Certification of Chief Financial Officer of Harvard Bioscience, Inc., pursuant to 18 U.S.C. Section 1350, as adopted pursuant to Section 906 of the Sarbanes-Oxley Act of 2002.</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pPr>
            <w:hyperlink w:anchor="ex_996845.htm">
              <w:r>
                <w:rPr>
                  <w:rStyle w:val="InternetLink"/>
                  <w:rFonts w:ascii="Times New Roman" w:hAnsi="Times New Roman"/>
                  <w:caps w:val="false"/>
                  <w:smallCaps w:val="false"/>
                  <w:sz w:val="20"/>
                </w:rPr>
                <w:t>32.2*</w:t>
              </w:r>
            </w:hyperlink>
          </w:p>
        </w:tc>
        <w:tc>
          <w:tcPr>
            <w:tcW w:w="9562" w:type="dxa"/>
            <w:tcBorders/>
            <w:vAlign w:val="center"/>
          </w:tcPr>
          <w:p>
            <w:pPr>
              <w:pStyle w:val="TableContents"/>
              <w:bidi w:val="0"/>
              <w:spacing w:before="0" w:after="0"/>
              <w:ind w:left="0" w:right="0" w:hanging="0"/>
              <w:jc w:val="left"/>
              <w:rPr/>
            </w:pPr>
            <w:hyperlink w:anchor="ex_996845.htm">
              <w:r>
                <w:rPr>
                  <w:rStyle w:val="InternetLink"/>
                  <w:rFonts w:ascii="Times New Roman" w:hAnsi="Times New Roman"/>
                  <w:caps w:val="false"/>
                  <w:smallCaps w:val="false"/>
                  <w:sz w:val="20"/>
                </w:rPr>
                <w:t>Certification of Chief Executive Officer of Harvard Bioscience, Inc., pursuant to 18 U.S.C. Section 1350, as adopted pursuant to Section 906 of the Sarbanes-Oxley Act of 2002</w:t>
              </w:r>
            </w:hyperlink>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643" w:type="dxa"/>
            <w:tcBorders/>
            <w:vAlign w:val="center"/>
          </w:tcPr>
          <w:p>
            <w:pPr>
              <w:pStyle w:val="TableContents"/>
              <w:bidi w:val="0"/>
              <w:spacing w:before="0" w:after="283"/>
              <w:jc w:val="left"/>
              <w:rPr/>
            </w:pPr>
            <w:r>
              <w:rPr/>
              <w:t>101.SCH</w:t>
            </w:r>
          </w:p>
        </w:tc>
        <w:tc>
          <w:tcPr>
            <w:tcW w:w="9562" w:type="dxa"/>
            <w:tcBorders/>
            <w:vAlign w:val="center"/>
          </w:tcPr>
          <w:p>
            <w:pPr>
              <w:pStyle w:val="TableContents"/>
              <w:bidi w:val="0"/>
              <w:spacing w:before="0" w:after="283"/>
              <w:jc w:val="left"/>
              <w:rPr/>
            </w:pPr>
            <w:r>
              <w:rPr/>
              <w:t>Inline XBRL Taxonomy Extension Schema Document</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r>
        <w:trPr/>
        <w:tc>
          <w:tcPr>
            <w:tcW w:w="643" w:type="dxa"/>
            <w:tcBorders/>
            <w:vAlign w:val="center"/>
          </w:tcPr>
          <w:p>
            <w:pPr>
              <w:pStyle w:val="TableContents"/>
              <w:bidi w:val="0"/>
              <w:spacing w:before="0" w:after="283"/>
              <w:jc w:val="left"/>
              <w:rPr/>
            </w:pPr>
            <w:r>
              <w:rPr/>
              <w:t> </w:t>
            </w:r>
          </w:p>
        </w:tc>
        <w:tc>
          <w:tcPr>
            <w:tcW w:w="956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5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2" w:name="sig"/>
      <w:bookmarkEnd w:id="2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69" w:type="dxa"/>
        <w:jc w:val="left"/>
        <w:tblInd w:w="0" w:type="dxa"/>
        <w:tblLayout w:type="fixed"/>
        <w:tblCellMar>
          <w:top w:w="0" w:type="dxa"/>
          <w:left w:w="0" w:type="dxa"/>
          <w:bottom w:w="0" w:type="dxa"/>
          <w:right w:w="0" w:type="dxa"/>
        </w:tblCellMar>
      </w:tblPr>
      <w:tblGrid>
        <w:gridCol w:w="2255"/>
        <w:gridCol w:w="370"/>
        <w:gridCol w:w="2244"/>
      </w:tblGrid>
      <w:tr>
        <w:trPr/>
        <w:tc>
          <w:tcPr>
            <w:tcW w:w="225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HARVARD BIOSCIENCE, INC.</w:t>
            </w:r>
          </w:p>
        </w:tc>
      </w:tr>
      <w:tr>
        <w:trPr/>
        <w:tc>
          <w:tcPr>
            <w:tcW w:w="22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MARK FROST   </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225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25</w:t>
      </w:r>
    </w:p>
    <w:p>
      <w:pPr>
        <w:pStyle w:val="TextBody"/>
        <w:bidi w:val="0"/>
        <w:spacing w:before="0" w:after="0"/>
        <w:ind w:left="160" w:right="0" w:hanging="0"/>
        <w:jc w:val="right"/>
        <w:rPr>
          <w:rFonts w:ascii="Times New Roman" w:hAnsi="Times New Roman"/>
          <w:b/>
          <w:caps w:val="false"/>
          <w:smallCaps w:val="false"/>
          <w:sz w:val="20"/>
        </w:rPr>
      </w:pPr>
      <w:bookmarkStart w:id="23" w:name="ex_996842.htm"/>
      <w:bookmarkStart w:id="24" w:name="ksex_996842"/>
      <w:bookmarkEnd w:id="23"/>
      <w:bookmarkEnd w:id="24"/>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Mark Frost,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30" w:type="dxa"/>
        <w:jc w:val="left"/>
        <w:tblInd w:w="0" w:type="dxa"/>
        <w:tblLayout w:type="fixed"/>
        <w:tblCellMar>
          <w:top w:w="0" w:type="dxa"/>
          <w:left w:w="0" w:type="dxa"/>
          <w:bottom w:w="0" w:type="dxa"/>
          <w:right w:w="0" w:type="dxa"/>
        </w:tblCellMar>
      </w:tblPr>
      <w:tblGrid>
        <w:gridCol w:w="1850"/>
        <w:gridCol w:w="188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8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185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5" w:name="ex_996843.htm"/>
      <w:bookmarkStart w:id="26" w:name="ksex_996843"/>
      <w:bookmarkEnd w:id="25"/>
      <w:bookmarkEnd w:id="26"/>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Duke,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0"/>
              <w:ind w:left="0" w:right="0" w:hanging="0"/>
              <w:jc w:val="left"/>
              <w:rPr/>
            </w:pPr>
            <w:r>
              <w:rPr/>
              <w:t> </w:t>
            </w:r>
          </w:p>
        </w:tc>
      </w:tr>
      <w:tr>
        <w:trPr/>
        <w:tc>
          <w:tcPr>
            <w:tcW w:w="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1850"/>
        <w:gridCol w:w="194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18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185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7" w:name="ex_996844.htm"/>
      <w:bookmarkStart w:id="28" w:name="ksex_996844"/>
      <w:bookmarkEnd w:id="27"/>
      <w:bookmarkEnd w:id="28"/>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officer of Harvard Bioscience, Inc. (the “Company”) hereby certifies to his knowledge that the Company’s Quarterly Report on Form 10-Q for the quarterly period ended June 30, 2026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1850"/>
        <w:gridCol w:w="237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85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Mark Frost</w:t>
            </w:r>
          </w:p>
        </w:tc>
      </w:tr>
      <w:tr>
        <w:trPr/>
        <w:tc>
          <w:tcPr>
            <w:tcW w:w="185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9" w:name="ex_996845.htm"/>
      <w:bookmarkStart w:id="30" w:name="ksex_996845"/>
      <w:bookmarkEnd w:id="29"/>
      <w:bookmarkEnd w:id="30"/>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officer of Harvard Bioscience, Inc. (the “Company”) hereby certifies to his knowledge that the Company’s Quarterly Report on Form 10-Q for the quarterly period ended June 30, 2026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2030"/>
        <w:gridCol w:w="2435"/>
      </w:tblGrid>
      <w:tr>
        <w:trPr/>
        <w:tc>
          <w:tcPr>
            <w:tcW w:w="20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03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John Duke</w:t>
            </w:r>
          </w:p>
        </w:tc>
      </w:tr>
      <w:tr>
        <w:trPr/>
        <w:tc>
          <w:tcPr>
            <w:tcW w:w="203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23494/000091205700047957/a2029062zex-3_2.txt" TargetMode="External"/><Relationship Id="rId4" Type="http://schemas.openxmlformats.org/officeDocument/2006/relationships/hyperlink" Target="http://www.sec.gov/Archives/edgar/data/1123494/000091205700047957/a2029062zex-3_2.txt" TargetMode="External"/><Relationship Id="rId5" Type="http://schemas.openxmlformats.org/officeDocument/2006/relationships/hyperlink" Target="http://www.sec.gov/Archives/edgar/data/1123494/000117184326001384/exh_31.htm" TargetMode="External"/><Relationship Id="rId6" Type="http://schemas.openxmlformats.org/officeDocument/2006/relationships/hyperlink" Target="http://www.sec.gov/Archives/edgar/data/1123494/000117184326001384/exh_31.htm" TargetMode="External"/><Relationship Id="rId7" Type="http://schemas.openxmlformats.org/officeDocument/2006/relationships/hyperlink" Target="http://www.sec.gov/Archives/edgar/data/1123494/000091205700047957/a2029062zex-3_3.txt" TargetMode="External"/><Relationship Id="rId8" Type="http://schemas.openxmlformats.org/officeDocument/2006/relationships/hyperlink" Target="http://www.sec.gov/Archives/edgar/data/1123494/000091205700047957/a2029062zex-3_3.txt" TargetMode="External"/><Relationship Id="rId9" Type="http://schemas.openxmlformats.org/officeDocument/2006/relationships/hyperlink" Target="http://www.sec.gov/Archives/edgar/data/1123494/000119312507232564/dex31.htm" TargetMode="External"/><Relationship Id="rId10" Type="http://schemas.openxmlformats.org/officeDocument/2006/relationships/hyperlink" Target="http://www.sec.gov/Archives/edgar/data/1123494/000119312507232564/dex31.htm" TargetMode="External"/><Relationship Id="rId11" Type="http://schemas.openxmlformats.org/officeDocument/2006/relationships/hyperlink" Target="http://www.sec.gov/Archives/edgar/data/1123494/000117184326000343/exh_31.htm" TargetMode="External"/><Relationship Id="rId12" Type="http://schemas.openxmlformats.org/officeDocument/2006/relationships/hyperlink" Target="http://www.sec.gov/Archives/edgar/data/1123494/000117184326000343/exh_31.htm" TargetMode="External"/><Relationship Id="rId13" Type="http://schemas.openxmlformats.org/officeDocument/2006/relationships/hyperlink" Target="http://www.sec.gov/ix?doc=/Archives/edgar/data/1123494/000117184326002617/hbio20260420_def14a.htm" TargetMode="External"/><Relationship Id="rId14" Type="http://schemas.openxmlformats.org/officeDocument/2006/relationships/hyperlink" Target="http://www.sec.gov/ix?doc=/Archives/edgar/data/1123494/000117184326002617/hbio20260420_def14a.htm" TargetMode="External"/><Relationship Id="rId15" Type="http://schemas.openxmlformats.org/officeDocument/2006/relationships/hyperlink" Target="http://www.sec.gov/Archives/edgar/data/1123494/000117184326003877/exh_102.htm" TargetMode="External"/><Relationship Id="rId16" Type="http://schemas.openxmlformats.org/officeDocument/2006/relationships/hyperlink" Target="http://www.sec.gov/Archives/edgar/data/1123494/000117184326003877/exh_10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15313</Words>
  <Characters>81330</Characters>
  <CharactersWithSpaces>98367</CharactersWithSpaces>
  <Paragraphs>6456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