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 WASHINGTON, DC 20549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9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4004945</wp:posOffset>
            </wp:positionH>
            <wp:positionV relativeFrom="paragraph">
              <wp:posOffset>-7620</wp:posOffset>
            </wp:positionV>
            <wp:extent cx="6375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7540" cy="825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001-33957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15" w:right="339" w:bottom="1440" w:gutter="0" w:footer="0" w:header="0"/>
        </w:sectPr>
      </w:pPr>
    </w:p>
    <w:p>
      <w:pPr>
        <w:spacing w:after="0" w:line="20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04-3306140</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715"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 October Hill Road, Holliston, Massachusetts 01746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(508) 893-8999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r>
              <w:rPr>
                <w:rFonts w:ascii="Arial" w:cs="Arial" w:eastAsia="Arial" w:hAnsi="Arial"/>
                <w:sz w:val="18"/>
                <w:szCs w:val="18"/>
                <w:color w:val="auto"/>
                <w:w w:val="90"/>
              </w:rPr>
              <w:t>:</w:t>
            </w:r>
          </w:p>
        </w:tc>
        <w:tc>
          <w:tcPr>
            <w:tcW w:w="224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233"/>
        </w:trPr>
        <w:tc>
          <w:tcPr>
            <w:tcW w:w="45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r>
      <w:tr>
        <w:trPr>
          <w:trHeight w:val="210"/>
        </w:trPr>
        <w:tc>
          <w:tcPr>
            <w:tcW w:w="452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Title of each class</w:t>
            </w:r>
          </w:p>
        </w:tc>
        <w:tc>
          <w:tcPr>
            <w:tcW w:w="22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Trading Symbol(s)</w:t>
            </w:r>
          </w:p>
        </w:tc>
        <w:tc>
          <w:tcPr>
            <w:tcW w:w="44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45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Common Stock, $0.01 par value</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HBIO</w:t>
            </w:r>
          </w:p>
        </w:tc>
        <w:tc>
          <w:tcPr>
            <w:tcW w:w="44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The Nasdaq Global Market</w:t>
            </w:r>
          </w:p>
        </w:tc>
      </w:tr>
    </w:tbl>
    <w:p>
      <w:pPr>
        <w:spacing w:after="0" w:line="202"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15" w:right="339" w:bottom="1440" w:gutter="0" w:footer="0" w:header="0"/>
          <w:type w:val="continuous"/>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715" w:right="339" w:bottom="1440" w:gutter="0" w:footer="0" w:header="0"/>
          <w:type w:val="continuous"/>
        </w:sectPr>
      </w:pPr>
    </w:p>
    <w:p>
      <w:pPr>
        <w:spacing w:after="0" w:line="3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October 31, 2022, there were 41,657,688 shares of the registrant’s common stock issued and outstanding.</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20" w:type="dxa"/>
            <w:vAlign w:val="bottom"/>
            <w:gridSpan w:val="20"/>
          </w:tcPr>
          <w:p>
            <w:pPr>
              <w:spacing w:after="0"/>
              <w:rPr>
                <w:sz w:val="20"/>
                <w:szCs w:val="20"/>
                <w:color w:val="auto"/>
              </w:rPr>
            </w:pPr>
            <w:r>
              <w:rPr>
                <w:rFonts w:ascii="Arial" w:cs="Arial" w:eastAsia="Arial" w:hAnsi="Arial"/>
                <w:sz w:val="18"/>
                <w:szCs w:val="18"/>
                <w:color w:val="0000EE"/>
              </w:rPr>
              <w:t>Table of Contents</w:t>
            </w: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6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80" w:type="dxa"/>
            <w:vAlign w:val="bottom"/>
            <w:gridSpan w:val="6"/>
          </w:tcPr>
          <w:p>
            <w:pPr>
              <w:jc w:val="center"/>
              <w:ind w:right="2020"/>
              <w:spacing w:after="0"/>
              <w:rPr>
                <w:sz w:val="20"/>
                <w:szCs w:val="20"/>
                <w:color w:val="auto"/>
              </w:rPr>
            </w:pPr>
            <w:r>
              <w:rPr>
                <w:rFonts w:ascii="Arial" w:cs="Arial" w:eastAsia="Arial" w:hAnsi="Arial"/>
                <w:sz w:val="18"/>
                <w:szCs w:val="18"/>
                <w:b w:val="1"/>
                <w:bCs w:val="1"/>
                <w:color w:val="auto"/>
                <w:w w:val="99"/>
              </w:rPr>
              <w:t>HARVARD BIOSCIENCE, INC.</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2"/>
          </w:tcPr>
          <w:p>
            <w:pPr>
              <w:jc w:val="center"/>
              <w:ind w:right="2800"/>
              <w:spacing w:after="0"/>
              <w:rPr>
                <w:sz w:val="20"/>
                <w:szCs w:val="20"/>
                <w:color w:val="auto"/>
              </w:rPr>
            </w:pPr>
            <w:r>
              <w:rPr>
                <w:rFonts w:ascii="Arial" w:cs="Arial" w:eastAsia="Arial" w:hAnsi="Arial"/>
                <w:sz w:val="18"/>
                <w:szCs w:val="18"/>
                <w:b w:val="1"/>
                <w:bCs w:val="1"/>
                <w:color w:val="auto"/>
                <w:w w:val="99"/>
              </w:rPr>
              <w:t>FORM 10-Q</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2"/>
          </w:tcPr>
          <w:p>
            <w:pPr>
              <w:jc w:val="center"/>
              <w:ind w:right="2800"/>
              <w:spacing w:after="0"/>
              <w:rPr>
                <w:sz w:val="20"/>
                <w:szCs w:val="20"/>
                <w:color w:val="auto"/>
              </w:rPr>
            </w:pPr>
            <w:r>
              <w:rPr>
                <w:rFonts w:ascii="Arial" w:cs="Arial" w:eastAsia="Arial" w:hAnsi="Arial"/>
                <w:sz w:val="18"/>
                <w:szCs w:val="18"/>
                <w:b w:val="1"/>
                <w:bCs w:val="1"/>
                <w:color w:val="auto"/>
              </w:rPr>
              <w:t>INDEX</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20" w:type="dxa"/>
            <w:vAlign w:val="bottom"/>
            <w:gridSpan w:val="20"/>
            <w:vMerge w:val="restart"/>
          </w:tcPr>
          <w:p>
            <w:pPr>
              <w:spacing w:after="0"/>
              <w:rPr>
                <w:sz w:val="20"/>
                <w:szCs w:val="20"/>
                <w:color w:val="auto"/>
              </w:rPr>
            </w:pPr>
            <w:r>
              <w:rPr>
                <w:rFonts w:ascii="Arial" w:cs="Arial" w:eastAsia="Arial" w:hAnsi="Arial"/>
                <w:sz w:val="18"/>
                <w:szCs w:val="18"/>
                <w:color w:val="0000EE"/>
              </w:rPr>
              <w:t>PART I - FINANCIAL INFORMATION</w:t>
            </w:r>
          </w:p>
        </w:tc>
        <w:tc>
          <w:tcPr>
            <w:tcW w:w="2320" w:type="dxa"/>
            <w:vAlign w:val="bottom"/>
            <w:gridSpan w:val="3"/>
          </w:tcPr>
          <w:p>
            <w:pPr>
              <w:ind w:left="17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5"/>
        </w:trPr>
        <w:tc>
          <w:tcPr>
            <w:tcW w:w="8920" w:type="dxa"/>
            <w:vAlign w:val="bottom"/>
            <w:gridSpan w:val="20"/>
            <w:vMerge w:val="continue"/>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20" w:type="dxa"/>
            <w:vAlign w:val="bottom"/>
            <w:gridSpan w:val="16"/>
          </w:tcPr>
          <w:p>
            <w:pPr>
              <w:spacing w:after="0"/>
              <w:rPr>
                <w:sz w:val="20"/>
                <w:szCs w:val="20"/>
                <w:color w:val="auto"/>
              </w:rPr>
            </w:pPr>
            <w:r>
              <w:rPr>
                <w:rFonts w:ascii="Arial" w:cs="Arial" w:eastAsia="Arial" w:hAnsi="Arial"/>
                <w:sz w:val="18"/>
                <w:szCs w:val="18"/>
                <w:color w:val="0000EE"/>
                <w:w w:val="91"/>
              </w:rPr>
              <w:t>Item 1.  Condensed Consolidated Financial Statements (unaudited)</w:t>
            </w:r>
          </w:p>
        </w:tc>
        <w:tc>
          <w:tcPr>
            <w:tcW w:w="4000" w:type="dxa"/>
            <w:vAlign w:val="bottom"/>
            <w:gridSpan w:val="4"/>
          </w:tcPr>
          <w:p>
            <w:pPr>
              <w:spacing w:after="0"/>
              <w:rPr>
                <w:sz w:val="24"/>
                <w:szCs w:val="24"/>
                <w:color w:val="auto"/>
              </w:rPr>
            </w:pPr>
          </w:p>
        </w:tc>
        <w:tc>
          <w:tcPr>
            <w:tcW w:w="1940" w:type="dxa"/>
            <w:vAlign w:val="bottom"/>
            <w:gridSpan w:val="2"/>
          </w:tcPr>
          <w:p>
            <w:pPr>
              <w:jc w:val="center"/>
              <w:ind w:left="1770"/>
              <w:spacing w:after="0"/>
              <w:rPr>
                <w:sz w:val="20"/>
                <w:szCs w:val="20"/>
                <w:color w:val="auto"/>
              </w:rPr>
            </w:pPr>
            <w:r>
              <w:rPr>
                <w:rFonts w:ascii="Arial" w:cs="Arial" w:eastAsia="Arial" w:hAnsi="Arial"/>
                <w:sz w:val="18"/>
                <w:szCs w:val="18"/>
                <w:color w:val="0000EE"/>
                <w:w w:val="79"/>
              </w:rPr>
              <w:t>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gridSpan w:val="14"/>
          </w:tcPr>
          <w:p>
            <w:pPr>
              <w:spacing w:after="0"/>
              <w:rPr>
                <w:sz w:val="20"/>
                <w:szCs w:val="20"/>
                <w:color w:val="auto"/>
              </w:rPr>
            </w:pPr>
            <w:r>
              <w:rPr>
                <w:rFonts w:ascii="Arial" w:cs="Arial" w:eastAsia="Arial" w:hAnsi="Arial"/>
                <w:sz w:val="18"/>
                <w:szCs w:val="18"/>
                <w:color w:val="0000EE"/>
              </w:rPr>
              <w:t>Consolidated Balance Sheets</w:t>
            </w:r>
          </w:p>
        </w:tc>
        <w:tc>
          <w:tcPr>
            <w:tcW w:w="4000" w:type="dxa"/>
            <w:vAlign w:val="bottom"/>
            <w:gridSpan w:val="4"/>
          </w:tcPr>
          <w:p>
            <w:pPr>
              <w:spacing w:after="0"/>
              <w:rPr>
                <w:sz w:val="24"/>
                <w:szCs w:val="24"/>
                <w:color w:val="auto"/>
              </w:rPr>
            </w:pPr>
          </w:p>
        </w:tc>
        <w:tc>
          <w:tcPr>
            <w:tcW w:w="1940" w:type="dxa"/>
            <w:vAlign w:val="bottom"/>
            <w:gridSpan w:val="2"/>
          </w:tcPr>
          <w:p>
            <w:pPr>
              <w:jc w:val="center"/>
              <w:ind w:left="1770"/>
              <w:spacing w:after="0"/>
              <w:rPr>
                <w:sz w:val="20"/>
                <w:szCs w:val="20"/>
                <w:color w:val="auto"/>
              </w:rPr>
            </w:pPr>
            <w:r>
              <w:rPr>
                <w:rFonts w:ascii="Arial" w:cs="Arial" w:eastAsia="Arial" w:hAnsi="Arial"/>
                <w:sz w:val="18"/>
                <w:szCs w:val="18"/>
                <w:color w:val="0000EE"/>
                <w:w w:val="79"/>
              </w:rPr>
              <w:t>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10"/>
          </w:tcPr>
          <w:p>
            <w:pPr>
              <w:spacing w:after="0"/>
              <w:rPr>
                <w:sz w:val="20"/>
                <w:szCs w:val="20"/>
                <w:color w:val="auto"/>
              </w:rPr>
            </w:pPr>
            <w:r>
              <w:rPr>
                <w:rFonts w:ascii="Arial" w:cs="Arial" w:eastAsia="Arial" w:hAnsi="Arial"/>
                <w:sz w:val="18"/>
                <w:szCs w:val="18"/>
                <w:color w:val="0000EE"/>
                <w:w w:val="89"/>
              </w:rPr>
              <w:t>Consolidated Statements of Operations</w:t>
            </w:r>
          </w:p>
        </w:tc>
        <w:tc>
          <w:tcPr>
            <w:tcW w:w="5280" w:type="dxa"/>
            <w:vAlign w:val="bottom"/>
            <w:gridSpan w:val="8"/>
          </w:tcPr>
          <w:p>
            <w:pPr>
              <w:spacing w:after="0"/>
              <w:rPr>
                <w:sz w:val="24"/>
                <w:szCs w:val="24"/>
                <w:color w:val="auto"/>
              </w:rPr>
            </w:pPr>
          </w:p>
        </w:tc>
        <w:tc>
          <w:tcPr>
            <w:tcW w:w="1940" w:type="dxa"/>
            <w:vAlign w:val="bottom"/>
            <w:gridSpan w:val="2"/>
          </w:tcPr>
          <w:p>
            <w:pPr>
              <w:jc w:val="center"/>
              <w:ind w:left="1770"/>
              <w:spacing w:after="0"/>
              <w:rPr>
                <w:sz w:val="20"/>
                <w:szCs w:val="20"/>
                <w:color w:val="auto"/>
              </w:rPr>
            </w:pPr>
            <w:r>
              <w:rPr>
                <w:rFonts w:ascii="Arial" w:cs="Arial" w:eastAsia="Arial" w:hAnsi="Arial"/>
                <w:sz w:val="18"/>
                <w:szCs w:val="18"/>
                <w:color w:val="0000EE"/>
                <w:w w:val="79"/>
              </w:rPr>
              <w:t>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12"/>
          </w:tcPr>
          <w:p>
            <w:pPr>
              <w:spacing w:after="0"/>
              <w:rPr>
                <w:sz w:val="20"/>
                <w:szCs w:val="20"/>
                <w:color w:val="auto"/>
              </w:rPr>
            </w:pPr>
            <w:r>
              <w:rPr>
                <w:rFonts w:ascii="Arial" w:cs="Arial" w:eastAsia="Arial" w:hAnsi="Arial"/>
                <w:sz w:val="18"/>
                <w:szCs w:val="18"/>
                <w:color w:val="0000EE"/>
                <w:w w:val="88"/>
              </w:rPr>
              <w:t>Consolidated Statements of Comprehensive Loss</w:t>
            </w:r>
          </w:p>
        </w:tc>
        <w:tc>
          <w:tcPr>
            <w:tcW w:w="4580" w:type="dxa"/>
            <w:vAlign w:val="bottom"/>
            <w:gridSpan w:val="6"/>
          </w:tcPr>
          <w:p>
            <w:pPr>
              <w:spacing w:after="0"/>
              <w:rPr>
                <w:sz w:val="24"/>
                <w:szCs w:val="24"/>
                <w:color w:val="auto"/>
              </w:rPr>
            </w:pPr>
          </w:p>
        </w:tc>
        <w:tc>
          <w:tcPr>
            <w:tcW w:w="1940" w:type="dxa"/>
            <w:vAlign w:val="bottom"/>
            <w:gridSpan w:val="2"/>
          </w:tcPr>
          <w:p>
            <w:pPr>
              <w:jc w:val="center"/>
              <w:ind w:left="1770"/>
              <w:spacing w:after="0"/>
              <w:rPr>
                <w:sz w:val="20"/>
                <w:szCs w:val="20"/>
                <w:color w:val="auto"/>
              </w:rPr>
            </w:pPr>
            <w:r>
              <w:rPr>
                <w:rFonts w:ascii="Arial" w:cs="Arial" w:eastAsia="Arial" w:hAnsi="Arial"/>
                <w:sz w:val="18"/>
                <w:szCs w:val="18"/>
                <w:color w:val="0000EE"/>
                <w:w w:val="79"/>
              </w:rPr>
              <w:t>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12"/>
          </w:tcPr>
          <w:p>
            <w:pPr>
              <w:spacing w:after="0"/>
              <w:rPr>
                <w:sz w:val="20"/>
                <w:szCs w:val="20"/>
                <w:color w:val="auto"/>
              </w:rPr>
            </w:pPr>
            <w:r>
              <w:rPr>
                <w:rFonts w:ascii="Arial" w:cs="Arial" w:eastAsia="Arial" w:hAnsi="Arial"/>
                <w:sz w:val="18"/>
                <w:szCs w:val="18"/>
                <w:color w:val="0000EE"/>
                <w:w w:val="89"/>
              </w:rPr>
              <w:t>Consolidated Statements of Stockholders' Equity</w:t>
            </w:r>
          </w:p>
        </w:tc>
        <w:tc>
          <w:tcPr>
            <w:tcW w:w="4580" w:type="dxa"/>
            <w:vAlign w:val="bottom"/>
            <w:gridSpan w:val="6"/>
          </w:tcPr>
          <w:p>
            <w:pPr>
              <w:spacing w:after="0"/>
              <w:rPr>
                <w:sz w:val="24"/>
                <w:szCs w:val="24"/>
                <w:color w:val="auto"/>
              </w:rPr>
            </w:pPr>
          </w:p>
        </w:tc>
        <w:tc>
          <w:tcPr>
            <w:tcW w:w="1940" w:type="dxa"/>
            <w:vAlign w:val="bottom"/>
            <w:gridSpan w:val="2"/>
          </w:tcPr>
          <w:p>
            <w:pPr>
              <w:jc w:val="center"/>
              <w:ind w:left="1770"/>
              <w:spacing w:after="0"/>
              <w:rPr>
                <w:sz w:val="20"/>
                <w:szCs w:val="20"/>
                <w:color w:val="auto"/>
              </w:rPr>
            </w:pPr>
            <w:r>
              <w:rPr>
                <w:rFonts w:ascii="Arial" w:cs="Arial" w:eastAsia="Arial" w:hAnsi="Arial"/>
                <w:sz w:val="18"/>
                <w:szCs w:val="18"/>
                <w:color w:val="0000EE"/>
                <w:w w:val="79"/>
              </w:rPr>
              <w:t>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12"/>
          </w:tcPr>
          <w:p>
            <w:pPr>
              <w:spacing w:after="0"/>
              <w:rPr>
                <w:sz w:val="20"/>
                <w:szCs w:val="20"/>
                <w:color w:val="auto"/>
              </w:rPr>
            </w:pPr>
            <w:r>
              <w:rPr>
                <w:rFonts w:ascii="Arial" w:cs="Arial" w:eastAsia="Arial" w:hAnsi="Arial"/>
                <w:sz w:val="18"/>
                <w:szCs w:val="18"/>
                <w:color w:val="0000EE"/>
              </w:rPr>
              <w:t>Consolidated Statements of Cash Flows</w:t>
            </w:r>
          </w:p>
        </w:tc>
        <w:tc>
          <w:tcPr>
            <w:tcW w:w="4580" w:type="dxa"/>
            <w:vAlign w:val="bottom"/>
            <w:gridSpan w:val="6"/>
          </w:tcPr>
          <w:p>
            <w:pPr>
              <w:spacing w:after="0"/>
              <w:rPr>
                <w:sz w:val="24"/>
                <w:szCs w:val="24"/>
                <w:color w:val="auto"/>
              </w:rPr>
            </w:pPr>
          </w:p>
        </w:tc>
        <w:tc>
          <w:tcPr>
            <w:tcW w:w="1940" w:type="dxa"/>
            <w:vAlign w:val="bottom"/>
            <w:gridSpan w:val="2"/>
          </w:tcPr>
          <w:p>
            <w:pPr>
              <w:jc w:val="center"/>
              <w:ind w:left="1770"/>
              <w:spacing w:after="0"/>
              <w:rPr>
                <w:sz w:val="20"/>
                <w:szCs w:val="20"/>
                <w:color w:val="auto"/>
              </w:rPr>
            </w:pPr>
            <w:r>
              <w:rPr>
                <w:rFonts w:ascii="Arial" w:cs="Arial" w:eastAsia="Arial" w:hAnsi="Arial"/>
                <w:sz w:val="18"/>
                <w:szCs w:val="18"/>
                <w:color w:val="0000EE"/>
                <w:w w:val="79"/>
              </w:rPr>
              <w:t>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100" w:type="dxa"/>
            <w:vAlign w:val="bottom"/>
            <w:gridSpan w:val="18"/>
          </w:tcPr>
          <w:p>
            <w:pPr>
              <w:spacing w:after="0"/>
              <w:rPr>
                <w:sz w:val="20"/>
                <w:szCs w:val="20"/>
                <w:color w:val="auto"/>
              </w:rPr>
            </w:pPr>
            <w:r>
              <w:rPr>
                <w:rFonts w:ascii="Arial" w:cs="Arial" w:eastAsia="Arial" w:hAnsi="Arial"/>
                <w:sz w:val="18"/>
                <w:szCs w:val="18"/>
                <w:color w:val="0000EE"/>
              </w:rPr>
              <w:t>Notes to Unaudited Consolidated Financial Statements</w:t>
            </w:r>
          </w:p>
        </w:tc>
        <w:tc>
          <w:tcPr>
            <w:tcW w:w="1940" w:type="dxa"/>
            <w:vAlign w:val="bottom"/>
            <w:gridSpan w:val="2"/>
          </w:tcPr>
          <w:p>
            <w:pPr>
              <w:jc w:val="center"/>
              <w:ind w:left="1770"/>
              <w:spacing w:after="0"/>
              <w:rPr>
                <w:sz w:val="20"/>
                <w:szCs w:val="20"/>
                <w:color w:val="auto"/>
              </w:rPr>
            </w:pPr>
            <w:r>
              <w:rPr>
                <w:rFonts w:ascii="Arial" w:cs="Arial" w:eastAsia="Arial" w:hAnsi="Arial"/>
                <w:sz w:val="18"/>
                <w:szCs w:val="18"/>
                <w:color w:val="0000EE"/>
                <w:w w:val="79"/>
              </w:rPr>
              <w:t>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0" w:type="dxa"/>
            <w:vAlign w:val="bottom"/>
            <w:gridSpan w:val="19"/>
          </w:tcPr>
          <w:p>
            <w:pPr>
              <w:spacing w:after="0"/>
              <w:rPr>
                <w:sz w:val="20"/>
                <w:szCs w:val="20"/>
                <w:color w:val="auto"/>
              </w:rPr>
            </w:pPr>
            <w:r>
              <w:rPr>
                <w:rFonts w:ascii="Arial" w:cs="Arial" w:eastAsia="Arial" w:hAnsi="Arial"/>
                <w:sz w:val="18"/>
                <w:szCs w:val="18"/>
                <w:color w:val="0000EE"/>
                <w:w w:val="92"/>
              </w:rPr>
              <w:t>Item 2.   Management’s Discussion and Analysis of Financial Condition and Results of Operations</w:t>
            </w:r>
          </w:p>
        </w:tc>
        <w:tc>
          <w:tcPr>
            <w:tcW w:w="1720" w:type="dxa"/>
            <w:vAlign w:val="bottom"/>
          </w:tcPr>
          <w:p>
            <w:pPr>
              <w:spacing w:after="0"/>
              <w:rPr>
                <w:sz w:val="24"/>
                <w:szCs w:val="24"/>
                <w:color w:val="auto"/>
              </w:rPr>
            </w:pPr>
          </w:p>
        </w:tc>
        <w:tc>
          <w:tcPr>
            <w:tcW w:w="2320" w:type="dxa"/>
            <w:vAlign w:val="bottom"/>
            <w:gridSpan w:val="3"/>
          </w:tcPr>
          <w:p>
            <w:pPr>
              <w:jc w:val="center"/>
              <w:ind w:left="1410"/>
              <w:spacing w:after="0"/>
              <w:rPr>
                <w:sz w:val="20"/>
                <w:szCs w:val="20"/>
                <w:color w:val="auto"/>
              </w:rPr>
            </w:pPr>
            <w:r>
              <w:rPr>
                <w:rFonts w:ascii="Arial" w:cs="Arial" w:eastAsia="Arial" w:hAnsi="Arial"/>
                <w:sz w:val="18"/>
                <w:szCs w:val="18"/>
                <w:color w:val="0000EE"/>
                <w:w w:val="89"/>
              </w:rPr>
              <w:t>19</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8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0" w:type="dxa"/>
            <w:vAlign w:val="bottom"/>
            <w:gridSpan w:val="19"/>
          </w:tcPr>
          <w:p>
            <w:pPr>
              <w:spacing w:after="0"/>
              <w:rPr>
                <w:sz w:val="20"/>
                <w:szCs w:val="20"/>
                <w:color w:val="auto"/>
              </w:rPr>
            </w:pPr>
            <w:r>
              <w:rPr>
                <w:rFonts w:ascii="Arial" w:cs="Arial" w:eastAsia="Arial" w:hAnsi="Arial"/>
                <w:sz w:val="18"/>
                <w:szCs w:val="18"/>
                <w:color w:val="0000EE"/>
              </w:rPr>
              <w:t>Item 3.   Quantitative and Qualitative Disclosures about Market Risk</w:t>
            </w:r>
          </w:p>
        </w:tc>
        <w:tc>
          <w:tcPr>
            <w:tcW w:w="1720" w:type="dxa"/>
            <w:vAlign w:val="bottom"/>
          </w:tcPr>
          <w:p>
            <w:pPr>
              <w:spacing w:after="0"/>
              <w:rPr>
                <w:sz w:val="24"/>
                <w:szCs w:val="24"/>
                <w:color w:val="auto"/>
              </w:rPr>
            </w:pPr>
          </w:p>
        </w:tc>
        <w:tc>
          <w:tcPr>
            <w:tcW w:w="2320" w:type="dxa"/>
            <w:vAlign w:val="bottom"/>
            <w:gridSpan w:val="3"/>
          </w:tcPr>
          <w:p>
            <w:pPr>
              <w:jc w:val="center"/>
              <w:ind w:left="1410"/>
              <w:spacing w:after="0"/>
              <w:rPr>
                <w:sz w:val="20"/>
                <w:szCs w:val="20"/>
                <w:color w:val="auto"/>
              </w:rPr>
            </w:pPr>
            <w:r>
              <w:rPr>
                <w:rFonts w:ascii="Arial" w:cs="Arial" w:eastAsia="Arial" w:hAnsi="Arial"/>
                <w:sz w:val="18"/>
                <w:szCs w:val="18"/>
                <w:color w:val="0000EE"/>
                <w:w w:val="89"/>
              </w:rPr>
              <w:t>25</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8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20" w:type="dxa"/>
            <w:vAlign w:val="bottom"/>
            <w:gridSpan w:val="8"/>
          </w:tcPr>
          <w:p>
            <w:pPr>
              <w:spacing w:after="0"/>
              <w:rPr>
                <w:sz w:val="20"/>
                <w:szCs w:val="20"/>
                <w:color w:val="auto"/>
              </w:rPr>
            </w:pPr>
            <w:r>
              <w:rPr>
                <w:rFonts w:ascii="Arial" w:cs="Arial" w:eastAsia="Arial" w:hAnsi="Arial"/>
                <w:sz w:val="18"/>
                <w:szCs w:val="18"/>
                <w:color w:val="0000EE"/>
                <w:w w:val="92"/>
              </w:rPr>
              <w:t>Item 4.   Controls and Procedures</w:t>
            </w:r>
          </w:p>
        </w:tc>
        <w:tc>
          <w:tcPr>
            <w:tcW w:w="2520" w:type="dxa"/>
            <w:vAlign w:val="bottom"/>
            <w:gridSpan w:val="9"/>
          </w:tcPr>
          <w:p>
            <w:pPr>
              <w:spacing w:after="0"/>
              <w:rPr>
                <w:sz w:val="24"/>
                <w:szCs w:val="24"/>
                <w:color w:val="auto"/>
              </w:rPr>
            </w:pPr>
          </w:p>
        </w:tc>
        <w:tc>
          <w:tcPr>
            <w:tcW w:w="3880" w:type="dxa"/>
            <w:vAlign w:val="bottom"/>
            <w:gridSpan w:val="3"/>
          </w:tcPr>
          <w:p>
            <w:pPr>
              <w:spacing w:after="0"/>
              <w:rPr>
                <w:sz w:val="24"/>
                <w:szCs w:val="24"/>
                <w:color w:val="auto"/>
              </w:rPr>
            </w:pPr>
          </w:p>
        </w:tc>
        <w:tc>
          <w:tcPr>
            <w:tcW w:w="2320" w:type="dxa"/>
            <w:vAlign w:val="bottom"/>
            <w:gridSpan w:val="3"/>
          </w:tcPr>
          <w:p>
            <w:pPr>
              <w:jc w:val="center"/>
              <w:ind w:left="1410"/>
              <w:spacing w:after="0"/>
              <w:rPr>
                <w:sz w:val="20"/>
                <w:szCs w:val="20"/>
                <w:color w:val="auto"/>
              </w:rPr>
            </w:pPr>
            <w:r>
              <w:rPr>
                <w:rFonts w:ascii="Arial" w:cs="Arial" w:eastAsia="Arial" w:hAnsi="Arial"/>
                <w:sz w:val="18"/>
                <w:szCs w:val="18"/>
                <w:color w:val="0000EE"/>
                <w:w w:val="89"/>
              </w:rPr>
              <w:t>25</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5"/>
              </w:rPr>
              <w:t>PART II - OTHER INFORMATION</w:t>
            </w:r>
          </w:p>
        </w:tc>
        <w:tc>
          <w:tcPr>
            <w:tcW w:w="6280" w:type="dxa"/>
            <w:vAlign w:val="bottom"/>
            <w:gridSpan w:val="11"/>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0000EE"/>
              </w:rPr>
              <w:t>Item 1.</w:t>
            </w:r>
          </w:p>
        </w:tc>
        <w:tc>
          <w:tcPr>
            <w:tcW w:w="1380" w:type="dxa"/>
            <w:vAlign w:val="bottom"/>
            <w:gridSpan w:val="6"/>
          </w:tcPr>
          <w:p>
            <w:pPr>
              <w:ind w:left="60"/>
              <w:spacing w:after="0"/>
              <w:rPr>
                <w:sz w:val="20"/>
                <w:szCs w:val="20"/>
                <w:color w:val="auto"/>
              </w:rPr>
            </w:pPr>
            <w:r>
              <w:rPr>
                <w:rFonts w:ascii="Arial" w:cs="Arial" w:eastAsia="Arial" w:hAnsi="Arial"/>
                <w:sz w:val="18"/>
                <w:szCs w:val="18"/>
                <w:color w:val="0000EE"/>
                <w:w w:val="85"/>
              </w:rPr>
              <w:t>Legal Proceedings</w:t>
            </w:r>
          </w:p>
        </w:tc>
        <w:tc>
          <w:tcPr>
            <w:tcW w:w="6860" w:type="dxa"/>
            <w:vAlign w:val="bottom"/>
            <w:gridSpan w:val="13"/>
          </w:tcPr>
          <w:p>
            <w:pPr>
              <w:spacing w:after="0"/>
              <w:rPr>
                <w:sz w:val="24"/>
                <w:szCs w:val="24"/>
                <w:color w:val="auto"/>
              </w:rPr>
            </w:pPr>
          </w:p>
        </w:tc>
        <w:tc>
          <w:tcPr>
            <w:tcW w:w="2320" w:type="dxa"/>
            <w:vAlign w:val="bottom"/>
            <w:gridSpan w:val="3"/>
          </w:tcPr>
          <w:p>
            <w:pPr>
              <w:jc w:val="center"/>
              <w:ind w:left="1410"/>
              <w:spacing w:after="0"/>
              <w:rPr>
                <w:sz w:val="20"/>
                <w:szCs w:val="20"/>
                <w:color w:val="auto"/>
              </w:rPr>
            </w:pPr>
            <w:r>
              <w:rPr>
                <w:rFonts w:ascii="Arial" w:cs="Arial" w:eastAsia="Arial" w:hAnsi="Arial"/>
                <w:sz w:val="18"/>
                <w:szCs w:val="18"/>
                <w:color w:val="0000EE"/>
                <w:w w:val="89"/>
              </w:rPr>
              <w:t>26</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0000EE"/>
              </w:rPr>
              <w:t>Item1A.</w:t>
            </w:r>
          </w:p>
        </w:tc>
        <w:tc>
          <w:tcPr>
            <w:tcW w:w="1380" w:type="dxa"/>
            <w:vAlign w:val="bottom"/>
            <w:gridSpan w:val="6"/>
          </w:tcPr>
          <w:p>
            <w:pPr>
              <w:ind w:left="60"/>
              <w:spacing w:after="0"/>
              <w:rPr>
                <w:sz w:val="20"/>
                <w:szCs w:val="20"/>
                <w:color w:val="auto"/>
              </w:rPr>
            </w:pPr>
            <w:r>
              <w:rPr>
                <w:rFonts w:ascii="Arial" w:cs="Arial" w:eastAsia="Arial" w:hAnsi="Arial"/>
                <w:sz w:val="18"/>
                <w:szCs w:val="18"/>
                <w:color w:val="0000EE"/>
              </w:rPr>
              <w:t>Risk Factors</w:t>
            </w:r>
          </w:p>
        </w:tc>
        <w:tc>
          <w:tcPr>
            <w:tcW w:w="6860" w:type="dxa"/>
            <w:vAlign w:val="bottom"/>
            <w:gridSpan w:val="13"/>
          </w:tcPr>
          <w:p>
            <w:pPr>
              <w:spacing w:after="0"/>
              <w:rPr>
                <w:sz w:val="24"/>
                <w:szCs w:val="24"/>
                <w:color w:val="auto"/>
              </w:rPr>
            </w:pPr>
          </w:p>
        </w:tc>
        <w:tc>
          <w:tcPr>
            <w:tcW w:w="2320" w:type="dxa"/>
            <w:vAlign w:val="bottom"/>
            <w:gridSpan w:val="3"/>
          </w:tcPr>
          <w:p>
            <w:pPr>
              <w:jc w:val="center"/>
              <w:ind w:left="1410"/>
              <w:spacing w:after="0"/>
              <w:rPr>
                <w:sz w:val="20"/>
                <w:szCs w:val="20"/>
                <w:color w:val="auto"/>
              </w:rPr>
            </w:pPr>
            <w:r>
              <w:rPr>
                <w:rFonts w:ascii="Arial" w:cs="Arial" w:eastAsia="Arial" w:hAnsi="Arial"/>
                <w:sz w:val="18"/>
                <w:szCs w:val="18"/>
                <w:color w:val="0000EE"/>
                <w:w w:val="89"/>
              </w:rPr>
              <w:t>26</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140" w:type="dxa"/>
            <w:vAlign w:val="bottom"/>
            <w:gridSpan w:val="18"/>
          </w:tcPr>
          <w:p>
            <w:pPr>
              <w:spacing w:after="0"/>
              <w:rPr>
                <w:sz w:val="20"/>
                <w:szCs w:val="20"/>
                <w:color w:val="auto"/>
              </w:rPr>
            </w:pPr>
            <w:r>
              <w:rPr>
                <w:rFonts w:ascii="Arial" w:cs="Arial" w:eastAsia="Arial" w:hAnsi="Arial"/>
                <w:sz w:val="18"/>
                <w:szCs w:val="18"/>
                <w:color w:val="0000EE"/>
                <w:w w:val="91"/>
              </w:rPr>
              <w:t>Item 2.   Unregistered Sales of Equity Securities and Use of Proceeds.</w:t>
            </w:r>
          </w:p>
        </w:tc>
        <w:tc>
          <w:tcPr>
            <w:tcW w:w="3780" w:type="dxa"/>
            <w:vAlign w:val="bottom"/>
            <w:gridSpan w:val="2"/>
          </w:tcPr>
          <w:p>
            <w:pPr>
              <w:spacing w:after="0"/>
              <w:rPr>
                <w:sz w:val="24"/>
                <w:szCs w:val="24"/>
                <w:color w:val="auto"/>
              </w:rPr>
            </w:pPr>
          </w:p>
        </w:tc>
        <w:tc>
          <w:tcPr>
            <w:tcW w:w="2320" w:type="dxa"/>
            <w:vAlign w:val="bottom"/>
            <w:gridSpan w:val="3"/>
          </w:tcPr>
          <w:p>
            <w:pPr>
              <w:jc w:val="center"/>
              <w:ind w:left="1410"/>
              <w:spacing w:after="0"/>
              <w:rPr>
                <w:sz w:val="20"/>
                <w:szCs w:val="20"/>
                <w:color w:val="auto"/>
              </w:rPr>
            </w:pPr>
            <w:r>
              <w:rPr>
                <w:rFonts w:ascii="Arial" w:cs="Arial" w:eastAsia="Arial" w:hAnsi="Arial"/>
                <w:sz w:val="18"/>
                <w:szCs w:val="18"/>
                <w:color w:val="0000EE"/>
                <w:w w:val="89"/>
              </w:rPr>
              <w:t>27</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2080" w:type="dxa"/>
            <w:vAlign w:val="bottom"/>
            <w:gridSpan w:val="7"/>
            <w:shd w:val="clear" w:color="auto" w:fill="0000EE"/>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140" w:type="dxa"/>
            <w:vAlign w:val="bottom"/>
            <w:gridSpan w:val="18"/>
          </w:tcPr>
          <w:p>
            <w:pPr>
              <w:spacing w:after="0"/>
              <w:rPr>
                <w:sz w:val="20"/>
                <w:szCs w:val="20"/>
                <w:color w:val="auto"/>
              </w:rPr>
            </w:pPr>
            <w:r>
              <w:rPr>
                <w:rFonts w:ascii="Arial" w:cs="Arial" w:eastAsia="Arial" w:hAnsi="Arial"/>
                <w:sz w:val="18"/>
                <w:szCs w:val="18"/>
                <w:color w:val="0000EE"/>
              </w:rPr>
              <w:t>Item 3.   Defaults Upon Senior Securities</w:t>
            </w:r>
          </w:p>
        </w:tc>
        <w:tc>
          <w:tcPr>
            <w:tcW w:w="3780" w:type="dxa"/>
            <w:vAlign w:val="bottom"/>
            <w:gridSpan w:val="2"/>
          </w:tcPr>
          <w:p>
            <w:pPr>
              <w:spacing w:after="0"/>
              <w:rPr>
                <w:sz w:val="24"/>
                <w:szCs w:val="24"/>
                <w:color w:val="auto"/>
              </w:rPr>
            </w:pPr>
          </w:p>
        </w:tc>
        <w:tc>
          <w:tcPr>
            <w:tcW w:w="2320" w:type="dxa"/>
            <w:vAlign w:val="bottom"/>
            <w:gridSpan w:val="3"/>
          </w:tcPr>
          <w:p>
            <w:pPr>
              <w:jc w:val="center"/>
              <w:ind w:left="1410"/>
              <w:spacing w:after="0"/>
              <w:rPr>
                <w:sz w:val="20"/>
                <w:szCs w:val="20"/>
                <w:color w:val="auto"/>
              </w:rPr>
            </w:pPr>
            <w:r>
              <w:rPr>
                <w:rFonts w:ascii="Arial" w:cs="Arial" w:eastAsia="Arial" w:hAnsi="Arial"/>
                <w:sz w:val="18"/>
                <w:szCs w:val="18"/>
                <w:color w:val="0000EE"/>
                <w:w w:val="89"/>
              </w:rPr>
              <w:t>27</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20" w:type="dxa"/>
            <w:vAlign w:val="bottom"/>
            <w:gridSpan w:val="8"/>
          </w:tcPr>
          <w:p>
            <w:pPr>
              <w:spacing w:after="0"/>
              <w:rPr>
                <w:sz w:val="20"/>
                <w:szCs w:val="20"/>
                <w:color w:val="auto"/>
              </w:rPr>
            </w:pPr>
            <w:r>
              <w:rPr>
                <w:rFonts w:ascii="Arial" w:cs="Arial" w:eastAsia="Arial" w:hAnsi="Arial"/>
                <w:sz w:val="18"/>
                <w:szCs w:val="18"/>
                <w:color w:val="0000EE"/>
                <w:w w:val="94"/>
              </w:rPr>
              <w:t>Item 4.   Mine Safety Disclosures</w:t>
            </w:r>
          </w:p>
        </w:tc>
        <w:tc>
          <w:tcPr>
            <w:tcW w:w="540" w:type="dxa"/>
            <w:vAlign w:val="bottom"/>
            <w:gridSpan w:val="3"/>
          </w:tcPr>
          <w:p>
            <w:pPr>
              <w:spacing w:after="0"/>
              <w:rPr>
                <w:sz w:val="24"/>
                <w:szCs w:val="24"/>
                <w:color w:val="auto"/>
              </w:rPr>
            </w:pPr>
          </w:p>
        </w:tc>
        <w:tc>
          <w:tcPr>
            <w:tcW w:w="5860" w:type="dxa"/>
            <w:vAlign w:val="bottom"/>
            <w:gridSpan w:val="9"/>
          </w:tcPr>
          <w:p>
            <w:pPr>
              <w:spacing w:after="0"/>
              <w:rPr>
                <w:sz w:val="24"/>
                <w:szCs w:val="24"/>
                <w:color w:val="auto"/>
              </w:rPr>
            </w:pPr>
          </w:p>
        </w:tc>
        <w:tc>
          <w:tcPr>
            <w:tcW w:w="2320" w:type="dxa"/>
            <w:vAlign w:val="bottom"/>
            <w:gridSpan w:val="3"/>
          </w:tcPr>
          <w:p>
            <w:pPr>
              <w:jc w:val="center"/>
              <w:ind w:left="1410"/>
              <w:spacing w:after="0"/>
              <w:rPr>
                <w:sz w:val="20"/>
                <w:szCs w:val="20"/>
                <w:color w:val="auto"/>
              </w:rPr>
            </w:pPr>
            <w:r>
              <w:rPr>
                <w:rFonts w:ascii="Arial" w:cs="Arial" w:eastAsia="Arial" w:hAnsi="Arial"/>
                <w:sz w:val="18"/>
                <w:szCs w:val="18"/>
                <w:color w:val="0000EE"/>
                <w:w w:val="89"/>
              </w:rPr>
              <w:t>27</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400" w:type="dxa"/>
            <w:vAlign w:val="bottom"/>
            <w:gridSpan w:val="12"/>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0000EE"/>
              </w:rPr>
              <w:t>Item 5.</w:t>
            </w:r>
          </w:p>
        </w:tc>
        <w:tc>
          <w:tcPr>
            <w:tcW w:w="1380" w:type="dxa"/>
            <w:vAlign w:val="bottom"/>
            <w:gridSpan w:val="6"/>
          </w:tcPr>
          <w:p>
            <w:pPr>
              <w:ind w:left="60"/>
              <w:spacing w:after="0"/>
              <w:rPr>
                <w:sz w:val="20"/>
                <w:szCs w:val="20"/>
                <w:color w:val="auto"/>
              </w:rPr>
            </w:pPr>
            <w:r>
              <w:rPr>
                <w:rFonts w:ascii="Arial" w:cs="Arial" w:eastAsia="Arial" w:hAnsi="Arial"/>
                <w:sz w:val="18"/>
                <w:szCs w:val="18"/>
                <w:color w:val="0000EE"/>
                <w:w w:val="91"/>
              </w:rPr>
              <w:t>Other Information</w:t>
            </w:r>
          </w:p>
        </w:tc>
        <w:tc>
          <w:tcPr>
            <w:tcW w:w="460" w:type="dxa"/>
            <w:vAlign w:val="bottom"/>
          </w:tcPr>
          <w:p>
            <w:pPr>
              <w:spacing w:after="0"/>
              <w:rPr>
                <w:sz w:val="24"/>
                <w:szCs w:val="24"/>
                <w:color w:val="auto"/>
              </w:rPr>
            </w:pPr>
          </w:p>
        </w:tc>
        <w:tc>
          <w:tcPr>
            <w:tcW w:w="6400" w:type="dxa"/>
            <w:vAlign w:val="bottom"/>
            <w:gridSpan w:val="12"/>
          </w:tcPr>
          <w:p>
            <w:pPr>
              <w:spacing w:after="0"/>
              <w:rPr>
                <w:sz w:val="24"/>
                <w:szCs w:val="24"/>
                <w:color w:val="auto"/>
              </w:rPr>
            </w:pPr>
          </w:p>
        </w:tc>
        <w:tc>
          <w:tcPr>
            <w:tcW w:w="2320" w:type="dxa"/>
            <w:vAlign w:val="bottom"/>
            <w:gridSpan w:val="3"/>
          </w:tcPr>
          <w:p>
            <w:pPr>
              <w:jc w:val="center"/>
              <w:ind w:left="1410"/>
              <w:spacing w:after="0"/>
              <w:rPr>
                <w:sz w:val="20"/>
                <w:szCs w:val="20"/>
                <w:color w:val="auto"/>
              </w:rPr>
            </w:pPr>
            <w:r>
              <w:rPr>
                <w:rFonts w:ascii="Arial" w:cs="Arial" w:eastAsia="Arial" w:hAnsi="Arial"/>
                <w:sz w:val="18"/>
                <w:szCs w:val="18"/>
                <w:color w:val="0000EE"/>
                <w:w w:val="89"/>
              </w:rPr>
              <w:t>27</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860" w:type="dxa"/>
            <w:vAlign w:val="bottom"/>
            <w:gridSpan w:val="13"/>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0000EE"/>
              </w:rPr>
              <w:t>Item 6.</w:t>
            </w:r>
          </w:p>
        </w:tc>
        <w:tc>
          <w:tcPr>
            <w:tcW w:w="1380" w:type="dxa"/>
            <w:vAlign w:val="bottom"/>
            <w:gridSpan w:val="6"/>
          </w:tcPr>
          <w:p>
            <w:pPr>
              <w:ind w:left="60"/>
              <w:spacing w:after="0"/>
              <w:rPr>
                <w:sz w:val="20"/>
                <w:szCs w:val="20"/>
                <w:color w:val="auto"/>
              </w:rPr>
            </w:pPr>
            <w:r>
              <w:rPr>
                <w:rFonts w:ascii="Arial" w:cs="Arial" w:eastAsia="Arial" w:hAnsi="Arial"/>
                <w:sz w:val="18"/>
                <w:szCs w:val="18"/>
                <w:color w:val="0000EE"/>
              </w:rPr>
              <w:t>Exhibits</w:t>
            </w:r>
          </w:p>
        </w:tc>
        <w:tc>
          <w:tcPr>
            <w:tcW w:w="6860" w:type="dxa"/>
            <w:vAlign w:val="bottom"/>
            <w:gridSpan w:val="13"/>
          </w:tcPr>
          <w:p>
            <w:pPr>
              <w:spacing w:after="0"/>
              <w:rPr>
                <w:sz w:val="24"/>
                <w:szCs w:val="24"/>
                <w:color w:val="auto"/>
              </w:rPr>
            </w:pPr>
          </w:p>
        </w:tc>
        <w:tc>
          <w:tcPr>
            <w:tcW w:w="2320" w:type="dxa"/>
            <w:vAlign w:val="bottom"/>
            <w:gridSpan w:val="3"/>
          </w:tcPr>
          <w:p>
            <w:pPr>
              <w:jc w:val="center"/>
              <w:ind w:left="1410"/>
              <w:spacing w:after="0"/>
              <w:rPr>
                <w:sz w:val="20"/>
                <w:szCs w:val="20"/>
                <w:color w:val="auto"/>
              </w:rPr>
            </w:pPr>
            <w:r>
              <w:rPr>
                <w:rFonts w:ascii="Arial" w:cs="Arial" w:eastAsia="Arial" w:hAnsi="Arial"/>
                <w:sz w:val="18"/>
                <w:szCs w:val="18"/>
                <w:color w:val="0000EE"/>
                <w:w w:val="89"/>
              </w:rPr>
              <w:t>27</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580" w:type="dxa"/>
            <w:vAlign w:val="bottom"/>
            <w:gridSpan w:val="15"/>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40" w:type="dxa"/>
            <w:vAlign w:val="bottom"/>
            <w:gridSpan w:val="5"/>
          </w:tcPr>
          <w:p>
            <w:pPr>
              <w:spacing w:after="0"/>
              <w:rPr>
                <w:sz w:val="20"/>
                <w:szCs w:val="20"/>
                <w:color w:val="auto"/>
              </w:rPr>
            </w:pPr>
            <w:r>
              <w:rPr>
                <w:rFonts w:ascii="Arial" w:cs="Arial" w:eastAsia="Arial" w:hAnsi="Arial"/>
                <w:sz w:val="18"/>
                <w:szCs w:val="18"/>
                <w:color w:val="0000EE"/>
              </w:rPr>
              <w:t>SIGNATURES</w:t>
            </w:r>
          </w:p>
        </w:tc>
        <w:tc>
          <w:tcPr>
            <w:tcW w:w="7580" w:type="dxa"/>
            <w:vAlign w:val="bottom"/>
            <w:gridSpan w:val="15"/>
          </w:tcPr>
          <w:p>
            <w:pPr>
              <w:spacing w:after="0"/>
              <w:rPr>
                <w:sz w:val="24"/>
                <w:szCs w:val="24"/>
                <w:color w:val="auto"/>
              </w:rPr>
            </w:pPr>
          </w:p>
        </w:tc>
        <w:tc>
          <w:tcPr>
            <w:tcW w:w="2320" w:type="dxa"/>
            <w:vAlign w:val="bottom"/>
            <w:gridSpan w:val="3"/>
          </w:tcPr>
          <w:p>
            <w:pPr>
              <w:jc w:val="center"/>
              <w:ind w:left="1410"/>
              <w:spacing w:after="0"/>
              <w:rPr>
                <w:sz w:val="20"/>
                <w:szCs w:val="20"/>
                <w:color w:val="auto"/>
              </w:rPr>
            </w:pPr>
            <w:r>
              <w:rPr>
                <w:rFonts w:ascii="Arial" w:cs="Arial" w:eastAsia="Arial" w:hAnsi="Arial"/>
                <w:sz w:val="18"/>
                <w:szCs w:val="18"/>
                <w:color w:val="0000EE"/>
                <w:w w:val="89"/>
              </w:rPr>
              <w:t>28</w:t>
            </w:r>
          </w:p>
        </w:tc>
        <w:tc>
          <w:tcPr>
            <w:tcW w:w="0" w:type="dxa"/>
            <w:vAlign w:val="bottom"/>
          </w:tcPr>
          <w:p>
            <w:pPr>
              <w:spacing w:after="0"/>
              <w:rPr>
                <w:sz w:val="1"/>
                <w:szCs w:val="1"/>
                <w:color w:val="auto"/>
              </w:rPr>
            </w:pPr>
          </w:p>
        </w:tc>
      </w:tr>
      <w:tr>
        <w:trPr>
          <w:trHeight w:val="668"/>
        </w:trPr>
        <w:tc>
          <w:tcPr>
            <w:tcW w:w="6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gridSpan w:val="2"/>
          </w:tcPr>
          <w:p>
            <w:pPr>
              <w:spacing w:after="0"/>
              <w:rPr>
                <w:sz w:val="24"/>
                <w:szCs w:val="24"/>
                <w:color w:val="auto"/>
              </w:rPr>
            </w:pPr>
          </w:p>
        </w:tc>
        <w:tc>
          <w:tcPr>
            <w:tcW w:w="6100" w:type="dxa"/>
            <w:vAlign w:val="bottom"/>
            <w:gridSpan w:val="16"/>
          </w:tcPr>
          <w:p>
            <w:pPr>
              <w:jc w:val="center"/>
              <w:ind w:left="2850"/>
              <w:spacing w:after="0"/>
              <w:rPr>
                <w:sz w:val="20"/>
                <w:szCs w:val="20"/>
                <w:color w:val="auto"/>
              </w:rPr>
            </w:pPr>
            <w:r>
              <w:rPr>
                <w:rFonts w:ascii="Arial" w:cs="Arial" w:eastAsia="Arial" w:hAnsi="Arial"/>
                <w:sz w:val="18"/>
                <w:szCs w:val="18"/>
                <w:color w:val="auto"/>
                <w:w w:val="79"/>
              </w:rPr>
              <w:t>2</w:t>
            </w:r>
          </w:p>
        </w:tc>
        <w:tc>
          <w:tcPr>
            <w:tcW w:w="1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September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190"/>
        </w:trPr>
        <w:tc>
          <w:tcPr>
            <w:tcW w:w="4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5"/>
              </w:rPr>
              <w:t>Assets</w:t>
            </w:r>
          </w:p>
        </w:tc>
        <w:tc>
          <w:tcPr>
            <w:tcW w:w="724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7,821</w:t>
            </w:r>
          </w:p>
        </w:tc>
      </w:tr>
      <w:tr>
        <w:trPr>
          <w:trHeight w:val="216"/>
        </w:trPr>
        <w:tc>
          <w:tcPr>
            <w:tcW w:w="7720" w:type="dxa"/>
            <w:vAlign w:val="bottom"/>
            <w:gridSpan w:val="3"/>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15,023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21,834</w:t>
            </w:r>
          </w:p>
        </w:tc>
      </w:tr>
      <w:tr>
        <w:trPr>
          <w:trHeight w:val="216"/>
        </w:trPr>
        <w:tc>
          <w:tcPr>
            <w:tcW w:w="7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27,587</w:t>
            </w:r>
          </w:p>
        </w:tc>
      </w:tr>
      <w:tr>
        <w:trPr>
          <w:trHeight w:val="216"/>
        </w:trPr>
        <w:tc>
          <w:tcPr>
            <w:tcW w:w="772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5,535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4,341</w:t>
            </w:r>
          </w:p>
        </w:tc>
      </w:tr>
      <w:tr>
        <w:trPr>
          <w:trHeight w:val="210"/>
        </w:trPr>
        <w:tc>
          <w:tcPr>
            <w:tcW w:w="7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61,583</w:t>
            </w: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3,415</w:t>
            </w:r>
          </w:p>
        </w:tc>
      </w:tr>
      <w:tr>
        <w:trPr>
          <w:trHeight w:val="216"/>
        </w:trPr>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6,897</w:t>
            </w: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54,851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57,689</w:t>
            </w:r>
          </w:p>
        </w:tc>
      </w:tr>
      <w:tr>
        <w:trPr>
          <w:trHeight w:val="216"/>
        </w:trPr>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27,385</w:t>
            </w: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8,306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5,375</w:t>
            </w:r>
          </w:p>
        </w:tc>
      </w:tr>
      <w:tr>
        <w:trPr>
          <w:trHeight w:val="249"/>
        </w:trPr>
        <w:tc>
          <w:tcPr>
            <w:tcW w:w="7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147,013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162,344</w:t>
            </w:r>
          </w:p>
        </w:tc>
      </w:tr>
      <w:tr>
        <w:trPr>
          <w:trHeight w:val="156"/>
        </w:trPr>
        <w:tc>
          <w:tcPr>
            <w:tcW w:w="7720" w:type="dxa"/>
            <w:vAlign w:val="bottom"/>
            <w:tcBorders>
              <w:top w:val="single" w:sz="8" w:color="CCEEFF"/>
            </w:tcBorders>
            <w:gridSpan w:val="3"/>
          </w:tcPr>
          <w:p>
            <w:pPr>
              <w:spacing w:after="0" w:line="156" w:lineRule="exact"/>
              <w:rPr>
                <w:sz w:val="20"/>
                <w:szCs w:val="20"/>
                <w:color w:val="auto"/>
              </w:rPr>
            </w:pPr>
            <w:r>
              <w:rPr>
                <w:rFonts w:ascii="Arial" w:cs="Arial" w:eastAsia="Arial" w:hAnsi="Arial"/>
                <w:sz w:val="18"/>
                <w:szCs w:val="18"/>
                <w:color w:val="auto"/>
              </w:rPr>
              <w:t>Liabilities and Stockholders' Equity</w:t>
            </w:r>
          </w:p>
        </w:tc>
        <w:tc>
          <w:tcPr>
            <w:tcW w:w="16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6"/>
        </w:trPr>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720" w:type="dxa"/>
            <w:vAlign w:val="bottom"/>
            <w:gridSpan w:val="3"/>
          </w:tcPr>
          <w:p>
            <w:pPr>
              <w:ind w:left="18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2,720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3,235</w:t>
            </w:r>
          </w:p>
        </w:tc>
      </w:tr>
      <w:tr>
        <w:trPr>
          <w:trHeight w:val="216"/>
        </w:trPr>
        <w:tc>
          <w:tcPr>
            <w:tcW w:w="7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2,142</w:t>
            </w:r>
          </w:p>
        </w:tc>
      </w:tr>
      <w:tr>
        <w:trPr>
          <w:trHeight w:val="216"/>
        </w:trPr>
        <w:tc>
          <w:tcPr>
            <w:tcW w:w="772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5,877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4,911</w:t>
            </w:r>
          </w:p>
        </w:tc>
      </w:tr>
      <w:tr>
        <w:trPr>
          <w:trHeight w:val="216"/>
        </w:trPr>
        <w:tc>
          <w:tcPr>
            <w:tcW w:w="7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4,266</w:t>
            </w:r>
          </w:p>
        </w:tc>
      </w:tr>
      <w:tr>
        <w:trPr>
          <w:trHeight w:val="216"/>
        </w:trPr>
        <w:tc>
          <w:tcPr>
            <w:tcW w:w="772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10,762</w:t>
            </w:r>
          </w:p>
        </w:tc>
      </w:tr>
      <w:tr>
        <w:trPr>
          <w:trHeight w:val="210"/>
        </w:trPr>
        <w:tc>
          <w:tcPr>
            <w:tcW w:w="7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25,316</w:t>
            </w: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color w:val="auto"/>
              </w:rPr>
              <w:t>Long-term debt,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46,534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45,095</w:t>
            </w:r>
          </w:p>
        </w:tc>
      </w:tr>
      <w:tr>
        <w:trPr>
          <w:trHeight w:val="216"/>
        </w:trPr>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1,558</w:t>
            </w: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5,539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6,488</w:t>
            </w:r>
          </w:p>
        </w:tc>
      </w:tr>
      <w:tr>
        <w:trPr>
          <w:trHeight w:val="216"/>
        </w:trPr>
        <w:tc>
          <w:tcPr>
            <w:tcW w:w="7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r>
      <w:tr>
        <w:trPr>
          <w:trHeight w:val="210"/>
        </w:trPr>
        <w:tc>
          <w:tcPr>
            <w:tcW w:w="7720" w:type="dxa"/>
            <w:vAlign w:val="bottom"/>
            <w:gridSpan w:val="3"/>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75,034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78,943</w:t>
            </w:r>
          </w:p>
        </w:tc>
      </w:tr>
      <w:tr>
        <w:trPr>
          <w:trHeight w:val="210"/>
        </w:trPr>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 Note 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Preferred stock, par value $0.01 per share, 5,000,000 shares authorized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2"/>
        </w:trPr>
        <w:tc>
          <w:tcPr>
            <w:tcW w:w="772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0"/>
              </w:rPr>
              <w:t>Common stock, par value $0.01 per share, 80,000,000 shares authorized: 41,657,688 shares issued and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0"/>
        </w:trPr>
        <w:tc>
          <w:tcPr>
            <w:tcW w:w="7720" w:type="dxa"/>
            <w:vAlign w:val="bottom"/>
            <w:gridSpan w:val="3"/>
          </w:tcPr>
          <w:p>
            <w:pPr>
              <w:ind w:left="340"/>
              <w:spacing w:after="0"/>
              <w:rPr>
                <w:sz w:val="20"/>
                <w:szCs w:val="20"/>
                <w:color w:val="auto"/>
              </w:rPr>
            </w:pPr>
            <w:r>
              <w:rPr>
                <w:rFonts w:ascii="Arial" w:cs="Arial" w:eastAsia="Arial" w:hAnsi="Arial"/>
                <w:sz w:val="18"/>
                <w:szCs w:val="18"/>
                <w:color w:val="auto"/>
                <w:w w:val="90"/>
              </w:rPr>
              <w:t>outstanding at September 30, 2022; 41,142,876 shares issued and outstanding at December 31, 2021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452</w:t>
            </w:r>
          </w:p>
        </w:tc>
      </w:tr>
      <w:tr>
        <w:trPr>
          <w:trHeight w:val="216"/>
        </w:trPr>
        <w:tc>
          <w:tcPr>
            <w:tcW w:w="7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228,229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225,650</w:t>
            </w:r>
          </w:p>
        </w:tc>
      </w:tr>
      <w:tr>
        <w:trPr>
          <w:trHeight w:val="216"/>
        </w:trPr>
        <w:tc>
          <w:tcPr>
            <w:tcW w:w="7720" w:type="dxa"/>
            <w:vAlign w:val="bottom"/>
            <w:gridSpan w:val="3"/>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(140,524)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(132,674)</w:t>
            </w:r>
          </w:p>
        </w:tc>
      </w:tr>
      <w:tr>
        <w:trPr>
          <w:trHeight w:val="216"/>
        </w:trPr>
        <w:tc>
          <w:tcPr>
            <w:tcW w:w="77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r>
      <w:tr>
        <w:trPr>
          <w:trHeight w:val="210"/>
        </w:trPr>
        <w:tc>
          <w:tcPr>
            <w:tcW w:w="7720" w:type="dxa"/>
            <w:vAlign w:val="bottom"/>
            <w:gridSpan w:val="3"/>
          </w:tcPr>
          <w:p>
            <w:pPr>
              <w:ind w:left="18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71,979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83,401</w:t>
            </w:r>
          </w:p>
        </w:tc>
      </w:tr>
      <w:tr>
        <w:trPr>
          <w:trHeight w:val="230"/>
        </w:trPr>
        <w:tc>
          <w:tcPr>
            <w:tcW w:w="7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147,013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162,344</w:t>
            </w:r>
          </w:p>
        </w:tc>
      </w:tr>
      <w:tr>
        <w:trPr>
          <w:trHeight w:val="20"/>
        </w:trPr>
        <w:tc>
          <w:tcPr>
            <w:tcW w:w="4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372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9"/>
              </w:rPr>
              <w:t>HARVARD BIOSCIENCE, INC.</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100" w:type="dxa"/>
            <w:vAlign w:val="bottom"/>
            <w:gridSpan w:val="6"/>
          </w:tcPr>
          <w:p>
            <w:pPr>
              <w:jc w:val="center"/>
              <w:ind w:right="41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180" w:type="dxa"/>
            <w:vAlign w:val="bottom"/>
            <w:gridSpan w:val="5"/>
          </w:tcPr>
          <w:p>
            <w:pPr>
              <w:jc w:val="center"/>
              <w:ind w:left="290"/>
              <w:spacing w:after="0"/>
              <w:rPr>
                <w:sz w:val="20"/>
                <w:szCs w:val="20"/>
                <w:color w:val="auto"/>
              </w:rPr>
            </w:pPr>
            <w:r>
              <w:rPr>
                <w:rFonts w:ascii="Arial" w:cs="Arial" w:eastAsia="Arial" w:hAnsi="Arial"/>
                <w:sz w:val="18"/>
                <w:szCs w:val="18"/>
                <w:b w:val="1"/>
                <w:bCs w:val="1"/>
                <w:color w:val="auto"/>
                <w:w w:val="89"/>
              </w:rPr>
              <w:t>(Unaudited, in thousands, except per share data)</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40" w:type="dxa"/>
            <w:vAlign w:val="bottom"/>
            <w:gridSpan w:val="5"/>
          </w:tcPr>
          <w:p>
            <w:pPr>
              <w:spacing w:after="0"/>
              <w:rPr>
                <w:sz w:val="20"/>
                <w:szCs w:val="20"/>
                <w:color w:val="auto"/>
              </w:rPr>
            </w:pPr>
            <w:r>
              <w:rPr>
                <w:rFonts w:ascii="Arial" w:cs="Arial" w:eastAsia="Arial" w:hAnsi="Arial"/>
                <w:sz w:val="18"/>
                <w:szCs w:val="18"/>
                <w:b w:val="1"/>
                <w:bCs w:val="1"/>
                <w:color w:val="auto"/>
                <w:w w:val="94"/>
              </w:rPr>
              <w:t>Three Months Ended September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060" w:type="dxa"/>
            <w:vAlign w:val="bottom"/>
            <w:tcBorders>
              <w:bottom w:val="single" w:sz="8" w:color="auto"/>
            </w:tcBorders>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09"/>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70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26,922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84,908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85,849</w:t>
            </w: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2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14,750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13,355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39,922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37,757</w:t>
            </w:r>
          </w:p>
        </w:tc>
      </w:tr>
      <w:tr>
        <w:trPr>
          <w:trHeight w:val="209"/>
        </w:trPr>
        <w:tc>
          <w:tcPr>
            <w:tcW w:w="3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12,172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16,308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44,986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48,092</w:t>
            </w:r>
          </w:p>
        </w:tc>
      </w:tr>
      <w:tr>
        <w:trPr>
          <w:trHeight w:val="209"/>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 expenses</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17,299</w:t>
            </w: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 expenses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18,630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18,190</w:t>
            </w:r>
          </w:p>
        </w:tc>
      </w:tr>
      <w:tr>
        <w:trPr>
          <w:trHeight w:val="216"/>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7,848</w:t>
            </w: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4,388</w:t>
            </w:r>
          </w:p>
        </w:tc>
      </w:tr>
      <w:tr>
        <w:trPr>
          <w:trHeight w:val="216"/>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Settlement of litigation, net - Note 13</w:t>
            </w:r>
          </w:p>
        </w:tc>
        <w:tc>
          <w:tcPr>
            <w:tcW w:w="2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33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15,934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15,760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51,462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47,725</w:t>
            </w:r>
          </w:p>
        </w:tc>
      </w:tr>
      <w:tr>
        <w:trPr>
          <w:trHeight w:val="209"/>
        </w:trPr>
        <w:tc>
          <w:tcPr>
            <w:tcW w:w="1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Operating (loss) income</w:t>
            </w:r>
          </w:p>
        </w:tc>
        <w:tc>
          <w:tcPr>
            <w:tcW w:w="2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w:t>
            </w:r>
          </w:p>
        </w:tc>
      </w:tr>
      <w:tr>
        <w:trPr>
          <w:trHeight w:val="209"/>
        </w:trPr>
        <w:tc>
          <w:tcPr>
            <w:tcW w:w="1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Other expense, net</w:t>
            </w:r>
          </w:p>
        </w:tc>
        <w:tc>
          <w:tcPr>
            <w:tcW w:w="2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209"/>
        </w:trPr>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2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r>
      <w:tr>
        <w:trPr>
          <w:trHeight w:val="210"/>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2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70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197"/>
        </w:trPr>
        <w:tc>
          <w:tcPr>
            <w:tcW w:w="1280" w:type="dxa"/>
            <w:vAlign w:val="bottom"/>
            <w:tcBorders>
              <w:top w:val="single" w:sz="8" w:color="CCEEFF"/>
            </w:tcBorders>
          </w:tcPr>
          <w:p>
            <w:pPr>
              <w:spacing w:after="0"/>
              <w:rPr>
                <w:sz w:val="17"/>
                <w:szCs w:val="17"/>
                <w:color w:val="auto"/>
              </w:rPr>
            </w:pPr>
          </w:p>
        </w:tc>
        <w:tc>
          <w:tcPr>
            <w:tcW w:w="2040" w:type="dxa"/>
            <w:vAlign w:val="bottom"/>
            <w:tcBorders>
              <w:top w:val="single" w:sz="8" w:color="CCEEFF"/>
            </w:tcBorders>
          </w:tcPr>
          <w:p>
            <w:pPr>
              <w:spacing w:after="0"/>
              <w:rPr>
                <w:sz w:val="17"/>
                <w:szCs w:val="17"/>
                <w:color w:val="auto"/>
              </w:rPr>
            </w:pPr>
          </w:p>
        </w:tc>
        <w:tc>
          <w:tcPr>
            <w:tcW w:w="24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16"/>
        </w:trPr>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2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r>
      <w:tr>
        <w:trPr>
          <w:trHeight w:val="210"/>
        </w:trPr>
        <w:tc>
          <w:tcPr>
            <w:tcW w:w="3320" w:type="dxa"/>
            <w:vAlign w:val="bottom"/>
            <w:gridSpan w:val="2"/>
          </w:tcPr>
          <w:p>
            <w:pPr>
              <w:ind w:left="180"/>
              <w:spacing w:after="0"/>
              <w:rPr>
                <w:sz w:val="20"/>
                <w:szCs w:val="20"/>
                <w:color w:val="auto"/>
              </w:rPr>
            </w:pPr>
            <w:r>
              <w:rPr>
                <w:rFonts w:ascii="Arial" w:cs="Arial" w:eastAsia="Arial" w:hAnsi="Arial"/>
                <w:sz w:val="18"/>
                <w:szCs w:val="18"/>
                <w:color w:val="auto"/>
                <w:w w:val="94"/>
              </w:rPr>
              <w:t>Basic and diluted loss per common share</w:t>
            </w:r>
          </w:p>
        </w:tc>
        <w:tc>
          <w:tcPr>
            <w:tcW w:w="2700" w:type="dxa"/>
            <w:vAlign w:val="bottom"/>
            <w:gridSpan w:val="2"/>
          </w:tcPr>
          <w:p>
            <w:pPr>
              <w:ind w:left="24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(0.08)</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0"/>
        </w:trPr>
        <w:tc>
          <w:tcPr>
            <w:tcW w:w="1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Weighted-average common shares: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41,353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40,202</w:t>
            </w:r>
          </w:p>
        </w:tc>
      </w:tr>
    </w:tbl>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7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362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99"/>
              </w:rPr>
              <w:t>HARVARD BIOSCIENCE, INC.</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320" w:type="dxa"/>
            <w:vAlign w:val="bottom"/>
            <w:gridSpan w:val="7"/>
          </w:tcPr>
          <w:p>
            <w:pPr>
              <w:jc w:val="center"/>
              <w:ind w:left="1270"/>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62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90"/>
              </w:rPr>
              <w:t>(Unaudited, in thousands)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b w:val="1"/>
                <w:bCs w:val="1"/>
                <w:color w:val="auto"/>
                <w:w w:val="94"/>
              </w:rPr>
              <w:t>Three Months Ended September</w:t>
            </w: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1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09"/>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48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r>
      <w:tr>
        <w:trPr>
          <w:trHeight w:val="209"/>
        </w:trPr>
        <w:tc>
          <w:tcPr>
            <w:tcW w:w="374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2480" w:type="dxa"/>
            <w:vAlign w:val="bottom"/>
            <w:gridSpan w:val="2"/>
          </w:tcPr>
          <w:p>
            <w:pPr>
              <w:ind w:left="2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(6,341)</w:t>
            </w:r>
          </w:p>
        </w:tc>
        <w:tc>
          <w:tcPr>
            <w:tcW w:w="1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(1,305)</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(14,002)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(3,186)</w:t>
            </w:r>
          </w:p>
        </w:tc>
      </w:tr>
      <w:tr>
        <w:trPr>
          <w:trHeight w:val="20"/>
        </w:trPr>
        <w:tc>
          <w:tcPr>
            <w:tcW w:w="1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7"/>
          </w:tcPr>
          <w:p>
            <w:pPr>
              <w:jc w:val="center"/>
              <w:ind w:right="450"/>
              <w:spacing w:after="0"/>
              <w:rPr>
                <w:sz w:val="20"/>
                <w:szCs w:val="20"/>
                <w:color w:val="auto"/>
              </w:rPr>
            </w:pPr>
            <w:r>
              <w:rPr>
                <w:rFonts w:ascii="Arial" w:cs="Arial" w:eastAsia="Arial" w:hAnsi="Arial"/>
                <w:sz w:val="18"/>
                <w:szCs w:val="18"/>
                <w:b w:val="1"/>
                <w:bCs w:val="1"/>
                <w:color w:val="auto"/>
                <w:w w:val="99"/>
              </w:rPr>
              <w:t>HARVARD BIOSCIENCE, INC.</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40" w:type="dxa"/>
            <w:vAlign w:val="bottom"/>
            <w:gridSpan w:val="14"/>
          </w:tcPr>
          <w:p>
            <w:pPr>
              <w:jc w:val="center"/>
              <w:ind w:right="37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7"/>
          </w:tcPr>
          <w:p>
            <w:pPr>
              <w:jc w:val="center"/>
              <w:ind w:right="450"/>
              <w:spacing w:after="0"/>
              <w:rPr>
                <w:sz w:val="20"/>
                <w:szCs w:val="20"/>
                <w:color w:val="auto"/>
              </w:rPr>
            </w:pPr>
            <w:r>
              <w:rPr>
                <w:rFonts w:ascii="Arial" w:cs="Arial" w:eastAsia="Arial" w:hAnsi="Arial"/>
                <w:sz w:val="18"/>
                <w:szCs w:val="18"/>
                <w:b w:val="1"/>
                <w:bCs w:val="1"/>
                <w:color w:val="auto"/>
                <w:w w:val="90"/>
              </w:rPr>
              <w:t>(Unaudited, in thousands)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28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8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9"/>
              </w:rPr>
              <w:t>September 30, 2022</w:t>
            </w:r>
          </w:p>
        </w:tc>
        <w:tc>
          <w:tcPr>
            <w:tcW w:w="24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9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Accumulated</w:t>
            </w:r>
          </w:p>
        </w:tc>
        <w:tc>
          <w:tcPr>
            <w:tcW w:w="140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Treasury</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4"/>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Issued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2022</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227,413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(137,119)</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77,504</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Stock option exercises</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Vesting of restricted stock units</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Shares withheld for taxes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Stock-based compensation expense</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(3,405)</w:t>
            </w:r>
          </w:p>
        </w:tc>
      </w:tr>
      <w:tr>
        <w:trPr>
          <w:trHeight w:val="216"/>
        </w:trPr>
        <w:tc>
          <w:tcPr>
            <w:tcW w:w="2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r>
      <w:tr>
        <w:trPr>
          <w:trHeight w:val="210"/>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2022</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41,657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228,229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(140,524)</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(16,179)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71,979</w:t>
            </w:r>
          </w:p>
        </w:tc>
      </w:tr>
      <w:tr>
        <w:trPr>
          <w:trHeight w:val="20"/>
        </w:trPr>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94"/>
        </w:trPr>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28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8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9"/>
              </w:rPr>
              <w:t>September 30, 2021</w:t>
            </w:r>
          </w:p>
        </w:tc>
        <w:tc>
          <w:tcPr>
            <w:tcW w:w="24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9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Accumulated</w:t>
            </w:r>
          </w:p>
        </w:tc>
        <w:tc>
          <w:tcPr>
            <w:tcW w:w="140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Treasury</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4"/>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Issued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2021</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40,486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225,583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(133,465)</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78,701</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Stock option exercises</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Vesting of restricted stock units</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Shares withheld for taxes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(1,663)</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Stock-based compensation expense</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1,004</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2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r>
      <w:tr>
        <w:trPr>
          <w:trHeight w:val="210"/>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2021</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40,809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225,074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(133,635)</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(15,003)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76,887</w:t>
            </w:r>
          </w:p>
        </w:tc>
      </w:tr>
      <w:tr>
        <w:trPr>
          <w:trHeight w:val="20"/>
        </w:trPr>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94"/>
        </w:trPr>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28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8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9"/>
              </w:rPr>
              <w:t>September 30, 2022</w:t>
            </w:r>
          </w:p>
        </w:tc>
        <w:tc>
          <w:tcPr>
            <w:tcW w:w="24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9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Accumulated</w:t>
            </w:r>
          </w:p>
        </w:tc>
        <w:tc>
          <w:tcPr>
            <w:tcW w:w="140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Treasury</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4"/>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Issued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41,143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225,650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(132,674)</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83,401</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Stock option exercises</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purchase plan</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Vesting of restricted stock units</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withheld for taxes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w w:val="90"/>
              </w:rPr>
              <w:t>Stock-based compensation expense</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3,401</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(6,152)</w:t>
            </w:r>
          </w:p>
        </w:tc>
      </w:tr>
      <w:tr>
        <w:trPr>
          <w:trHeight w:val="25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2022</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41,657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228,229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(140,524)</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71,979</w:t>
            </w:r>
          </w:p>
        </w:tc>
      </w:tr>
      <w:tr>
        <w:trPr>
          <w:trHeight w:val="394"/>
        </w:trPr>
        <w:tc>
          <w:tcPr>
            <w:tcW w:w="128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300" w:type="dxa"/>
            <w:vAlign w:val="bottom"/>
            <w:tcBorders>
              <w:top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16"/>
        </w:trPr>
        <w:tc>
          <w:tcPr>
            <w:tcW w:w="28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8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9"/>
              </w:rPr>
              <w:t>September 30, 2021</w:t>
            </w:r>
          </w:p>
        </w:tc>
        <w:tc>
          <w:tcPr>
            <w:tcW w:w="24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9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Accumulated</w:t>
            </w:r>
          </w:p>
        </w:tc>
        <w:tc>
          <w:tcPr>
            <w:tcW w:w="140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Treasury</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4"/>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Issued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47,153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232,357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(132,386)</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76,681</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Retirement of treasury stock</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(7,746)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10,668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option exercises</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2,707</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Stock purchase plan</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Vesting of restricted stock units</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Shares withheld for taxes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(2,653)</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Stock-based compensation expense</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3,136</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16"/>
        </w:trPr>
        <w:tc>
          <w:tcPr>
            <w:tcW w:w="2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r>
      <w:tr>
        <w:trPr>
          <w:trHeight w:val="210"/>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2021</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40,809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225,074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(133,635)</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(15,003)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76,887</w:t>
            </w:r>
          </w:p>
        </w:tc>
      </w:tr>
      <w:tr>
        <w:trPr>
          <w:trHeight w:val="20"/>
        </w:trPr>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2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5940" w:type="dxa"/>
            <w:vAlign w:val="bottom"/>
          </w:tcPr>
          <w:p>
            <w:pPr>
              <w:jc w:val="center"/>
              <w:ind w:left="2650"/>
              <w:spacing w:after="0"/>
              <w:rPr>
                <w:sz w:val="20"/>
                <w:szCs w:val="20"/>
                <w:color w:val="auto"/>
              </w:rPr>
            </w:pPr>
            <w:r>
              <w:rPr>
                <w:rFonts w:ascii="Arial" w:cs="Arial" w:eastAsia="Arial" w:hAnsi="Arial"/>
                <w:sz w:val="18"/>
                <w:szCs w:val="18"/>
                <w:b w:val="1"/>
                <w:bCs w:val="1"/>
                <w:color w:val="auto"/>
                <w:w w:val="99"/>
              </w:rPr>
              <w:t>HARVARD BIOSCIENCE, INC.</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360" w:type="dxa"/>
            <w:vAlign w:val="bottom"/>
            <w:gridSpan w:val="3"/>
          </w:tcPr>
          <w:p>
            <w:pPr>
              <w:jc w:val="center"/>
              <w:ind w:left="123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5940" w:type="dxa"/>
            <w:vAlign w:val="bottom"/>
          </w:tcPr>
          <w:p>
            <w:pPr>
              <w:jc w:val="center"/>
              <w:ind w:left="2650"/>
              <w:spacing w:after="0"/>
              <w:rPr>
                <w:sz w:val="20"/>
                <w:szCs w:val="20"/>
                <w:color w:val="auto"/>
              </w:rPr>
            </w:pPr>
            <w:r>
              <w:rPr>
                <w:rFonts w:ascii="Arial" w:cs="Arial" w:eastAsia="Arial" w:hAnsi="Arial"/>
                <w:sz w:val="18"/>
                <w:szCs w:val="18"/>
                <w:b w:val="1"/>
                <w:bCs w:val="1"/>
                <w:color w:val="auto"/>
                <w:w w:val="90"/>
              </w:rPr>
              <w:t>(Unaudited, in thousands)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Nine Months Ended September 30,</w:t>
            </w:r>
          </w:p>
        </w:tc>
      </w:tr>
      <w:tr>
        <w:trPr>
          <w:trHeight w:val="210"/>
        </w:trPr>
        <w:tc>
          <w:tcPr>
            <w:tcW w:w="12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209"/>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(7,850)</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1,311</w:t>
            </w:r>
          </w:p>
        </w:tc>
      </w:tr>
      <w:tr>
        <w:trPr>
          <w:trHeight w:val="216"/>
        </w:trPr>
        <w:tc>
          <w:tcPr>
            <w:tcW w:w="7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4,388</w:t>
            </w:r>
          </w:p>
        </w:tc>
      </w:tr>
      <w:tr>
        <w:trPr>
          <w:trHeight w:val="216"/>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210</w:t>
            </w:r>
          </w:p>
        </w:tc>
      </w:tr>
      <w:tr>
        <w:trPr>
          <w:trHeight w:val="216"/>
        </w:trPr>
        <w:tc>
          <w:tcPr>
            <w:tcW w:w="7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3,136</w:t>
            </w:r>
          </w:p>
        </w:tc>
      </w:tr>
      <w:tr>
        <w:trPr>
          <w:trHeight w:val="216"/>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Deferred income taxes and other</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16"/>
        </w:trPr>
        <w:tc>
          <w:tcPr>
            <w:tcW w:w="7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Convertible Preferred Stock - Note 13</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6,060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16"/>
        </w:trPr>
        <w:tc>
          <w:tcPr>
            <w:tcW w:w="722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(4,048)</w:t>
            </w:r>
          </w:p>
        </w:tc>
      </w:tr>
      <w:tr>
        <w:trPr>
          <w:trHeight w:val="216"/>
        </w:trPr>
        <w:tc>
          <w:tcPr>
            <w:tcW w:w="7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r>
      <w:tr>
        <w:trPr>
          <w:trHeight w:val="216"/>
        </w:trPr>
        <w:tc>
          <w:tcPr>
            <w:tcW w:w="722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1,901</w:t>
            </w:r>
          </w:p>
        </w:tc>
      </w:tr>
      <w:tr>
        <w:trPr>
          <w:trHeight w:val="216"/>
        </w:trPr>
        <w:tc>
          <w:tcPr>
            <w:tcW w:w="7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7220" w:type="dxa"/>
            <w:vAlign w:val="bottom"/>
            <w:gridSpan w:val="2"/>
          </w:tcPr>
          <w:p>
            <w:pPr>
              <w:ind w:left="34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r>
      <w:tr>
        <w:trPr>
          <w:trHeight w:val="209"/>
        </w:trPr>
        <w:tc>
          <w:tcPr>
            <w:tcW w:w="7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1,145</w:t>
            </w:r>
          </w:p>
        </w:tc>
      </w:tr>
      <w:tr>
        <w:trPr>
          <w:trHeight w:val="210"/>
        </w:trPr>
        <w:tc>
          <w:tcPr>
            <w:tcW w:w="72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16"/>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Additions to intangible assets</w:t>
            </w:r>
          </w:p>
        </w:tc>
        <w:tc>
          <w:tcPr>
            <w:tcW w:w="3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10"/>
        </w:trPr>
        <w:tc>
          <w:tcPr>
            <w:tcW w:w="7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09"/>
        </w:trPr>
        <w:tc>
          <w:tcPr>
            <w:tcW w:w="72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Borrowing on bank line of credit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2,500</w:t>
            </w:r>
          </w:p>
        </w:tc>
      </w:tr>
      <w:tr>
        <w:trPr>
          <w:trHeight w:val="216"/>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Repayment on bank line of credit</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16"/>
        </w:trPr>
        <w:tc>
          <w:tcPr>
            <w:tcW w:w="7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Repayment of term debt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16"/>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7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2,909</w:t>
            </w:r>
          </w:p>
        </w:tc>
      </w:tr>
      <w:tr>
        <w:trPr>
          <w:trHeight w:val="216"/>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3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w:t>
            </w:r>
          </w:p>
        </w:tc>
      </w:tr>
      <w:tr>
        <w:trPr>
          <w:trHeight w:val="210"/>
        </w:trPr>
        <w:tc>
          <w:tcPr>
            <w:tcW w:w="72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r>
      <w:tr>
        <w:trPr>
          <w:trHeight w:val="210"/>
        </w:trPr>
        <w:tc>
          <w:tcPr>
            <w:tcW w:w="72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10"/>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7,821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8,317</w:t>
            </w:r>
          </w:p>
        </w:tc>
      </w:tr>
      <w:tr>
        <w:trPr>
          <w:trHeight w:val="250"/>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2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5,144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5,548</w:t>
            </w:r>
          </w:p>
        </w:tc>
      </w:tr>
      <w:tr>
        <w:trPr>
          <w:trHeight w:val="196"/>
        </w:trPr>
        <w:tc>
          <w:tcPr>
            <w:tcW w:w="722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Supplemental disclosures of cash flow information:</w:t>
            </w:r>
          </w:p>
        </w:tc>
        <w:tc>
          <w:tcPr>
            <w:tcW w:w="34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16"/>
        </w:trPr>
        <w:tc>
          <w:tcPr>
            <w:tcW w:w="7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142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836</w:t>
            </w:r>
          </w:p>
        </w:tc>
      </w:tr>
      <w:tr>
        <w:trPr>
          <w:trHeight w:val="230"/>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Cash paid for income taxes, net of refunds</w:t>
            </w:r>
          </w:p>
        </w:tc>
        <w:tc>
          <w:tcPr>
            <w:tcW w:w="142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493</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506</w:t>
            </w:r>
          </w:p>
        </w:tc>
      </w:tr>
    </w:tbl>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ind w:left="400" w:right="3360" w:hanging="395"/>
        <w:spacing w:after="0" w:line="503" w:lineRule="auto"/>
        <w:rPr>
          <w:sz w:val="20"/>
          <w:szCs w:val="20"/>
          <w:color w:val="auto"/>
        </w:rPr>
      </w:pPr>
      <w:r>
        <w:rPr>
          <w:rFonts w:ascii="Arial" w:cs="Arial" w:eastAsia="Arial" w:hAnsi="Arial"/>
          <w:sz w:val="18"/>
          <w:szCs w:val="18"/>
          <w:b w:val="1"/>
          <w:bCs w:val="1"/>
          <w:color w:val="auto"/>
        </w:rPr>
        <w:t xml:space="preserve">1. Basis of Presentation and Summary of Significant Accounting Policies, and Risks and Uncertainties </w:t>
      </w:r>
      <w:r>
        <w:rPr>
          <w:rFonts w:ascii="Arial" w:cs="Arial" w:eastAsia="Arial" w:hAnsi="Arial"/>
          <w:sz w:val="18"/>
          <w:szCs w:val="18"/>
          <w:b w:val="1"/>
          <w:bCs w:val="1"/>
          <w:i w:val="1"/>
          <w:iCs w:val="1"/>
          <w:color w:val="auto"/>
        </w:rPr>
        <w:t>Basis of Presentation and Summary of Significant Accounting Policies</w:t>
      </w:r>
    </w:p>
    <w:p>
      <w:pPr>
        <w:jc w:val="both"/>
        <w:ind w:firstLine="396"/>
        <w:spacing w:after="0" w:line="271" w:lineRule="auto"/>
        <w:rPr>
          <w:sz w:val="20"/>
          <w:szCs w:val="20"/>
          <w:color w:val="auto"/>
        </w:rPr>
      </w:pPr>
      <w:r>
        <w:rPr>
          <w:rFonts w:ascii="Arial" w:cs="Arial" w:eastAsia="Arial" w:hAnsi="Arial"/>
          <w:sz w:val="17"/>
          <w:szCs w:val="17"/>
          <w:color w:val="auto"/>
        </w:rPr>
        <w:t>The unaudited consolidated financial statements of Harvard Bioscience, Inc. and its wholly-owned subsidiaries (collectively, the “Company”) as of September 30, 2022 and for the three and nine months ended September 30, 2022 and 2021, have been prepared by the Company pursuant to the rules and regulations of the Securities and Exchange Commission (the “SEC”). Certain information and footnote disclosures normally included in financial statements prepared in accordance with U.S. generally accepted accounting principles (“U.S. GAAP”) have been condensed or omitted pursuant to such rules and regulations. The December 31, 2021,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2021.</w:t>
      </w:r>
    </w:p>
    <w:p>
      <w:pPr>
        <w:spacing w:after="0" w:line="178"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In the opinion of management, all adjustments, which include normal recurring adjustments necessary to present a fair statement of financial position as of September 30, 2022, results of operations and comprehensive loss and cash flows for the three and nine months ended September 30, 2022 and 2021, as applicable, have been made. The results of operations for the three and nine months ended September 30, 2022, are not necessarily indicative of the operating results for the full fiscal year or any future periods.</w:t>
      </w:r>
    </w:p>
    <w:p>
      <w:pPr>
        <w:spacing w:after="0" w:line="187" w:lineRule="exact"/>
        <w:rPr>
          <w:sz w:val="20"/>
          <w:szCs w:val="20"/>
          <w:color w:val="auto"/>
        </w:rPr>
      </w:pPr>
    </w:p>
    <w:p>
      <w:pPr>
        <w:jc w:val="both"/>
        <w:ind w:firstLine="396"/>
        <w:spacing w:after="0" w:line="286" w:lineRule="auto"/>
        <w:rPr>
          <w:sz w:val="20"/>
          <w:szCs w:val="20"/>
          <w:color w:val="auto"/>
        </w:rPr>
      </w:pPr>
      <w:r>
        <w:rPr>
          <w:rFonts w:ascii="Arial" w:cs="Arial" w:eastAsia="Arial" w:hAnsi="Arial"/>
          <w:sz w:val="17"/>
          <w:szCs w:val="17"/>
          <w:color w:val="auto"/>
        </w:rPr>
        <w:t>The accounting policies underlying the accompanying unaudited consolidated financial statements are set forth in Note 2 to the consolidated financial statements included in the Company’s Annual Report on Form 10-K for the year ended December 31, 2021. There have been no material changes in the Company’s significant accounting policies during the three and nine months ended September 30, 2022.</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The COVID-19 pandemic has had a negative impact on the Company’s operations to date and the future impacts of the pandemic and any resulting economic impact are continuously evolving. Many countries continue to issue COVID-19 related policies in an attempt to control the pandemic. In particular, during the beginning of 2022, China implemented area-wide shutdowns in order to control the spread of COVID-19, which have continued for different parts of China throughout 2022.</w:t>
      </w:r>
    </w:p>
    <w:p>
      <w:pPr>
        <w:spacing w:after="0" w:line="187"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The global supply chain has experienced significant disruptions due to electronic component and labor shortages and other macroeconomic factors which have emerged since the onset of COVID-19, leading to increased cost of freight, purchased materials, and manufacturing labor costs, while also delaying customer shipments. Accordingly, these conditions in addition to the overall impact on the global economy have negatively impacted results of operations and cash flows.</w:t>
      </w:r>
    </w:p>
    <w:p>
      <w:pPr>
        <w:spacing w:after="0" w:line="187" w:lineRule="exact"/>
        <w:rPr>
          <w:sz w:val="20"/>
          <w:szCs w:val="20"/>
          <w:color w:val="auto"/>
        </w:rPr>
      </w:pPr>
    </w:p>
    <w:p>
      <w:pPr>
        <w:jc w:val="both"/>
        <w:ind w:firstLine="396"/>
        <w:spacing w:after="0" w:line="257" w:lineRule="auto"/>
        <w:rPr>
          <w:sz w:val="20"/>
          <w:szCs w:val="20"/>
          <w:color w:val="auto"/>
        </w:rPr>
      </w:pPr>
      <w:r>
        <w:rPr>
          <w:rFonts w:ascii="Arial" w:cs="Arial" w:eastAsia="Arial" w:hAnsi="Arial"/>
          <w:sz w:val="18"/>
          <w:szCs w:val="18"/>
          <w:color w:val="auto"/>
        </w:rPr>
        <w:t>Additionally, during 2022 the global economy has experienced high levels of inflation, rising interest rates and significant fluctuations in currency values, and increasing economic uncertainty, particularly in Europe. The Company’s results of operations have been negatively impacted by higher costs of raw materials, labor and freight resulting from inflationary pressures. These factors and global events including the ongoing military conflict between Russia and Ukraine, a softening economy in Europe and rising interest rates on the Company’s debt may also have a negative impact on the Company’s results.</w:t>
      </w:r>
    </w:p>
    <w:p>
      <w:pPr>
        <w:spacing w:after="0" w:line="188"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If business interruptions resulting from COVID-19 or the current macroeconomic conditions described above were to be prolonged or expanded in scope, the Company’s business, financial condition, results of operations and cash flows would likely be negatively impacted.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400" w:right="7520" w:hanging="392"/>
        <w:spacing w:after="0" w:line="603" w:lineRule="auto"/>
        <w:tabs>
          <w:tab w:leader="none" w:pos="26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Recently Issued Accounting Pronouncements </w:t>
      </w:r>
      <w:r>
        <w:rPr>
          <w:rFonts w:ascii="Arial" w:cs="Arial" w:eastAsia="Arial" w:hAnsi="Arial"/>
          <w:sz w:val="15"/>
          <w:szCs w:val="15"/>
          <w:i w:val="1"/>
          <w:iCs w:val="1"/>
          <w:color w:val="auto"/>
        </w:rPr>
        <w:t>Accounting Pronouncements to be Adopted</w:t>
      </w:r>
    </w:p>
    <w:p>
      <w:pPr>
        <w:spacing w:after="0" w:line="1" w:lineRule="exact"/>
        <w:rPr>
          <w:sz w:val="20"/>
          <w:szCs w:val="20"/>
          <w:color w:val="auto"/>
        </w:rPr>
      </w:pPr>
    </w:p>
    <w:p>
      <w:pPr>
        <w:jc w:val="both"/>
        <w:ind w:firstLine="396"/>
        <w:spacing w:after="0" w:line="272" w:lineRule="auto"/>
        <w:rPr>
          <w:sz w:val="20"/>
          <w:szCs w:val="20"/>
          <w:color w:val="auto"/>
        </w:rPr>
      </w:pPr>
      <w:r>
        <w:rPr>
          <w:rFonts w:ascii="Arial" w:cs="Arial" w:eastAsia="Arial" w:hAnsi="Arial"/>
          <w:sz w:val="17"/>
          <w:szCs w:val="17"/>
          <w:color w:val="auto"/>
        </w:rPr>
        <w:t>In November 2021, the Financial Accounting Standards Board (“FASB”) issued Accounting Standards Update (“ASU”) 2021-10, Government Assistance (Topic 832), Disclosures by Business Entities About Government Assistance (“ASU 2021-10”),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ASU 2021-10 impacts footnote disclosures and will be effective for the Company’s annual financial statements for the year ended December 31, 2022. The Company is currently evaluating the potential impact of adopting ASU 2021-10 will have on its consolidated financial statements.</w:t>
      </w:r>
    </w:p>
    <w:p>
      <w:pPr>
        <w:spacing w:after="0" w:line="177" w:lineRule="exact"/>
        <w:rPr>
          <w:sz w:val="20"/>
          <w:szCs w:val="20"/>
          <w:color w:val="auto"/>
        </w:rPr>
      </w:pPr>
    </w:p>
    <w:p>
      <w:pPr>
        <w:jc w:val="both"/>
        <w:ind w:firstLine="396"/>
        <w:spacing w:after="0" w:line="254"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(“ASU 2017-04”), which eliminates the performance of Step 2 from the goodwill impairment test. In performing its annual or interim impairment testing, an entity will instead compare the fair value of the reporting unit with its carrying amount and recognize any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ASU 2017-04 will be effective for the Company for fiscal years beginning after December 15, 2022. The Company is currently evaluating the potential impact that adopting ASU 2017-04 will have on its consolidated financial statements.</w:t>
      </w:r>
    </w:p>
    <w:p>
      <w:pPr>
        <w:spacing w:after="0" w:line="195" w:lineRule="exact"/>
        <w:rPr>
          <w:sz w:val="20"/>
          <w:szCs w:val="20"/>
          <w:color w:val="auto"/>
        </w:rPr>
      </w:pPr>
    </w:p>
    <w:p>
      <w:pPr>
        <w:jc w:val="both"/>
        <w:ind w:firstLine="396"/>
        <w:spacing w:after="0" w:line="293" w:lineRule="auto"/>
        <w:rPr>
          <w:sz w:val="20"/>
          <w:szCs w:val="20"/>
          <w:color w:val="auto"/>
        </w:rPr>
      </w:pPr>
      <w:r>
        <w:rPr>
          <w:rFonts w:ascii="Arial" w:cs="Arial" w:eastAsia="Arial" w:hAnsi="Arial"/>
          <w:sz w:val="16"/>
          <w:szCs w:val="16"/>
          <w:color w:val="auto"/>
        </w:rPr>
        <w:t>In September 2016, the FASB issued ASU No. 2016-13, Financial Instruments—Credit Losses (Topic 326): Measurement of Credit Losses on Financial Instruments (‘ASU 2016-13’), which amends the impairment model by requiring entities to use a forward-looking approach based on expected losses rather than incurred losses to estimate credit losses on certain types of financial instruments, including trade receivables. This may result in the earlier recognition of allowances for losses. The FASB issued several ASUs after ASU 2016-13 to clarify implementation guidance and to provide transition relief for certain entities. ASU 2016-13 will be effective for the Company for fiscal years beginning after December 15, 2022, with early adoption permitted. The Company believes that the adoption of ASU 2016-13 will not have a significant impact on its consolidated financial statements.</w:t>
      </w:r>
    </w:p>
    <w:p>
      <w:pPr>
        <w:spacing w:after="0" w:line="200" w:lineRule="exact"/>
        <w:rPr>
          <w:sz w:val="20"/>
          <w:szCs w:val="20"/>
          <w:color w:val="auto"/>
        </w:rPr>
      </w:pPr>
    </w:p>
    <w:p>
      <w:pPr>
        <w:spacing w:after="0" w:line="203" w:lineRule="exact"/>
        <w:rPr>
          <w:sz w:val="20"/>
          <w:szCs w:val="20"/>
          <w:color w:val="auto"/>
        </w:rPr>
      </w:pPr>
    </w:p>
    <w:p>
      <w:pPr>
        <w:ind w:left="400" w:right="8580" w:hanging="392"/>
        <w:spacing w:after="0" w:line="503" w:lineRule="auto"/>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The change in the carrying amount of goodwill for the nine months ended September 30, 2022, were as follows:</w:t>
      </w: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(in thousands)</w:t>
            </w: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at December 31, 2021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57,689</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Effect of change in currency translation</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w:t>
            </w:r>
          </w:p>
        </w:tc>
      </w:tr>
      <w:tr>
        <w:trPr>
          <w:trHeight w:val="250"/>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amount at September 30, 2022</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54,851</w:t>
            </w: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Identifiable intangible assets at September 30, 2022 and December 31, 2021 consist of the following:</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18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9"/>
              </w:rPr>
              <w:t>Average</w:t>
            </w: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8"/>
                <w:szCs w:val="18"/>
                <w:b w:val="1"/>
                <w:bCs w:val="1"/>
                <w:color w:val="auto"/>
              </w:rPr>
              <w:t>September 30, 2022</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b w:val="1"/>
                <w:bCs w:val="1"/>
                <w:color w:val="auto"/>
              </w:rPr>
              <w:t>December 31, 2021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8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9"/>
              </w:rPr>
              <w:t>Accumulated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9"/>
              </w:rPr>
              <w:t>Accumulated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Amortizable intangible</w:t>
            </w: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rPr>
              <w:t>Life*</w:t>
            </w:r>
          </w:p>
        </w:tc>
        <w:tc>
          <w:tcPr>
            <w:tcW w:w="200" w:type="dxa"/>
            <w:vAlign w:val="bottom"/>
          </w:tcPr>
          <w:p>
            <w:pPr>
              <w:spacing w:after="0"/>
              <w:rPr>
                <w:sz w:val="18"/>
                <w:szCs w:val="18"/>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color w:val="auto"/>
              </w:rPr>
              <w:t>Gross</w:t>
            </w:r>
          </w:p>
        </w:tc>
        <w:tc>
          <w:tcPr>
            <w:tcW w:w="100" w:type="dxa"/>
            <w:vAlign w:val="bottom"/>
          </w:tcPr>
          <w:p>
            <w:pPr>
              <w:spacing w:after="0"/>
              <w:rPr>
                <w:sz w:val="18"/>
                <w:szCs w:val="18"/>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restart"/>
          </w:tcPr>
          <w:p>
            <w:pPr>
              <w:jc w:val="right"/>
              <w:ind w:right="370"/>
              <w:spacing w:after="0"/>
              <w:rPr>
                <w:sz w:val="20"/>
                <w:szCs w:val="20"/>
                <w:color w:val="auto"/>
              </w:rPr>
            </w:pPr>
            <w:r>
              <w:rPr>
                <w:rFonts w:ascii="Arial" w:cs="Arial" w:eastAsia="Arial" w:hAnsi="Arial"/>
                <w:sz w:val="18"/>
                <w:szCs w:val="18"/>
                <w:color w:val="auto"/>
              </w:rPr>
              <w:t>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color w:val="auto"/>
              </w:rPr>
              <w:t>Gross</w:t>
            </w:r>
          </w:p>
        </w:tc>
        <w:tc>
          <w:tcPr>
            <w:tcW w:w="100" w:type="dxa"/>
            <w:vAlign w:val="bottom"/>
          </w:tcPr>
          <w:p>
            <w:pPr>
              <w:spacing w:after="0"/>
              <w:rPr>
                <w:sz w:val="18"/>
                <w:szCs w:val="18"/>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restart"/>
          </w:tcPr>
          <w:p>
            <w:pPr>
              <w:jc w:val="right"/>
              <w:ind w:right="37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7"/>
        </w:trPr>
        <w:tc>
          <w:tcPr>
            <w:tcW w:w="1820" w:type="dxa"/>
            <w:vAlign w:val="bottom"/>
          </w:tcPr>
          <w:p>
            <w:pPr>
              <w:spacing w:after="0"/>
              <w:rPr>
                <w:sz w:val="20"/>
                <w:szCs w:val="20"/>
                <w:color w:val="auto"/>
              </w:rPr>
            </w:pPr>
            <w:r>
              <w:rPr>
                <w:rFonts w:ascii="Arial" w:cs="Arial" w:eastAsia="Arial" w:hAnsi="Arial"/>
                <w:sz w:val="18"/>
                <w:szCs w:val="18"/>
                <w:color w:val="auto"/>
              </w:rPr>
              <w:t>assets:</w:t>
            </w:r>
          </w:p>
        </w:tc>
        <w:tc>
          <w:tcPr>
            <w:tcW w:w="1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Distribution</w:t>
            </w: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agreements/customer</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relationships</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16,716</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17,689</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9,014</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Existing technology</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37,744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11,996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14,745</w:t>
            </w:r>
          </w:p>
        </w:tc>
        <w:tc>
          <w:tcPr>
            <w:tcW w:w="0" w:type="dxa"/>
            <w:vAlign w:val="bottom"/>
          </w:tcPr>
          <w:p>
            <w:pPr>
              <w:spacing w:after="0"/>
              <w:rPr>
                <w:sz w:val="1"/>
                <w:szCs w:val="1"/>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Trade names and</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8,162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2,579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8,496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17"/>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line="195" w:lineRule="exact"/>
              <w:rPr>
                <w:sz w:val="20"/>
                <w:szCs w:val="20"/>
                <w:color w:val="auto"/>
              </w:rPr>
            </w:pPr>
            <w:r>
              <w:rPr>
                <w:rFonts w:ascii="Arial" w:cs="Arial" w:eastAsia="Arial" w:hAnsi="Arial"/>
                <w:sz w:val="18"/>
                <w:szCs w:val="18"/>
                <w:color w:val="auto"/>
              </w:rPr>
              <w:t>Total amortizable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62,622</w:t>
            </w:r>
          </w:p>
        </w:tc>
        <w:tc>
          <w:tcPr>
            <w:tcW w:w="36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(40,365)</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22,257</w:t>
            </w: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64,892</w:t>
            </w:r>
          </w:p>
        </w:tc>
        <w:tc>
          <w:tcPr>
            <w:tcW w:w="36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(37,745)</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27,147</w:t>
            </w:r>
          </w:p>
        </w:tc>
        <w:tc>
          <w:tcPr>
            <w:tcW w:w="0" w:type="dxa"/>
            <w:vAlign w:val="bottom"/>
          </w:tcPr>
          <w:p>
            <w:pPr>
              <w:spacing w:after="0"/>
              <w:rPr>
                <w:sz w:val="1"/>
                <w:szCs w:val="1"/>
                <w:color w:val="auto"/>
              </w:rPr>
            </w:pPr>
          </w:p>
        </w:tc>
      </w:tr>
      <w:tr>
        <w:trPr>
          <w:trHeight w:val="190"/>
        </w:trPr>
        <w:tc>
          <w:tcPr>
            <w:tcW w:w="1820" w:type="dxa"/>
            <w:vAlign w:val="bottom"/>
          </w:tcPr>
          <w:p>
            <w:pPr>
              <w:spacing w:after="0" w:line="190" w:lineRule="exact"/>
              <w:rPr>
                <w:sz w:val="20"/>
                <w:szCs w:val="20"/>
                <w:color w:val="auto"/>
              </w:rPr>
            </w:pPr>
            <w:r>
              <w:rPr>
                <w:rFonts w:ascii="Arial" w:cs="Arial" w:eastAsia="Arial" w:hAnsi="Arial"/>
                <w:sz w:val="18"/>
                <w:szCs w:val="18"/>
                <w:color w:val="auto"/>
              </w:rPr>
              <w:t>intangible assets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Indefinite-lived</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7"/>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22,464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27,385</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Weighted average life in years as of September 30, 2022</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Intangible asset amortization expense was $1.6 million and $1.5 million for the three months ended September 30, 2022 and 2021, respectively, and $4.5 million and $4.4 million for the nine months ended September 30, 2022 and 2021, respectively. Estimated amortization expense of intangible assets for each of the five succeeding years and thereafter as of September 30, 2022, is as follows:</w:t>
      </w:r>
    </w:p>
    <w:p>
      <w:pPr>
        <w:spacing w:after="0" w:line="184"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2022 (remainder of year)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4,009</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w:t>
            </w: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22,257</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Information</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provide details of selected balance sheet items as of the periods indicated:</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26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3,410</w:t>
            </w:r>
          </w:p>
        </w:tc>
      </w:tr>
      <w:tr>
        <w:trPr>
          <w:trHeight w:val="216"/>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16,930</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18,531</w:t>
            </w:r>
          </w:p>
        </w:tc>
      </w:tr>
      <w:tr>
        <w:trPr>
          <w:trHeight w:val="209"/>
        </w:trPr>
        <w:tc>
          <w:tcPr>
            <w:tcW w:w="42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26,116</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27,587</w:t>
            </w:r>
          </w:p>
        </w:tc>
      </w:tr>
      <w:tr>
        <w:trPr>
          <w:trHeight w:val="20"/>
        </w:trPr>
        <w:tc>
          <w:tcPr>
            <w:tcW w:w="4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26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Warranty costs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Customer related costs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2,265</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r>
      <w:tr>
        <w:trPr>
          <w:trHeight w:val="250"/>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10,762</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and Other Exit Costs</w:t>
      </w:r>
    </w:p>
    <w:p>
      <w:pPr>
        <w:spacing w:after="0" w:line="229"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7"/>
          <w:szCs w:val="17"/>
          <w:color w:val="auto"/>
        </w:rPr>
        <w:t>On an ongoing basis, the Company reviews the global economy, the healthcare industry, and the markets in which it competes to identify operational efficiencies, enhance commercial capabilities, and align its cost base and infrastructure with customer needs and its strategic plans. In order to realize these opportunities, the Company undertakes restructuring-type activities from time to time to transform its business. A portion of these transformation activities are considered restructuring costs under ASC 420 – Exit or Disposal Cost Obligations and are discussed below.</w:t>
      </w:r>
    </w:p>
    <w:p>
      <w:pPr>
        <w:spacing w:after="0" w:line="171"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During 2019, the Company initiated a restructuring program to improve operational efficiency and reduce costs which entailed consolidating and downsizing several sites and headcount reductions in Europe and North America. This program was completed in 2021. Restructuring costs under this program were $0.1 million and $1.3 million for the three and nine months ended September 30, 2021, respectively. Substantially all of these costs have been included as a component of general and administrative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During the three months ended September 30, 2022, the Company completed a review of its product portfolio in which the Company identified certain non-strategic products for discontinuation. In the three months ended September 30, 2022, we incurred charges of $1.3 million, included in cost of revenues, in connection with excess and obsolete inventory, and $0.6 million in severance expense included in general and administrative expense, in connection with headcount reductions in Europe and North America.</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activity for accrued restructuring liabilities for the nine months ended September 30, 2022:</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Cost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Revenues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1"/>
              </w:rPr>
              <w:t>Severance</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Other</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09"/>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Restructuring and other exit costs</w:t>
            </w: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1,909</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Non-cash charges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Cash payments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49"/>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2022</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229" w:lineRule="exact"/>
        <w:rPr>
          <w:sz w:val="20"/>
          <w:szCs w:val="20"/>
          <w:color w:val="auto"/>
        </w:rPr>
      </w:pPr>
    </w:p>
    <w:p>
      <w:pPr>
        <w:jc w:val="both"/>
        <w:ind w:firstLine="396"/>
        <w:spacing w:after="0" w:line="301" w:lineRule="auto"/>
        <w:rPr>
          <w:sz w:val="20"/>
          <w:szCs w:val="20"/>
          <w:color w:val="auto"/>
        </w:rPr>
      </w:pPr>
      <w:r>
        <w:rPr>
          <w:rFonts w:ascii="Arial" w:cs="Arial" w:eastAsia="Arial" w:hAnsi="Arial"/>
          <w:sz w:val="16"/>
          <w:szCs w:val="16"/>
          <w:color w:val="auto"/>
        </w:rPr>
        <w:t>In connection with the 2014 acquisitions of Multi Channel Systems MCS GmbH (“MCS”), the Company entered into a facility lease agreement with the former principal owner of MCS who became an employee of the Company at the time of the acquisition and subsequently retired in 2021. The MCS agreement expires on December 31, 2024. Pursuant to this lease agreement, the Company made rent payments of approximately $0.1 million for each of the three months ended September 30, 2022 and 2021, and $0.2 million for each of the nine months ended September 30, 2022 and 2021.</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firstLine="396"/>
        <w:spacing w:after="0" w:line="342" w:lineRule="auto"/>
        <w:rPr>
          <w:sz w:val="20"/>
          <w:szCs w:val="20"/>
          <w:color w:val="auto"/>
        </w:rPr>
      </w:pPr>
      <w:r>
        <w:rPr>
          <w:rFonts w:ascii="Arial" w:cs="Arial" w:eastAsia="Arial" w:hAnsi="Arial"/>
          <w:sz w:val="16"/>
          <w:szCs w:val="16"/>
          <w:color w:val="auto"/>
        </w:rPr>
        <w:t>The Company has noncancelable operating leases for offices, manufacturing facilities, warehouse space, automobiles and equipment expiring at various dates through 2030. The components of lease expense for the three and nine months ended September 30, 2022 and 2021, are as follows:</w:t>
      </w:r>
    </w:p>
    <w:p>
      <w:pPr>
        <w:spacing w:after="0" w:line="120"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9"/>
              </w:rPr>
              <w:t>Nine Months Ended</w:t>
            </w:r>
          </w:p>
        </w:tc>
      </w:tr>
      <w:tr>
        <w:trPr>
          <w:trHeight w:val="234"/>
        </w:trPr>
        <w:tc>
          <w:tcPr>
            <w:tcW w:w="292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2920" w:type="dxa"/>
            <w:vAlign w:val="bottom"/>
          </w:tcPr>
          <w:p>
            <w:pPr>
              <w:spacing w:after="0"/>
              <w:rPr>
                <w:sz w:val="20"/>
                <w:szCs w:val="20"/>
                <w:color w:val="auto"/>
              </w:rPr>
            </w:pPr>
            <w:r>
              <w:rPr>
                <w:rFonts w:ascii="Arial" w:cs="Arial" w:eastAsia="Arial" w:hAnsi="Arial"/>
                <w:sz w:val="18"/>
                <w:szCs w:val="18"/>
                <w:color w:val="auto"/>
              </w:rPr>
              <w:t>(in thousands)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09"/>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Short-term lease cost</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Sublease income</w:t>
            </w: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09"/>
        </w:trPr>
        <w:tc>
          <w:tcPr>
            <w:tcW w:w="2920" w:type="dxa"/>
            <w:vAlign w:val="bottom"/>
          </w:tcPr>
          <w:p>
            <w:pPr>
              <w:spacing w:after="0"/>
              <w:rPr>
                <w:sz w:val="20"/>
                <w:szCs w:val="20"/>
                <w:color w:val="auto"/>
              </w:rPr>
            </w:pPr>
            <w:r>
              <w:rPr>
                <w:rFonts w:ascii="Arial" w:cs="Arial" w:eastAsia="Arial" w:hAnsi="Arial"/>
                <w:sz w:val="18"/>
                <w:szCs w:val="18"/>
                <w:color w:val="auto"/>
              </w:rPr>
              <w:t>Total lease cost</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519</w:t>
            </w:r>
          </w:p>
        </w:tc>
        <w:tc>
          <w:tcPr>
            <w:tcW w:w="84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545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1,618</w:t>
            </w:r>
          </w:p>
        </w:tc>
      </w:tr>
      <w:tr>
        <w:trPr>
          <w:trHeight w:val="20"/>
        </w:trPr>
        <w:tc>
          <w:tcPr>
            <w:tcW w:w="2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248</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351</w:t>
            </w:r>
          </w:p>
        </w:tc>
      </w:tr>
    </w:tbl>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balance sheet information related to the Company’s operating leases are as follows:</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40" w:type="dxa"/>
            <w:vAlign w:val="bottom"/>
          </w:tcPr>
          <w:p>
            <w:pPr>
              <w:spacing w:after="0"/>
              <w:rPr>
                <w:sz w:val="18"/>
                <w:szCs w:val="18"/>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6,019</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6,897</w:t>
            </w:r>
          </w:p>
        </w:tc>
      </w:tr>
      <w:tr>
        <w:trPr>
          <w:trHeight w:val="216"/>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operating lease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2,121</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2,142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Operating lease liabilities, long-term</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5,539</w:t>
            </w: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6,488</w:t>
            </w:r>
          </w:p>
        </w:tc>
      </w:tr>
      <w:tr>
        <w:trPr>
          <w:trHeight w:val="25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7,660</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8,630</w:t>
            </w:r>
          </w:p>
        </w:tc>
      </w:tr>
      <w:tr>
        <w:trPr>
          <w:trHeight w:val="197"/>
        </w:trPr>
        <w:tc>
          <w:tcPr>
            <w:tcW w:w="40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Future minimum lease payments for operating leases subsequent to September 30, 2022, are as follows: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Year Ending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thousands)</w:t>
            </w: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2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2022 (remainder of year)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52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2,101</w:t>
            </w:r>
          </w:p>
        </w:tc>
        <w:tc>
          <w:tcPr>
            <w:tcW w:w="52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52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1,052</w:t>
            </w:r>
          </w:p>
        </w:tc>
        <w:tc>
          <w:tcPr>
            <w:tcW w:w="52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52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5220" w:type="dxa"/>
            <w:vAlign w:val="bottom"/>
          </w:tcPr>
          <w:p>
            <w:pPr>
              <w:spacing w:after="0"/>
              <w:rPr>
                <w:sz w:val="18"/>
                <w:szCs w:val="18"/>
                <w:color w:val="auto"/>
              </w:rPr>
            </w:pPr>
          </w:p>
        </w:tc>
      </w:tr>
      <w:tr>
        <w:trPr>
          <w:trHeight w:val="209"/>
        </w:trPr>
        <w:tc>
          <w:tcPr>
            <w:tcW w:w="4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52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w:t>
            </w:r>
          </w:p>
        </w:tc>
        <w:tc>
          <w:tcPr>
            <w:tcW w:w="5220" w:type="dxa"/>
            <w:vAlign w:val="bottom"/>
          </w:tcPr>
          <w:p>
            <w:pPr>
              <w:spacing w:after="0"/>
              <w:rPr>
                <w:sz w:val="18"/>
                <w:szCs w:val="18"/>
                <w:color w:val="auto"/>
              </w:rPr>
            </w:pPr>
          </w:p>
        </w:tc>
      </w:tr>
      <w:tr>
        <w:trPr>
          <w:trHeight w:val="250"/>
        </w:trPr>
        <w:tc>
          <w:tcPr>
            <w:tcW w:w="40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5220" w:type="dxa"/>
            <w:vAlign w:val="bottom"/>
          </w:tcPr>
          <w:p>
            <w:pPr>
              <w:spacing w:after="0"/>
              <w:rPr>
                <w:sz w:val="21"/>
                <w:szCs w:val="21"/>
                <w:color w:val="auto"/>
              </w:rPr>
            </w:pPr>
          </w:p>
        </w:tc>
      </w:tr>
      <w:tr>
        <w:trPr>
          <w:trHeight w:val="413"/>
        </w:trPr>
        <w:tc>
          <w:tcPr>
            <w:tcW w:w="4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5220" w:type="dxa"/>
            <w:vAlign w:val="bottom"/>
          </w:tcPr>
          <w:p>
            <w:pPr>
              <w:spacing w:after="0"/>
              <w:rPr>
                <w:sz w:val="24"/>
                <w:szCs w:val="24"/>
                <w:color w:val="auto"/>
              </w:rPr>
            </w:pPr>
          </w:p>
        </w:tc>
      </w:tr>
      <w:tr>
        <w:trPr>
          <w:trHeight w:val="115"/>
        </w:trPr>
        <w:tc>
          <w:tcPr>
            <w:tcW w:w="40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400" w:right="7440" w:hanging="392"/>
        <w:spacing w:after="0" w:line="566" w:lineRule="auto"/>
        <w:tabs>
          <w:tab w:leader="none" w:pos="2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Stock and Stock-Based Compensation </w:t>
      </w:r>
      <w:r>
        <w:rPr>
          <w:rFonts w:ascii="Arial" w:cs="Arial" w:eastAsia="Arial" w:hAnsi="Arial"/>
          <w:sz w:val="16"/>
          <w:szCs w:val="16"/>
          <w:i w:val="1"/>
          <w:iCs w:val="1"/>
          <w:color w:val="auto"/>
        </w:rPr>
        <w:t>Stock-Based Payment Awards</w:t>
      </w:r>
    </w:p>
    <w:p>
      <w:pPr>
        <w:jc w:val="both"/>
        <w:ind w:firstLine="396"/>
        <w:spacing w:after="0" w:line="263" w:lineRule="auto"/>
        <w:rPr>
          <w:sz w:val="20"/>
          <w:szCs w:val="20"/>
          <w:color w:val="auto"/>
        </w:rPr>
      </w:pPr>
      <w:r>
        <w:rPr>
          <w:rFonts w:ascii="Arial" w:cs="Arial" w:eastAsia="Arial" w:hAnsi="Arial"/>
          <w:sz w:val="18"/>
          <w:szCs w:val="18"/>
          <w:color w:val="auto"/>
        </w:rPr>
        <w:t>Stock-based awards consist of stock options, time-based restricted stock units (“RSUs”), performance-based RSUs and shares issued under the Company’s employee stock purchase plan. Activity under the Company’s equity incentive plans for the nine months ended September 30, 2022 was as follows:</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Time-Based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Performance-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Exercise</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RSUs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Grant Date</w:t>
            </w:r>
          </w:p>
        </w:tc>
        <w:tc>
          <w:tcPr>
            <w:tcW w:w="10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Based RSUs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195"/>
        </w:trPr>
        <w:tc>
          <w:tcPr>
            <w:tcW w:w="1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Balance at December</w:t>
            </w: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31, 2021</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1,404,816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1,141,164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860,155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17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807,345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283,641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ind w:left="160"/>
              <w:spacing w:after="0"/>
              <w:rPr>
                <w:sz w:val="20"/>
                <w:szCs w:val="20"/>
                <w:color w:val="auto"/>
              </w:rPr>
            </w:pPr>
            <w:r>
              <w:rPr>
                <w:rFonts w:ascii="Arial" w:cs="Arial" w:eastAsia="Arial" w:hAnsi="Arial"/>
                <w:sz w:val="18"/>
                <w:szCs w:val="18"/>
                <w:color w:val="auto"/>
              </w:rPr>
              <w:t>Vested (RSUs)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(232,157)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(396,279)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1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8"/>
              </w:rPr>
              <w:t>Cancelled/Forfeited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(145,580)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195"/>
        </w:trPr>
        <w:tc>
          <w:tcPr>
            <w:tcW w:w="1720" w:type="dxa"/>
            <w:vAlign w:val="bottom"/>
          </w:tcPr>
          <w:p>
            <w:pPr>
              <w:spacing w:after="0" w:line="195" w:lineRule="exact"/>
              <w:rPr>
                <w:sz w:val="20"/>
                <w:szCs w:val="20"/>
                <w:color w:val="auto"/>
              </w:rPr>
            </w:pPr>
            <w:r>
              <w:rPr>
                <w:rFonts w:ascii="Arial" w:cs="Arial" w:eastAsia="Arial" w:hAnsi="Arial"/>
                <w:sz w:val="18"/>
                <w:szCs w:val="18"/>
                <w:color w:val="auto"/>
                <w:w w:val="95"/>
              </w:rPr>
              <w:t>Balance at September</w:t>
            </w: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color w:val="auto"/>
              </w:rPr>
              <w:t>1,287,891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color w:val="auto"/>
              </w:rPr>
              <w:t>1,570,772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727,233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line="190" w:lineRule="exact"/>
              <w:rPr>
                <w:sz w:val="20"/>
                <w:szCs w:val="20"/>
                <w:color w:val="auto"/>
              </w:rPr>
            </w:pPr>
            <w:r>
              <w:rPr>
                <w:rFonts w:ascii="Arial" w:cs="Arial" w:eastAsia="Arial" w:hAnsi="Arial"/>
                <w:sz w:val="18"/>
                <w:szCs w:val="18"/>
                <w:color w:val="auto"/>
              </w:rPr>
              <w:t>30, 2022</w:t>
            </w:r>
          </w:p>
        </w:tc>
        <w:tc>
          <w:tcPr>
            <w:tcW w:w="1340" w:type="dxa"/>
            <w:vAlign w:val="bottom"/>
            <w:vMerge w:val="continue"/>
          </w:tcPr>
          <w:p>
            <w:pPr>
              <w:spacing w:after="0"/>
              <w:rPr>
                <w:sz w:val="16"/>
                <w:szCs w:val="16"/>
                <w:color w:val="auto"/>
              </w:rPr>
            </w:pPr>
          </w:p>
        </w:tc>
        <w:tc>
          <w:tcPr>
            <w:tcW w:w="280" w:type="dxa"/>
            <w:vAlign w:val="bottom"/>
            <w:gridSpan w:val="2"/>
          </w:tcPr>
          <w:p>
            <w:pPr>
              <w:jc w:val="right"/>
              <w:ind w:right="80"/>
              <w:spacing w:after="0" w:line="190"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line="190" w:lineRule="exact"/>
              <w:rPr>
                <w:sz w:val="20"/>
                <w:szCs w:val="20"/>
                <w:color w:val="auto"/>
              </w:rPr>
            </w:pPr>
            <w:r>
              <w:rPr>
                <w:rFonts w:ascii="Arial" w:cs="Arial" w:eastAsia="Arial" w:hAnsi="Arial"/>
                <w:sz w:val="18"/>
                <w:szCs w:val="18"/>
                <w:color w:val="auto"/>
              </w:rPr>
              <w:t>3.13</w:t>
            </w:r>
          </w:p>
        </w:tc>
        <w:tc>
          <w:tcPr>
            <w:tcW w:w="1420" w:type="dxa"/>
            <w:vAlign w:val="bottom"/>
            <w:gridSpan w:val="2"/>
            <w:vMerge w:val="continue"/>
          </w:tcPr>
          <w:p>
            <w:pPr>
              <w:spacing w:after="0"/>
              <w:rPr>
                <w:sz w:val="16"/>
                <w:szCs w:val="16"/>
                <w:color w:val="auto"/>
              </w:rPr>
            </w:pPr>
          </w:p>
        </w:tc>
        <w:tc>
          <w:tcPr>
            <w:tcW w:w="240" w:type="dxa"/>
            <w:vAlign w:val="bottom"/>
            <w:gridSpan w:val="2"/>
          </w:tcPr>
          <w:p>
            <w:pPr>
              <w:jc w:val="right"/>
              <w:ind w:right="40"/>
              <w:spacing w:after="0" w:line="190"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line="190" w:lineRule="exact"/>
              <w:rPr>
                <w:sz w:val="20"/>
                <w:szCs w:val="20"/>
                <w:color w:val="auto"/>
              </w:rPr>
            </w:pPr>
            <w:r>
              <w:rPr>
                <w:rFonts w:ascii="Arial" w:cs="Arial" w:eastAsia="Arial" w:hAnsi="Arial"/>
                <w:sz w:val="18"/>
                <w:szCs w:val="18"/>
                <w:color w:val="auto"/>
              </w:rPr>
              <w:t>4.13</w:t>
            </w:r>
          </w:p>
        </w:tc>
        <w:tc>
          <w:tcPr>
            <w:tcW w:w="1380" w:type="dxa"/>
            <w:vAlign w:val="bottom"/>
            <w:gridSpan w:val="2"/>
            <w:vMerge w:val="continue"/>
          </w:tcPr>
          <w:p>
            <w:pPr>
              <w:spacing w:after="0"/>
              <w:rPr>
                <w:sz w:val="16"/>
                <w:szCs w:val="16"/>
                <w:color w:val="auto"/>
              </w:rPr>
            </w:pPr>
          </w:p>
        </w:tc>
        <w:tc>
          <w:tcPr>
            <w:tcW w:w="240" w:type="dxa"/>
            <w:vAlign w:val="bottom"/>
            <w:gridSpan w:val="2"/>
          </w:tcPr>
          <w:p>
            <w:pPr>
              <w:jc w:val="right"/>
              <w:ind w:right="40"/>
              <w:spacing w:after="0" w:line="190"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line="190" w:lineRule="exact"/>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Stock-based compensation expense for the three and nine months ended September 30, 2022 and 2021 was allocated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Cost of revenues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Sales and marketing expenses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Research and development expenses</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Total stock-based compensation expenses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Three Months Ended September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r>
      <w:tr>
        <w:trPr>
          <w:trHeight w:val="210"/>
        </w:trPr>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195"/>
        </w:trPr>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88</w:t>
            </w:r>
          </w:p>
        </w:tc>
        <w:tc>
          <w:tcPr>
            <w:tcW w:w="100" w:type="dxa"/>
            <w:vAlign w:val="bottom"/>
          </w:tcPr>
          <w:p>
            <w:pPr>
              <w:spacing w:after="0"/>
              <w:rPr>
                <w:sz w:val="16"/>
                <w:szCs w:val="16"/>
                <w:color w:val="auto"/>
              </w:rPr>
            </w:pP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83</w:t>
            </w:r>
          </w:p>
        </w:tc>
      </w:tr>
      <w:tr>
        <w:trPr>
          <w:trHeight w:val="216"/>
        </w:trPr>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216"/>
        </w:trPr>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2,593</w:t>
            </w:r>
          </w:p>
        </w:tc>
      </w:tr>
      <w:tr>
        <w:trPr>
          <w:trHeight w:val="230"/>
        </w:trPr>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r>
      <w:tr>
        <w:trPr>
          <w:trHeight w:val="210"/>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3,136</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-2895600</wp:posOffset>
            </wp:positionH>
            <wp:positionV relativeFrom="paragraph">
              <wp:posOffset>-719455</wp:posOffset>
            </wp:positionV>
            <wp:extent cx="641223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-445135</wp:posOffset>
            </wp:positionV>
            <wp:extent cx="641223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-161925</wp:posOffset>
            </wp:positionV>
            <wp:extent cx="641223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40" w:space="720"/>
            <w:col w:w="6280"/>
          </w:cols>
          <w:pgMar w:left="320" w:top="125" w:right="339" w:bottom="1440" w:gutter="0" w:footer="0" w:header="0"/>
          <w:type w:val="continuous"/>
        </w:sectPr>
      </w:pPr>
    </w:p>
    <w:p>
      <w:pPr>
        <w:spacing w:after="0" w:line="2" w:lineRule="exact"/>
        <w:rPr>
          <w:sz w:val="20"/>
          <w:szCs w:val="20"/>
          <w:color w:val="auto"/>
        </w:rPr>
      </w:pPr>
    </w:p>
    <w:p>
      <w:pPr>
        <w:jc w:val="both"/>
        <w:ind w:right="20" w:firstLine="396"/>
        <w:spacing w:after="0" w:line="342" w:lineRule="auto"/>
        <w:rPr>
          <w:sz w:val="20"/>
          <w:szCs w:val="20"/>
          <w:color w:val="auto"/>
        </w:rPr>
      </w:pPr>
      <w:r>
        <w:rPr>
          <w:rFonts w:ascii="Arial" w:cs="Arial" w:eastAsia="Arial" w:hAnsi="Arial"/>
          <w:sz w:val="16"/>
          <w:szCs w:val="16"/>
          <w:color w:val="auto"/>
        </w:rPr>
        <w:t>As of September 30, 2022, the total compensation costs related to unvested awards not yet recognized is $6.6 million and the weighted average period over which it is expected to be recognized is approximately 1.7 years. The Company did not capitalize any stock-based compensation.</w:t>
      </w:r>
    </w:p>
    <w:p>
      <w:pPr>
        <w:spacing w:after="0" w:line="124"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The weighted average estimated fair value of the performance-based RSUs that were granted during the nine months ended September 30, 2022 was $5.38 per unit. The following assumptions were used to estimate the fair value of the performance-based RSUs granted during the nine months ended September 30, 2022 using a Monte-Carlo valuation simulation:</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Correlation coefficient1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Dividend yield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Earnings (Loss) Per Share</w:t>
      </w:r>
    </w:p>
    <w:p>
      <w:pPr>
        <w:spacing w:after="0" w:line="225"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Basic earnings (loss) per share (EPS) is calculated by dividing net income (loss) by the number of weighted average shares of common stock outstanding during the period. The calculation of diluted earnings per share assumes conversion of stock options, time-based RSUs, and performance-based RSUs into common stock using the treasury method. The weighted average number of shares used to compute basic and diluted EPS consists of the following:</w:t>
      </w:r>
    </w:p>
    <w:p>
      <w:pPr>
        <w:spacing w:after="0" w:line="183"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7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Three Months Ended September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common stockholders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Weighted average shares outstanding - basic</w:t>
            </w: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41,637</w:t>
            </w: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40,754</w:t>
            </w: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41,353</w:t>
            </w: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40,202</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Dilutive effect of equity awards</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41,637</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40,754</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40,202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loss per share</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82"/>
        </w:trPr>
        <w:tc>
          <w:tcPr>
            <w:tcW w:w="456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w w:val="93"/>
              </w:rPr>
              <w:t>Shares excluded from diluted loss per share due to their anti-</w:t>
            </w: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3,594</w:t>
            </w: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3,908</w:t>
            </w: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190"/>
        </w:trPr>
        <w:tc>
          <w:tcPr>
            <w:tcW w:w="4560" w:type="dxa"/>
            <w:vAlign w:val="bottom"/>
          </w:tcPr>
          <w:p>
            <w:pPr>
              <w:spacing w:after="0" w:line="190" w:lineRule="exact"/>
              <w:rPr>
                <w:sz w:val="20"/>
                <w:szCs w:val="20"/>
                <w:color w:val="auto"/>
              </w:rPr>
            </w:pPr>
            <w:r>
              <w:rPr>
                <w:rFonts w:ascii="Arial" w:cs="Arial" w:eastAsia="Arial" w:hAnsi="Arial"/>
                <w:sz w:val="18"/>
                <w:szCs w:val="18"/>
                <w:color w:val="auto"/>
              </w:rPr>
              <w:t>dilutive effect</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September 30, 2022 and December 31, 2021, the Company’s borrowings were comprised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2820"/>
        <w:spacing w:after="0"/>
        <w:rPr>
          <w:sz w:val="20"/>
          <w:szCs w:val="20"/>
          <w:color w:val="auto"/>
        </w:rPr>
      </w:pPr>
      <w:r>
        <w:rPr>
          <w:rFonts w:ascii="Arial" w:cs="Arial" w:eastAsia="Arial" w:hAnsi="Arial"/>
          <w:sz w:val="16"/>
          <w:szCs w:val="16"/>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29210</wp:posOffset>
            </wp:positionV>
            <wp:extent cx="498919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26" w:lineRule="exact"/>
        <w:rPr>
          <w:sz w:val="20"/>
          <w:szCs w:val="20"/>
          <w:color w:val="auto"/>
        </w:rPr>
      </w:pPr>
    </w:p>
    <w:p>
      <w:pPr>
        <w:jc w:val="center"/>
        <w:ind w:right="2660"/>
        <w:spacing w:after="0"/>
        <w:rPr>
          <w:sz w:val="20"/>
          <w:szCs w:val="20"/>
          <w:color w:val="auto"/>
        </w:rPr>
      </w:pPr>
      <w:r>
        <w:rPr>
          <w:rFonts w:ascii="Arial" w:cs="Arial" w:eastAsia="Arial" w:hAnsi="Arial"/>
          <w:sz w:val="16"/>
          <w:szCs w:val="16"/>
          <w:color w:val="auto"/>
        </w:rPr>
        <w:t>Long-term debt:</w:t>
      </w:r>
    </w:p>
    <w:p>
      <w:pPr>
        <w:spacing w:after="0" w:line="32"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5715</wp:posOffset>
            </wp:positionV>
            <wp:extent cx="498919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Revolving line</w:t>
      </w:r>
    </w:p>
    <w:p>
      <w:pPr>
        <w:spacing w:after="0" w:line="9" w:lineRule="exact"/>
        <w:rPr>
          <w:sz w:val="20"/>
          <w:szCs w:val="20"/>
          <w:color w:val="auto"/>
        </w:rPr>
      </w:pPr>
    </w:p>
    <w:p>
      <w:pPr>
        <w:ind w:left="400" w:right="980" w:firstLine="162"/>
        <w:spacing w:after="0" w:line="258" w:lineRule="auto"/>
        <w:rPr>
          <w:sz w:val="20"/>
          <w:szCs w:val="20"/>
          <w:color w:val="auto"/>
        </w:rPr>
      </w:pPr>
      <w:r>
        <w:rPr>
          <w:rFonts w:ascii="Arial" w:cs="Arial" w:eastAsia="Arial" w:hAnsi="Arial"/>
          <w:sz w:val="18"/>
          <w:szCs w:val="18"/>
          <w:color w:val="auto"/>
        </w:rPr>
        <w:t>Less: unamortized deferred financing costs 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-136525</wp:posOffset>
            </wp:positionV>
            <wp:extent cx="498919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Less: current installments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5715</wp:posOffset>
            </wp:positionV>
            <wp:extent cx="498919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6"/>
          <w:szCs w:val="16"/>
          <w:color w:val="auto"/>
        </w:rPr>
        <w:t>Current unamortized deferred financing costs</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411"/>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35,564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38,000</w:t>
            </w:r>
          </w:p>
        </w:tc>
      </w:tr>
      <w:tr>
        <w:trPr>
          <w:trHeight w:val="216"/>
        </w:trPr>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11,450</w:t>
            </w:r>
          </w:p>
        </w:tc>
      </w:tr>
      <w:tr>
        <w:trPr>
          <w:trHeight w:val="230"/>
        </w:trPr>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r>
      <w:tr>
        <w:trPr>
          <w:trHeight w:val="195"/>
        </w:trPr>
        <w:tc>
          <w:tcPr>
            <w:tcW w:w="100" w:type="dxa"/>
            <w:vAlign w:val="bottom"/>
          </w:tcPr>
          <w:p>
            <w:pPr>
              <w:spacing w:after="0"/>
              <w:rPr>
                <w:sz w:val="16"/>
                <w:szCs w:val="16"/>
                <w:color w:val="auto"/>
              </w:rPr>
            </w:pP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49,254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48,330</w:t>
            </w:r>
          </w:p>
        </w:tc>
      </w:tr>
      <w:tr>
        <w:trPr>
          <w:trHeight w:val="216"/>
        </w:trPr>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(3,515)</w:t>
            </w:r>
          </w:p>
        </w:tc>
      </w:tr>
      <w:tr>
        <w:trPr>
          <w:trHeight w:val="230"/>
        </w:trPr>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r>
      <w:tr>
        <w:trPr>
          <w:trHeight w:val="210"/>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46,534</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45,095</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640" w:space="720"/>
            <w:col w:w="5880"/>
          </w:cols>
          <w:pgMar w:left="320" w:top="125" w:right="339" w:bottom="1440" w:gutter="0" w:footer="0" w:header="0"/>
          <w:type w:val="continuous"/>
        </w:sectPr>
      </w:pPr>
    </w:p>
    <w:p>
      <w:pPr>
        <w:spacing w:after="0" w:line="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On December 22, 2020, the Company entered into a Credit Agreement (the “Credit Agreement”) with Citizens Bank, N.A., Wells Fargo Bank, National Association, and Silicon Valley Bank (together, the “Lenders”). The Credit Agreement provides for a term loan of $40.0 million and a $25.0 million senior revolving credit facility (including a $10.0 million sub-facility for the issuance of letters of credit and a $10.0 million swingline loan sub facility) (collectively, the “Credit Facility”). The Company’s obligations under the Credit Agreement are guaranteed by certain of the Company’s direct, domestic wholly-owned subsidiaries; none of the Company’s direct or indirect foreign subsidiaries has guaranteed the Credit Facility. The Company’s obligations under the Credit Agreement are secured by substantially all of the assets of Harvard Bioscience, Inc., and each guarantor (including all or a portion of the equity interests in certain of the Company’s domestic and foreign subsidiaries). The Credit Facility matures on December 22, 2025. Issuance costs of $1.4 million are amortized over the contractual term to maturity date on a straight-line basis, which approximates the effective interest method. Available and unused borrowing capacity under the revolving line of credit was $3.0 million as of September 30, 2022 based on the Credit Agreement, as amended pursuant to the first and second amendments to the Credit Agreement (the “April 2022” and “November 2022 Amendments”, respectively) described below. Total revolver borrowing capacity is limited by the consolidated net leverage ratio as defined under the amended Credit Agreement.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396"/>
        <w:spacing w:after="0" w:line="269" w:lineRule="auto"/>
        <w:rPr>
          <w:sz w:val="20"/>
          <w:szCs w:val="20"/>
          <w:color w:val="auto"/>
        </w:rPr>
      </w:pPr>
      <w:r>
        <w:rPr>
          <w:rFonts w:ascii="Arial" w:cs="Arial" w:eastAsia="Arial" w:hAnsi="Arial"/>
          <w:sz w:val="17"/>
          <w:szCs w:val="17"/>
          <w:color w:val="auto"/>
        </w:rPr>
        <w:t>As part of the November 2022 Amendment, the Credit Facility’s LIBOR rate option was replaced with the Secured Overnight Financing Rate (SOFR). All references in this footnote to the LIBOR rate were changed to SOFR in connection with the November 2022 Amendment. Borrowings under the amended Credit Facility will, at the option of the Company, bear interest at either (i) a rate per annum based on SOFR for an interest period of one, two, three or six months, plus an applicable interest rate margin determined as provided in the Credit Agreement, as amended (a “SOFR Loan”), or (ii) an alternative base rate plus an applicable interest rate margin, each as determined as provided in the Credit Agreement (an “ABR Loan”). SOFR interest under the Credit Agreement is subject to applicable market rates and a floor of 0.50%. The alternative base rate is based on the Citizens Bank prime rate or the federal funds effective rate of the Federal Reserve Bank of New York and is subject to a floor of 1.0%. The applicable interest rate margin varies from 2.0% per annum to 3.25% per annum for SOFR Loans, and from 1.5% per annum to 3.0% per annum for ABR Loans, in each case depending on the Company’s consolidated leverage ratio and is determined in accordance with a pricing grid set forth in the Credit Agreement. Interest on SOFR Loans is payable in arrears on the last day of each applicable interest period, and interest on ABR Loans is payable in arrears at the end of each calendar quarter. There are no prepayment penalties in the event the Company elects to prepay and terminate the Credit Facility prior to its scheduled maturity date, subject to SOFR Loan breakage and redeployment costs in certain circumstances.</w:t>
      </w:r>
    </w:p>
    <w:p>
      <w:pPr>
        <w:spacing w:after="0" w:line="179"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The effective interest rate for the three months ended September 30, 2022 and 2021, was 5.8% and 3.2%, respectively, and for the nine months ended September 30, 2022 and 2021, was 4.3% and 3.3%, respectively. As of September 30, 2022, the weighted average interest rate on the Company’s borrowings was 6.4%. The carrying value of the debt approximates fair value because the interest rate under the obligation approximates market rates of interest available to the Company for similar instruments.</w:t>
      </w:r>
    </w:p>
    <w:p>
      <w:pPr>
        <w:spacing w:after="0" w:line="187" w:lineRule="exact"/>
        <w:rPr>
          <w:sz w:val="20"/>
          <w:szCs w:val="20"/>
          <w:color w:val="auto"/>
        </w:rPr>
      </w:pPr>
    </w:p>
    <w:p>
      <w:pPr>
        <w:jc w:val="both"/>
        <w:ind w:firstLine="396"/>
        <w:spacing w:after="0" w:line="254" w:lineRule="auto"/>
        <w:rPr>
          <w:sz w:val="20"/>
          <w:szCs w:val="20"/>
          <w:color w:val="auto"/>
        </w:rPr>
      </w:pPr>
      <w:r>
        <w:rPr>
          <w:rFonts w:ascii="Arial" w:cs="Arial" w:eastAsia="Arial" w:hAnsi="Arial"/>
          <w:sz w:val="18"/>
          <w:szCs w:val="18"/>
          <w:color w:val="auto"/>
        </w:rPr>
        <w:t>Commencing on March 31, 2021, the outstanding term loans amortize in quarterly installments of $0.5 million per quarter on such date and during each of the next three quarters thereafter, $0.75 million per quarter during the next eight quarters thereafter and $1.0 million per quarter thereafter, with a balloon payment at maturity. Furthermore, within ninety days after the end of the Company’s fiscal year, the term loans may be permanently reduced pursuant to certain mandatory prepayment events including an annual “excess cash flow sweep” of 50% of the consolidated excess cash flow, as defined in the agreement; provided that, in any fiscal year, any voluntary prepayments of the term loans shall be credited against the Company’s “excess cash flow” prepayment obligations on a dollar-for-dollar basis for such fiscal year. Amounts outstanding under the revolving credit facility can be repaid at any time but are due in full at maturity.</w:t>
      </w:r>
    </w:p>
    <w:p>
      <w:pPr>
        <w:spacing w:after="0" w:line="195"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The Credit Agreement, as amended in April and November, includes customary affirmative, negative, and financial covenants binding on the Company. The negative covenants limit the ability of the Company, among other things, to incur debt, incur liens, make investments, sell assets and pay dividends on its capital stock. The financial covenants include a maximum consolidated net leverage ratio and a minimum consolidated fixed charge coverage ratio. The Credit Agreement, as amended, also includes customary events of default.</w:t>
      </w:r>
    </w:p>
    <w:p>
      <w:pPr>
        <w:spacing w:after="0" w:line="187"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On April 28, 2022, the Company entered into an amendment to the Credit Agreement and Pledge and Security Agreement (the “April 2022 Amendment”), pursuant to which the Lenders and the Administrative Agent agreed, among other things, (i) to modify the financial covenant relating to the consolidated net leverage ratio, and (ii) to consent to the settlement described in Note 13- Litigation Settlement. In consideration for the April 2022 Amendment, the Company paid fees of $0.2 million to the Lenders and Administrative Agent.</w:t>
      </w:r>
    </w:p>
    <w:p>
      <w:pPr>
        <w:spacing w:after="0" w:line="187" w:lineRule="exact"/>
        <w:rPr>
          <w:sz w:val="20"/>
          <w:szCs w:val="20"/>
          <w:color w:val="auto"/>
        </w:rPr>
      </w:pPr>
    </w:p>
    <w:p>
      <w:pPr>
        <w:jc w:val="both"/>
        <w:ind w:firstLine="396"/>
        <w:spacing w:after="0" w:line="257" w:lineRule="auto"/>
        <w:rPr>
          <w:sz w:val="20"/>
          <w:szCs w:val="20"/>
          <w:color w:val="auto"/>
        </w:rPr>
      </w:pPr>
      <w:r>
        <w:rPr>
          <w:rFonts w:ascii="Arial" w:cs="Arial" w:eastAsia="Arial" w:hAnsi="Arial"/>
          <w:sz w:val="18"/>
          <w:szCs w:val="18"/>
          <w:color w:val="auto"/>
        </w:rPr>
        <w:t>On November 8, 2022, the Company entered into the November 2022 Amendment, pursuant to which the Lenders and the Administrative Agent have agreed, among other things, to modify (i) the financial covenant relating to the consolidated net leverage ratio, and (ii) the definition of Consolidated EBITDA used in the calculation of certain financial covenants, including to exclude non-cash inventory charges related to the Company’s decision to discontinue non-strategic products. In consideration for the November 2022 Amendments, the Company paid fees of $0.2 million to the Lenders and the Administrative Agent.</w:t>
      </w:r>
    </w:p>
    <w:p>
      <w:pPr>
        <w:spacing w:after="0" w:line="188"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The Company was in compliance with the covenants of the Credit Agreement, in accordance with the November 2022 Amendment,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10.Revenues</w:t>
      </w:r>
    </w:p>
    <w:p>
      <w:pPr>
        <w:spacing w:after="0" w:line="229" w:lineRule="exact"/>
        <w:rPr>
          <w:sz w:val="20"/>
          <w:szCs w:val="20"/>
          <w:color w:val="auto"/>
        </w:rPr>
      </w:pPr>
    </w:p>
    <w:p>
      <w:pPr>
        <w:ind w:right="20" w:firstLine="396"/>
        <w:spacing w:after="0" w:line="277" w:lineRule="auto"/>
        <w:rPr>
          <w:sz w:val="20"/>
          <w:szCs w:val="20"/>
          <w:color w:val="auto"/>
        </w:rPr>
      </w:pPr>
      <w:r>
        <w:rPr>
          <w:rFonts w:ascii="Arial" w:cs="Arial" w:eastAsia="Arial" w:hAnsi="Arial"/>
          <w:sz w:val="18"/>
          <w:szCs w:val="18"/>
          <w:color w:val="auto"/>
        </w:rPr>
        <w:t>The following tables represent a disaggregation of revenue from contracts with customers for the three and nine months ended September 30, 2022 and 2021:</w:t>
      </w:r>
    </w:p>
    <w:p>
      <w:pPr>
        <w:spacing w:after="0" w:line="166"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7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Three Months Ended September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4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r>
      <w:tr>
        <w:trPr>
          <w:trHeight w:val="209"/>
        </w:trPr>
        <w:tc>
          <w:tcPr>
            <w:tcW w:w="4560" w:type="dxa"/>
            <w:vAlign w:val="bottom"/>
          </w:tcPr>
          <w:p>
            <w:pPr>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Instruments, equipment, software and accessories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25,705</w:t>
            </w: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28,485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82,304</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Service, maintenance and warranty contracts</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3,545</w:t>
            </w:r>
          </w:p>
        </w:tc>
      </w:tr>
      <w:tr>
        <w:trPr>
          <w:trHeight w:val="22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26,922</w:t>
            </w: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29,663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85,849</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firstLine="396"/>
        <w:spacing w:after="0" w:line="277" w:lineRule="auto"/>
        <w:rPr>
          <w:sz w:val="20"/>
          <w:szCs w:val="20"/>
          <w:color w:val="auto"/>
        </w:rPr>
      </w:pPr>
      <w:r>
        <w:rPr>
          <w:rFonts w:ascii="Arial" w:cs="Arial" w:eastAsia="Arial" w:hAnsi="Arial"/>
          <w:sz w:val="18"/>
          <w:szCs w:val="18"/>
          <w:color w:val="auto"/>
        </w:rPr>
        <w:t>The following tables represent a disaggregation of revenue by geographic destination for the three and nine months ended September 30, 2022 and 2021:</w:t>
      </w:r>
    </w:p>
    <w:p>
      <w:pPr>
        <w:spacing w:after="0" w:line="166"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7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Three Months Ended September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4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r>
      <w:tr>
        <w:trPr>
          <w:trHeight w:val="209"/>
        </w:trPr>
        <w:tc>
          <w:tcPr>
            <w:tcW w:w="4560" w:type="dxa"/>
            <w:vAlign w:val="bottom"/>
          </w:tcPr>
          <w:p>
            <w:pPr>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11,511</w:t>
            </w: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12,709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37,300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25,569</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6,730</w:t>
            </w: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18,588</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Rest of the world</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4,392</w:t>
            </w:r>
          </w:p>
        </w:tc>
      </w:tr>
      <w:tr>
        <w:trPr>
          <w:trHeight w:val="22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26,922</w:t>
            </w: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29,663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85,849</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provide details of deferred revenue as of the periods indicated:</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96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Service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Customer advances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r>
      <w:tr>
        <w:trPr>
          <w:trHeight w:val="249"/>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w:t>
            </w:r>
          </w:p>
        </w:tc>
      </w:tr>
    </w:tbl>
    <w:p>
      <w:pPr>
        <w:spacing w:after="0" w:line="202" w:lineRule="exact"/>
        <w:rPr>
          <w:sz w:val="20"/>
          <w:szCs w:val="20"/>
          <w:color w:val="auto"/>
        </w:rPr>
      </w:pPr>
    </w:p>
    <w:p>
      <w:pPr>
        <w:ind w:right="20" w:firstLine="396"/>
        <w:spacing w:after="0" w:line="277" w:lineRule="auto"/>
        <w:rPr>
          <w:sz w:val="20"/>
          <w:szCs w:val="20"/>
          <w:color w:val="auto"/>
        </w:rPr>
      </w:pPr>
      <w:r>
        <w:rPr>
          <w:rFonts w:ascii="Arial" w:cs="Arial" w:eastAsia="Arial" w:hAnsi="Arial"/>
          <w:sz w:val="18"/>
          <w:szCs w:val="18"/>
          <w:color w:val="auto"/>
        </w:rPr>
        <w:t>During the nine months ended September 30, 2022 and 2021 the Company recognized revenue of $2.1 million and $1.8 million from contract liabilities existing at December 31, 2021 and 2020, respectively.</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firstLine="396"/>
        <w:spacing w:after="0" w:line="277" w:lineRule="auto"/>
        <w:rPr>
          <w:sz w:val="20"/>
          <w:szCs w:val="20"/>
          <w:color w:val="auto"/>
        </w:rPr>
      </w:pPr>
      <w:r>
        <w:rPr>
          <w:rFonts w:ascii="Arial" w:cs="Arial" w:eastAsia="Arial" w:hAnsi="Arial"/>
          <w:sz w:val="18"/>
          <w:szCs w:val="18"/>
          <w:color w:val="auto"/>
        </w:rPr>
        <w:t>Allowance for doubtful accounts is based on the Company’s assessment of the collectability of accounts receivable. Activity in the allowance for doubtful accounts is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Balance, beginning of period</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Bad debt expense (credit)</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Charge-offs and other</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Balance, end of period</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4160"/>
        <w:spacing w:after="0"/>
        <w:rPr>
          <w:sz w:val="20"/>
          <w:szCs w:val="20"/>
          <w:color w:val="auto"/>
        </w:rPr>
      </w:pPr>
      <w:r>
        <w:rPr>
          <w:rFonts w:ascii="Arial" w:cs="Arial" w:eastAsia="Arial" w:hAnsi="Arial"/>
          <w:sz w:val="16"/>
          <w:szCs w:val="16"/>
          <w:b w:val="1"/>
          <w:bCs w:val="1"/>
          <w:color w:val="auto"/>
        </w:rPr>
        <w:t>Nine Months Ended September</w:t>
      </w:r>
    </w:p>
    <w:p>
      <w:pPr>
        <w:spacing w:after="0" w:line="50" w:lineRule="exact"/>
        <w:rPr>
          <w:sz w:val="20"/>
          <w:szCs w:val="20"/>
          <w:color w:val="auto"/>
        </w:rPr>
      </w:pPr>
    </w:p>
    <w:p>
      <w:pPr>
        <w:jc w:val="center"/>
        <w:ind w:right="416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15944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ind w:left="420"/>
        <w:spacing w:after="0"/>
        <w:tabs>
          <w:tab w:leader="none" w:pos="168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5944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3" w:lineRule="exact"/>
        <w:rPr>
          <w:sz w:val="20"/>
          <w:szCs w:val="20"/>
          <w:color w:val="auto"/>
        </w:rPr>
      </w:pPr>
    </w:p>
    <w:p>
      <w:pPr>
        <w:spacing w:after="0"/>
        <w:tabs>
          <w:tab w:leader="none" w:pos="880" w:val="left"/>
          <w:tab w:leader="none" w:pos="2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136  $</w:t>
      </w:r>
      <w:r>
        <w:rPr>
          <w:sz w:val="20"/>
          <w:szCs w:val="20"/>
          <w:color w:val="auto"/>
        </w:rPr>
        <w:tab/>
      </w:r>
      <w:r>
        <w:rPr>
          <w:rFonts w:ascii="Arial" w:cs="Arial" w:eastAsia="Arial" w:hAnsi="Arial"/>
          <w:sz w:val="16"/>
          <w:szCs w:val="16"/>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-121920</wp:posOffset>
            </wp:positionV>
            <wp:extent cx="42773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3" w:lineRule="exact"/>
        <w:rPr>
          <w:sz w:val="20"/>
          <w:szCs w:val="20"/>
          <w:color w:val="auto"/>
        </w:rPr>
      </w:pPr>
    </w:p>
    <w:p>
      <w:pPr>
        <w:ind w:left="2220" w:hanging="1319"/>
        <w:spacing w:after="0"/>
        <w:tabs>
          <w:tab w:leader="none" w:pos="2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(13)</w:t>
      </w:r>
    </w:p>
    <w:p>
      <w:pPr>
        <w:spacing w:after="0" w:line="32" w:lineRule="exact"/>
        <w:rPr>
          <w:rFonts w:ascii="Arial" w:cs="Arial" w:eastAsia="Arial" w:hAnsi="Arial"/>
          <w:sz w:val="16"/>
          <w:szCs w:val="16"/>
          <w:color w:val="auto"/>
        </w:rPr>
      </w:pPr>
    </w:p>
    <w:p>
      <w:pPr>
        <w:ind w:left="2220" w:hanging="1289"/>
        <w:spacing w:after="0"/>
        <w:tabs>
          <w:tab w:leader="none" w:pos="2220" w:val="left"/>
        </w:tabs>
        <w:numPr>
          <w:ilvl w:val="1"/>
          <w:numId w:val="6"/>
        </w:numPr>
        <w:rPr>
          <w:rFonts w:ascii="Arial" w:cs="Arial" w:eastAsia="Arial" w:hAnsi="Arial"/>
          <w:sz w:val="16"/>
          <w:szCs w:val="16"/>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-116205</wp:posOffset>
            </wp:positionV>
            <wp:extent cx="427736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12" w:lineRule="exact"/>
        <w:rPr>
          <w:sz w:val="20"/>
          <w:szCs w:val="20"/>
          <w:color w:val="auto"/>
        </w:rPr>
      </w:pPr>
    </w:p>
    <w:p>
      <w:pPr>
        <w:spacing w:after="0"/>
        <w:tabs>
          <w:tab w:leader="none" w:pos="880" w:val="left"/>
          <w:tab w:leader="none" w:pos="2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179  $</w:t>
      </w:r>
      <w:r>
        <w:rPr>
          <w:sz w:val="20"/>
          <w:szCs w:val="20"/>
          <w:color w:val="auto"/>
        </w:rPr>
        <w:tab/>
      </w: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59448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94485" cy="25400"/>
                    </a:xfrm>
                    <a:prstGeom prst="rect">
                      <a:avLst/>
                    </a:prstGeom>
                    <a:noFill/>
                  </pic:spPr>
                </pic:pic>
              </a:graphicData>
            </a:graphic>
          </wp:anchor>
        </w:drawing>
      </w:r>
    </w:p>
    <w:p>
      <w:pPr>
        <w:spacing w:after="0" w:line="671" w:lineRule="exact"/>
        <w:rPr>
          <w:sz w:val="20"/>
          <w:szCs w:val="20"/>
          <w:color w:val="auto"/>
        </w:rPr>
      </w:pPr>
    </w:p>
    <w:p>
      <w:pPr>
        <w:sectPr>
          <w:pgSz w:w="11900" w:h="16838" w:orient="portrait"/>
          <w:cols w:equalWidth="0" w:num="2">
            <w:col w:w="3900" w:space="720"/>
            <w:col w:w="6620"/>
          </w:cols>
          <w:pgMar w:left="320" w:top="125" w:right="339" w:bottom="1440" w:gutter="0" w:footer="0" w:header="0"/>
          <w:type w:val="continuous"/>
        </w:sectPr>
      </w:pPr>
    </w:p>
    <w:p>
      <w:pPr>
        <w:spacing w:after="0" w:line="25" w:lineRule="exact"/>
        <w:rPr>
          <w:sz w:val="20"/>
          <w:szCs w:val="20"/>
          <w:color w:val="auto"/>
        </w:rPr>
      </w:pPr>
    </w:p>
    <w:p>
      <w:pPr>
        <w:ind w:right="20" w:firstLine="396"/>
        <w:spacing w:after="0" w:line="277" w:lineRule="auto"/>
        <w:rPr>
          <w:sz w:val="20"/>
          <w:szCs w:val="20"/>
          <w:color w:val="auto"/>
        </w:rPr>
      </w:pPr>
      <w:r>
        <w:rPr>
          <w:rFonts w:ascii="Arial" w:cs="Arial" w:eastAsia="Arial" w:hAnsi="Arial"/>
          <w:sz w:val="18"/>
          <w:szCs w:val="18"/>
          <w:color w:val="auto"/>
        </w:rPr>
        <w:t>No customer accounted for more than 10% of revenues for the three and nine months ended September 30, 2022 and 2021. At September 30, 2022 and December 21, 2021, no customer accounted for more than 10% of net accounts receivable.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11.Income Tax</w:t>
      </w:r>
    </w:p>
    <w:p>
      <w:pPr>
        <w:spacing w:after="0" w:line="229"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Income tax (benefit) expense was $(1.3) million and $0.2 million for the three months ended September 30, 2022 and 2021, respectively, and was $(0.4) million and less than $(0.1) million for the nine months ended September 30, 2022 and 2021, respectively. The effective tax rates for the three months ended September 30, 2022 and 2021, were 27.4% and 477.8%, respectively. The effective tax rates for the nine months ended September 30, 2022 and 2021, were 5.3% and 1.7%, respectively.</w:t>
      </w:r>
    </w:p>
    <w:p>
      <w:pPr>
        <w:spacing w:after="0" w:line="187" w:lineRule="exact"/>
        <w:rPr>
          <w:sz w:val="20"/>
          <w:szCs w:val="20"/>
          <w:color w:val="auto"/>
        </w:rPr>
      </w:pPr>
    </w:p>
    <w:p>
      <w:pPr>
        <w:jc w:val="both"/>
        <w:ind w:firstLine="396"/>
        <w:spacing w:after="0" w:line="286" w:lineRule="auto"/>
        <w:rPr>
          <w:sz w:val="20"/>
          <w:szCs w:val="20"/>
          <w:color w:val="auto"/>
        </w:rPr>
      </w:pPr>
      <w:r>
        <w:rPr>
          <w:rFonts w:ascii="Arial" w:cs="Arial" w:eastAsia="Arial" w:hAnsi="Arial"/>
          <w:sz w:val="17"/>
          <w:szCs w:val="17"/>
          <w:color w:val="auto"/>
        </w:rPr>
        <w:t>The difference between the Company’s effective tax rates in 2022 and 2021 compared to the U.S. statutory tax rate of 21% is primarily due to changes in valuation allowances associated with the Company’s assessment of the likelihood of the recoverability of deferred tax assets. The Company currently has valuation allowances against substantially all of its net operating loss carryforwards and tax credit carryforwards.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12.Commitments and Contingent Liabilities</w:t>
      </w:r>
    </w:p>
    <w:p>
      <w:pPr>
        <w:spacing w:after="0" w:line="229"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On April 27, 2022, the Company and Biostage, Inc. (f/k/a Harvard Apparatus Regenerative Technology, Inc.) (“Biostage”) executed a settlement with the plaintiffs in the Biostage Litigation (as defined below) which resolves all claims relating to the litigation as described in Note 13 – Litigation Settlement.</w:t>
      </w:r>
    </w:p>
    <w:p>
      <w:pPr>
        <w:spacing w:after="0" w:line="184" w:lineRule="exact"/>
        <w:rPr>
          <w:sz w:val="20"/>
          <w:szCs w:val="20"/>
          <w:color w:val="auto"/>
        </w:rPr>
      </w:pPr>
    </w:p>
    <w:p>
      <w:pPr>
        <w:jc w:val="both"/>
        <w:ind w:firstLine="396"/>
        <w:spacing w:after="0" w:line="255" w:lineRule="auto"/>
        <w:rPr>
          <w:sz w:val="20"/>
          <w:szCs w:val="20"/>
          <w:color w:val="auto"/>
        </w:rPr>
      </w:pPr>
      <w:r>
        <w:rPr>
          <w:rFonts w:ascii="Arial" w:cs="Arial" w:eastAsia="Arial" w:hAnsi="Arial"/>
          <w:sz w:val="18"/>
          <w:szCs w:val="18"/>
          <w:color w:val="auto"/>
        </w:rPr>
        <w:t>The Company is involved in various other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flows. Although unfavorable outcomes in the proceedings are possible, the Company has not accrued for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13.Litigation Settlement</w:t>
      </w:r>
    </w:p>
    <w:p>
      <w:pPr>
        <w:spacing w:after="0" w:line="229" w:lineRule="exact"/>
        <w:rPr>
          <w:sz w:val="20"/>
          <w:szCs w:val="20"/>
          <w:color w:val="auto"/>
        </w:rPr>
      </w:pPr>
    </w:p>
    <w:p>
      <w:pPr>
        <w:jc w:val="both"/>
        <w:ind w:firstLine="396"/>
        <w:spacing w:after="0" w:line="275" w:lineRule="auto"/>
        <w:rPr>
          <w:sz w:val="20"/>
          <w:szCs w:val="20"/>
          <w:color w:val="auto"/>
        </w:rPr>
      </w:pPr>
      <w:r>
        <w:rPr>
          <w:rFonts w:ascii="Arial" w:cs="Arial" w:eastAsia="Arial" w:hAnsi="Arial"/>
          <w:sz w:val="17"/>
          <w:szCs w:val="17"/>
          <w:color w:val="auto"/>
        </w:rPr>
        <w:t>On April 14, 2017, representatives for the estate of an individual plaintiff filed a wrongful death complaint with the Suffolk Superior Court, in the County of Suffolk, Massachusetts, against the Company and other defendants, including Biostage, a former subsidiary of the Company that was spun off in 2013, as well as another third party (the “Biostage Litigation”). The complaint sought payment for an unspecified amount of damages and alleges that the plaintiff sustained terminal injuries allegedly caused by products, including one synthetic trachea scaffold and two bioreactors, provided by certain of the named defendants and utilized in connection with surgeries performed by third parties in Europe in 2012 and 2013.</w:t>
      </w:r>
    </w:p>
    <w:p>
      <w:pPr>
        <w:spacing w:after="0" w:line="176" w:lineRule="exact"/>
        <w:rPr>
          <w:sz w:val="20"/>
          <w:szCs w:val="20"/>
          <w:color w:val="auto"/>
        </w:rPr>
      </w:pPr>
    </w:p>
    <w:p>
      <w:pPr>
        <w:jc w:val="both"/>
        <w:ind w:firstLine="396"/>
        <w:spacing w:after="0" w:line="255" w:lineRule="auto"/>
        <w:rPr>
          <w:sz w:val="20"/>
          <w:szCs w:val="20"/>
          <w:color w:val="auto"/>
        </w:rPr>
      </w:pPr>
      <w:r>
        <w:rPr>
          <w:rFonts w:ascii="Arial" w:cs="Arial" w:eastAsia="Arial" w:hAnsi="Arial"/>
          <w:sz w:val="18"/>
          <w:szCs w:val="18"/>
          <w:color w:val="auto"/>
        </w:rPr>
        <w:t>On April 27, 2022, the Company and Biostage executed a settlement with the plaintiffs of the Biostage Litigation and Biostage’s products liability insurance carriers (the “Settlement”), which resolved all claims by and between the parties and Biostage’s product liability insurance carriers and resulted in the dismissal with prejudice of the wrongful death claim and all claims between the Company, Biostage and the insurance carriers. The Settlement was entered into solely by way of compromise and settlement and is not in any way an admission of liability or fault by the Company or Biostage. Biostage has indemnified the Company for all losses and expenses, including legal expenses that the Company incurred in connection with the litigation and the Settlement.</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During the nine months ended September 30, 2022, the Company recorded Settlement related charges (credits) as follows:</w:t>
      </w:r>
    </w:p>
    <w:p>
      <w:pPr>
        <w:spacing w:after="0" w:line="225" w:lineRule="exact"/>
        <w:rPr>
          <w:sz w:val="20"/>
          <w:szCs w:val="20"/>
          <w:color w:val="auto"/>
        </w:rPr>
      </w:pPr>
    </w:p>
    <w:p>
      <w:pPr>
        <w:ind w:left="240" w:right="20" w:hanging="120"/>
        <w:spacing w:after="0" w:line="259" w:lineRule="auto"/>
        <w:rPr>
          <w:sz w:val="20"/>
          <w:szCs w:val="20"/>
          <w:color w:val="auto"/>
        </w:rPr>
      </w:pPr>
      <w:r>
        <w:rPr>
          <w:rFonts w:ascii="Arial" w:cs="Arial" w:eastAsia="Arial" w:hAnsi="Arial"/>
          <w:sz w:val="18"/>
          <w:szCs w:val="18"/>
          <w:color w:val="auto"/>
        </w:rPr>
        <w:t>●During the three months ended March 31, 2022, the Company accrued $5.2 million of costs related to legal fees and the Settlement. Additionally, during the year ended December 31, 2021, the Company had incurred $0.3 million in legal fees in connection with the litigation. Due to the financial condition of Biostage, the Company determined that it was uncertain as to whether Biostage would be able to meet its indemnification obligation and had fully reserved any receivable from Biostage.</w:t>
      </w:r>
    </w:p>
    <w:p>
      <w:pPr>
        <w:spacing w:after="0" w:line="187" w:lineRule="exact"/>
        <w:rPr>
          <w:sz w:val="20"/>
          <w:szCs w:val="20"/>
          <w:color w:val="auto"/>
        </w:rPr>
      </w:pPr>
    </w:p>
    <w:p>
      <w:pPr>
        <w:jc w:val="both"/>
        <w:ind w:left="240" w:right="500" w:hanging="120"/>
        <w:spacing w:after="0" w:line="301" w:lineRule="auto"/>
        <w:rPr>
          <w:sz w:val="20"/>
          <w:szCs w:val="20"/>
          <w:color w:val="auto"/>
        </w:rPr>
      </w:pPr>
      <w:r>
        <w:rPr>
          <w:rFonts w:ascii="Arial" w:cs="Arial" w:eastAsia="Arial" w:hAnsi="Arial"/>
          <w:sz w:val="16"/>
          <w:szCs w:val="16"/>
          <w:color w:val="auto"/>
        </w:rPr>
        <w:t>●During the three months ended June 30, 2022, the Company recorded credit adjustments of $4.9 million to the reserve against the indemnification receivable from Biostage. These adjustments reflected: i) the issuance by Biostage of 4,000 shares of its Series E Convertible Preferred Stock (the “Series E Preferred Stock”) to the Company on June 10, 2022, in satisfaction of $4.0 million of Biostage’s total indemnification obligation, ii) the payment by Biostage of a portion of the legal fees associated with the Settlement, and iii) other accrual adjustments.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240" w:hanging="120"/>
        <w:spacing w:after="0" w:line="277" w:lineRule="auto"/>
        <w:rPr>
          <w:sz w:val="20"/>
          <w:szCs w:val="20"/>
          <w:color w:val="auto"/>
        </w:rPr>
      </w:pPr>
      <w:r>
        <w:rPr>
          <w:rFonts w:ascii="Arial" w:cs="Arial" w:eastAsia="Arial" w:hAnsi="Arial"/>
          <w:sz w:val="18"/>
          <w:szCs w:val="18"/>
          <w:color w:val="auto"/>
        </w:rPr>
        <w:t>●During the three months ended September 30, 2022, the Company recorded a credit adjustment of $0.5 million to the reserve against the indemnification receivable from Biostage due to the final payment by Biostage of the legal fees associated with the Settlement.</w:t>
      </w:r>
    </w:p>
    <w:p>
      <w:pPr>
        <w:spacing w:after="0" w:line="170"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The Series E Preferred Stock was recorded at an estimated fair value of $4.0 million including dividends, and is included in the September 30, 2022 Consolidated Balance Sheet as a component of Other Long-Term Assets. The Series E Preferred Stock ranks senior to all classes of common stock of Biostage and all classes of preferred stock of Biostage (unless the Company consents to Biostage’s issuance of other preferred stock that is senior to or pari passu with the Series E Preferred Stock) and accrues dividends at a rate of 8% per annum that are payable in additional shares of Series E Preferred Stock. Each share of Series E Preferred Stock is convertible at any time at the option of the Company into such number of shares of Biostage common stock determined by dividing (a) the $1,000 face value of the Series E Preferred Stock plus all accrued and unpaid dividends thereon by (b) the average of the volume weighted average trading prices of Biostage’s common stock, which is currently quoted on the OTCQB Marketplace, for the 60 consecutive trading days prior to the conversion. In the event Biostage has a subsequent qualified offering of its common stock, (which is defined as an offering of Biostage common stock that coincides with its uplisting onto Nasdaq, the first subsequent public offering by Biostage, or the first subsequent private placement by Biostage resulting in gross proceeds to Biostage of at least $4,000,000), the Series E Preferred Stock is mandatorily converted into Biostage common stock at the applicable qualified offering price. Due to Biostage’s limited operating history, their overall financial condition and the limited trading volume and liquidity of Biostage’s common stock, the value of the Series E Preferred Stock could fluctuate considerably from time to time.</w:t>
      </w:r>
    </w:p>
    <w:p>
      <w:pPr>
        <w:spacing w:after="0" w:line="168" w:lineRule="exact"/>
        <w:rPr>
          <w:sz w:val="20"/>
          <w:szCs w:val="20"/>
          <w:color w:val="auto"/>
        </w:rPr>
      </w:pPr>
    </w:p>
    <w:p>
      <w:pPr>
        <w:jc w:val="both"/>
        <w:ind w:firstLine="396"/>
        <w:spacing w:after="0" w:line="311" w:lineRule="auto"/>
        <w:rPr>
          <w:sz w:val="20"/>
          <w:szCs w:val="20"/>
          <w:color w:val="auto"/>
        </w:rPr>
      </w:pPr>
      <w:r>
        <w:rPr>
          <w:rFonts w:ascii="Arial" w:cs="Arial" w:eastAsia="Arial" w:hAnsi="Arial"/>
          <w:sz w:val="16"/>
          <w:szCs w:val="16"/>
          <w:color w:val="auto"/>
        </w:rPr>
        <w:t xml:space="preserve">The Company has elected the provisions within </w:t>
      </w:r>
      <w:r>
        <w:rPr>
          <w:rFonts w:ascii="Arial" w:cs="Arial" w:eastAsia="Arial" w:hAnsi="Arial"/>
          <w:sz w:val="16"/>
          <w:szCs w:val="16"/>
          <w:i w:val="1"/>
          <w:iCs w:val="1"/>
          <w:color w:val="auto"/>
        </w:rPr>
        <w:t>ASC 321 Investment Securities</w:t>
      </w:r>
      <w:r>
        <w:rPr>
          <w:rFonts w:ascii="Arial" w:cs="Arial" w:eastAsia="Arial" w:hAnsi="Arial"/>
          <w:sz w:val="16"/>
          <w:szCs w:val="16"/>
          <w:color w:val="auto"/>
        </w:rPr>
        <w:t xml:space="preserve"> to subsequently measure the Series E Preferred Stock at its original cost minus impairment, if any, plus or minus changes resulting from observable price changes in orderly transactions for the identical or a similar investment of Biostage. As of September 30, 2022, there have been no measurement adjustments to the carrying value of the Series E Preferred Stock.</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14.Subsequent Event</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Credit Agreement Amendment</w:t>
      </w:r>
    </w:p>
    <w:p>
      <w:pPr>
        <w:spacing w:after="0" w:line="225"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On November 8, 2022, the Company entered into the November 2022 Amendment to the Credit Agreement as described in detail in Note 9 –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 of Financial Condition and Results of Operations.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96"/>
        <w:spacing w:after="0" w:line="267" w:lineRule="auto"/>
        <w:rPr>
          <w:sz w:val="20"/>
          <w:szCs w:val="20"/>
          <w:color w:val="auto"/>
        </w:rPr>
      </w:pPr>
      <w:r>
        <w:rPr>
          <w:rFonts w:ascii="Arial" w:cs="Arial" w:eastAsia="Arial" w:hAnsi="Arial"/>
          <w:sz w:val="17"/>
          <w:szCs w:val="17"/>
          <w:i w:val="1"/>
          <w:iCs w:val="1"/>
          <w:color w:val="auto"/>
        </w:rPr>
        <w:t xml:space="preserve">This Quarterly Report on Form 10-Q contains statements that are not statements of historical fact and are forward-looking statements within the meaning of Section 27A of the Securities Act of 1933 and Section 21E of the Securities Exchange Act of 1934 (the </w:t>
      </w:r>
      <w:r>
        <w:rPr>
          <w:rFonts w:ascii="Arial" w:cs="Arial" w:eastAsia="Arial" w:hAnsi="Arial"/>
          <w:sz w:val="17"/>
          <w:szCs w:val="17"/>
          <w:color w:val="auto"/>
        </w:rPr>
        <w:t>“</w:t>
      </w:r>
      <w:r>
        <w:rPr>
          <w:rFonts w:ascii="Arial" w:cs="Arial" w:eastAsia="Arial" w:hAnsi="Arial"/>
          <w:sz w:val="17"/>
          <w:szCs w:val="17"/>
          <w:i w:val="1"/>
          <w:iCs w:val="1"/>
          <w:color w:val="auto"/>
        </w:rPr>
        <w:t>Exchange Act</w:t>
      </w:r>
      <w:r>
        <w:rPr>
          <w:rFonts w:ascii="Arial" w:cs="Arial" w:eastAsia="Arial" w:hAnsi="Arial"/>
          <w:sz w:val="17"/>
          <w:szCs w:val="17"/>
          <w:color w:val="auto"/>
        </w:rPr>
        <w:t>”</w:t>
      </w:r>
      <w:r>
        <w:rPr>
          <w:rFonts w:ascii="Arial" w:cs="Arial" w:eastAsia="Arial" w:hAnsi="Arial"/>
          <w:sz w:val="17"/>
          <w:szCs w:val="17"/>
          <w:i w:val="1"/>
          <w:iCs w:val="1"/>
          <w:color w:val="auto"/>
        </w:rPr>
        <w:t xml:space="preserve">). The forward-looking statements are principally, but not exclusively, contained in </w:t>
      </w:r>
      <w:r>
        <w:rPr>
          <w:rFonts w:ascii="Arial" w:cs="Arial" w:eastAsia="Arial" w:hAnsi="Arial"/>
          <w:sz w:val="17"/>
          <w:szCs w:val="17"/>
          <w:color w:val="auto"/>
        </w:rPr>
        <w:t>“</w:t>
      </w:r>
      <w:r>
        <w:rPr>
          <w:rFonts w:ascii="Arial" w:cs="Arial" w:eastAsia="Arial" w:hAnsi="Arial"/>
          <w:sz w:val="17"/>
          <w:szCs w:val="17"/>
          <w:i w:val="1"/>
          <w:iCs w:val="1"/>
          <w:color w:val="auto"/>
        </w:rPr>
        <w:t>Item 2: Management</w:t>
      </w:r>
      <w:r>
        <w:rPr>
          <w:rFonts w:ascii="Arial" w:cs="Arial" w:eastAsia="Arial" w:hAnsi="Arial"/>
          <w:sz w:val="17"/>
          <w:szCs w:val="17"/>
          <w:color w:val="auto"/>
        </w:rPr>
        <w:t>’</w:t>
      </w:r>
      <w:r>
        <w:rPr>
          <w:rFonts w:ascii="Arial" w:cs="Arial" w:eastAsia="Arial" w:hAnsi="Arial"/>
          <w:sz w:val="17"/>
          <w:szCs w:val="17"/>
          <w:i w:val="1"/>
          <w:iCs w:val="1"/>
          <w:color w:val="auto"/>
        </w:rPr>
        <w:t>s Discussion and Analysis of Financial Condition and Results of Operations.</w:t>
      </w:r>
      <w:r>
        <w:rPr>
          <w:rFonts w:ascii="Arial" w:cs="Arial" w:eastAsia="Arial" w:hAnsi="Arial"/>
          <w:sz w:val="17"/>
          <w:szCs w:val="17"/>
          <w:color w:val="auto"/>
        </w:rPr>
        <w:t>”</w:t>
      </w:r>
      <w:r>
        <w:rPr>
          <w:rFonts w:ascii="Arial" w:cs="Arial" w:eastAsia="Arial" w:hAnsi="Arial"/>
          <w:sz w:val="17"/>
          <w:szCs w:val="17"/>
          <w:i w:val="1"/>
          <w:iCs w:val="1"/>
          <w:color w:val="auto"/>
        </w:rPr>
        <w:t xml:space="preserve">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Arial" w:cs="Arial" w:eastAsia="Arial" w:hAnsi="Arial"/>
          <w:sz w:val="17"/>
          <w:szCs w:val="17"/>
          <w:color w:val="auto"/>
        </w:rPr>
        <w:t>’</w:t>
      </w:r>
      <w:r>
        <w:rPr>
          <w:rFonts w:ascii="Arial" w:cs="Arial" w:eastAsia="Arial" w:hAnsi="Arial"/>
          <w:sz w:val="17"/>
          <w:szCs w:val="17"/>
          <w:i w:val="1"/>
          <w:iCs w:val="1"/>
          <w:color w:val="auto"/>
        </w:rPr>
        <w:t xml:space="preserve">s confidence or expectations, and our plans, objectives, expectations, and intentions that are not historical facts. In some cases, you can identify forward-looking statements by terms such as </w:t>
      </w:r>
      <w:r>
        <w:rPr>
          <w:rFonts w:ascii="Arial" w:cs="Arial" w:eastAsia="Arial" w:hAnsi="Arial"/>
          <w:sz w:val="17"/>
          <w:szCs w:val="17"/>
          <w:color w:val="auto"/>
        </w:rPr>
        <w:t>“</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will,</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should,</w:t>
      </w:r>
      <w:r>
        <w:rPr>
          <w:rFonts w:ascii="Arial" w:cs="Arial" w:eastAsia="Arial" w:hAnsi="Arial"/>
          <w:sz w:val="17"/>
          <w:szCs w:val="17"/>
          <w:color w:val="auto"/>
        </w:rPr>
        <w:t>” “</w:t>
      </w:r>
      <w:r>
        <w:rPr>
          <w:rFonts w:ascii="Arial" w:cs="Arial" w:eastAsia="Arial" w:hAnsi="Arial"/>
          <w:sz w:val="17"/>
          <w:szCs w:val="17"/>
          <w:i w:val="1"/>
          <w:iCs w:val="1"/>
          <w:color w:val="auto"/>
        </w:rPr>
        <w:t>could,</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 “</w:t>
      </w:r>
      <w:r>
        <w:rPr>
          <w:rFonts w:ascii="Arial" w:cs="Arial" w:eastAsia="Arial" w:hAnsi="Arial"/>
          <w:sz w:val="17"/>
          <w:szCs w:val="17"/>
          <w:i w:val="1"/>
          <w:iCs w:val="1"/>
          <w:color w:val="auto"/>
        </w:rPr>
        <w:t>seek,</w:t>
      </w:r>
      <w:r>
        <w:rPr>
          <w:rFonts w:ascii="Arial" w:cs="Arial" w:eastAsia="Arial" w:hAnsi="Arial"/>
          <w:sz w:val="17"/>
          <w:szCs w:val="17"/>
          <w:color w:val="auto"/>
        </w:rPr>
        <w:t>” “</w:t>
      </w:r>
      <w:r>
        <w:rPr>
          <w:rFonts w:ascii="Arial" w:cs="Arial" w:eastAsia="Arial" w:hAnsi="Arial"/>
          <w:sz w:val="17"/>
          <w:szCs w:val="17"/>
          <w:i w:val="1"/>
          <w:iCs w:val="1"/>
          <w:color w:val="auto"/>
        </w:rPr>
        <w:t>expects,</w:t>
      </w:r>
      <w:r>
        <w:rPr>
          <w:rFonts w:ascii="Arial" w:cs="Arial" w:eastAsia="Arial" w:hAnsi="Arial"/>
          <w:sz w:val="17"/>
          <w:szCs w:val="17"/>
          <w:color w:val="auto"/>
        </w:rPr>
        <w:t>” “</w:t>
      </w:r>
      <w:r>
        <w:rPr>
          <w:rFonts w:ascii="Arial" w:cs="Arial" w:eastAsia="Arial" w:hAnsi="Arial"/>
          <w:sz w:val="17"/>
          <w:szCs w:val="17"/>
          <w:i w:val="1"/>
          <w:iCs w:val="1"/>
          <w:color w:val="auto"/>
        </w:rPr>
        <w:t>plans,</w:t>
      </w:r>
      <w:r>
        <w:rPr>
          <w:rFonts w:ascii="Arial" w:cs="Arial" w:eastAsia="Arial" w:hAnsi="Arial"/>
          <w:sz w:val="17"/>
          <w:szCs w:val="17"/>
          <w:color w:val="auto"/>
        </w:rPr>
        <w:t>” “</w:t>
      </w:r>
      <w:r>
        <w:rPr>
          <w:rFonts w:ascii="Arial" w:cs="Arial" w:eastAsia="Arial" w:hAnsi="Arial"/>
          <w:sz w:val="17"/>
          <w:szCs w:val="17"/>
          <w:i w:val="1"/>
          <w:iCs w:val="1"/>
          <w:color w:val="auto"/>
        </w:rPr>
        <w:t>aim,</w:t>
      </w:r>
      <w:r>
        <w:rPr>
          <w:rFonts w:ascii="Arial" w:cs="Arial" w:eastAsia="Arial" w:hAnsi="Arial"/>
          <w:sz w:val="17"/>
          <w:szCs w:val="17"/>
          <w:color w:val="auto"/>
        </w:rPr>
        <w:t>” “</w:t>
      </w:r>
      <w:r>
        <w:rPr>
          <w:rFonts w:ascii="Arial" w:cs="Arial" w:eastAsia="Arial" w:hAnsi="Arial"/>
          <w:sz w:val="17"/>
          <w:szCs w:val="17"/>
          <w:i w:val="1"/>
          <w:iCs w:val="1"/>
          <w:color w:val="auto"/>
        </w:rPr>
        <w:t>anticipates,</w:t>
      </w:r>
      <w:r>
        <w:rPr>
          <w:rFonts w:ascii="Arial" w:cs="Arial" w:eastAsia="Arial" w:hAnsi="Arial"/>
          <w:sz w:val="17"/>
          <w:szCs w:val="17"/>
          <w:color w:val="auto"/>
        </w:rPr>
        <w:t>” “</w:t>
      </w:r>
      <w:r>
        <w:rPr>
          <w:rFonts w:ascii="Arial" w:cs="Arial" w:eastAsia="Arial" w:hAnsi="Arial"/>
          <w:sz w:val="17"/>
          <w:szCs w:val="17"/>
          <w:i w:val="1"/>
          <w:iCs w:val="1"/>
          <w:color w:val="auto"/>
        </w:rPr>
        <w:t>believes,</w:t>
      </w:r>
      <w:r>
        <w:rPr>
          <w:rFonts w:ascii="Arial" w:cs="Arial" w:eastAsia="Arial" w:hAnsi="Arial"/>
          <w:sz w:val="17"/>
          <w:szCs w:val="17"/>
          <w:color w:val="auto"/>
        </w:rPr>
        <w:t>” “</w:t>
      </w:r>
      <w:r>
        <w:rPr>
          <w:rFonts w:ascii="Arial" w:cs="Arial" w:eastAsia="Arial" w:hAnsi="Arial"/>
          <w:sz w:val="17"/>
          <w:szCs w:val="17"/>
          <w:i w:val="1"/>
          <w:iCs w:val="1"/>
          <w:color w:val="auto"/>
        </w:rPr>
        <w:t>estimates,</w:t>
      </w:r>
      <w:r>
        <w:rPr>
          <w:rFonts w:ascii="Arial" w:cs="Arial" w:eastAsia="Arial" w:hAnsi="Arial"/>
          <w:sz w:val="17"/>
          <w:szCs w:val="17"/>
          <w:color w:val="auto"/>
        </w:rPr>
        <w:t>” “</w:t>
      </w:r>
      <w:r>
        <w:rPr>
          <w:rFonts w:ascii="Arial" w:cs="Arial" w:eastAsia="Arial" w:hAnsi="Arial"/>
          <w:sz w:val="17"/>
          <w:szCs w:val="17"/>
          <w:i w:val="1"/>
          <w:iCs w:val="1"/>
          <w:color w:val="auto"/>
        </w:rPr>
        <w:t>projects,</w:t>
      </w:r>
      <w:r>
        <w:rPr>
          <w:rFonts w:ascii="Arial" w:cs="Arial" w:eastAsia="Arial" w:hAnsi="Arial"/>
          <w:sz w:val="17"/>
          <w:szCs w:val="17"/>
          <w:color w:val="auto"/>
        </w:rPr>
        <w:t>” “</w:t>
      </w:r>
      <w:r>
        <w:rPr>
          <w:rFonts w:ascii="Arial" w:cs="Arial" w:eastAsia="Arial" w:hAnsi="Arial"/>
          <w:sz w:val="17"/>
          <w:szCs w:val="17"/>
          <w:i w:val="1"/>
          <w:iCs w:val="1"/>
          <w:color w:val="auto"/>
        </w:rPr>
        <w:t>predicts,</w:t>
      </w:r>
      <w:r>
        <w:rPr>
          <w:rFonts w:ascii="Arial" w:cs="Arial" w:eastAsia="Arial" w:hAnsi="Arial"/>
          <w:sz w:val="17"/>
          <w:szCs w:val="17"/>
          <w:color w:val="auto"/>
        </w:rPr>
        <w:t>” “</w:t>
      </w:r>
      <w:r>
        <w:rPr>
          <w:rFonts w:ascii="Arial" w:cs="Arial" w:eastAsia="Arial" w:hAnsi="Arial"/>
          <w:sz w:val="17"/>
          <w:szCs w:val="17"/>
          <w:i w:val="1"/>
          <w:iCs w:val="1"/>
          <w:color w:val="auto"/>
        </w:rPr>
        <w:t>intends,</w:t>
      </w:r>
      <w:r>
        <w:rPr>
          <w:rFonts w:ascii="Arial" w:cs="Arial" w:eastAsia="Arial" w:hAnsi="Arial"/>
          <w:sz w:val="17"/>
          <w:szCs w:val="17"/>
          <w:color w:val="auto"/>
        </w:rPr>
        <w:t>” “</w:t>
      </w:r>
      <w:r>
        <w:rPr>
          <w:rFonts w:ascii="Arial" w:cs="Arial" w:eastAsia="Arial" w:hAnsi="Arial"/>
          <w:sz w:val="17"/>
          <w:szCs w:val="17"/>
          <w:i w:val="1"/>
          <w:iCs w:val="1"/>
          <w:color w:val="auto"/>
        </w:rPr>
        <w:t>think,</w:t>
      </w:r>
      <w:r>
        <w:rPr>
          <w:rFonts w:ascii="Arial" w:cs="Arial" w:eastAsia="Arial" w:hAnsi="Arial"/>
          <w:sz w:val="17"/>
          <w:szCs w:val="17"/>
          <w:color w:val="auto"/>
        </w:rPr>
        <w:t>” “</w:t>
      </w:r>
      <w:r>
        <w:rPr>
          <w:rFonts w:ascii="Arial" w:cs="Arial" w:eastAsia="Arial" w:hAnsi="Arial"/>
          <w:sz w:val="17"/>
          <w:szCs w:val="17"/>
          <w:i w:val="1"/>
          <w:iCs w:val="1"/>
          <w:color w:val="auto"/>
        </w:rPr>
        <w:t>potential,</w:t>
      </w:r>
      <w:r>
        <w:rPr>
          <w:rFonts w:ascii="Arial" w:cs="Arial" w:eastAsia="Arial" w:hAnsi="Arial"/>
          <w:sz w:val="17"/>
          <w:szCs w:val="17"/>
          <w:color w:val="auto"/>
        </w:rPr>
        <w:t>” “</w:t>
      </w:r>
      <w:r>
        <w:rPr>
          <w:rFonts w:ascii="Arial" w:cs="Arial" w:eastAsia="Arial" w:hAnsi="Arial"/>
          <w:sz w:val="17"/>
          <w:szCs w:val="17"/>
          <w:i w:val="1"/>
          <w:iCs w:val="1"/>
          <w:color w:val="auto"/>
        </w:rPr>
        <w:t>objectives,</w:t>
      </w:r>
      <w:r>
        <w:rPr>
          <w:rFonts w:ascii="Arial" w:cs="Arial" w:eastAsia="Arial" w:hAnsi="Arial"/>
          <w:sz w:val="17"/>
          <w:szCs w:val="17"/>
          <w:color w:val="auto"/>
        </w:rPr>
        <w:t>” “</w:t>
      </w:r>
      <w:r>
        <w:rPr>
          <w:rFonts w:ascii="Arial" w:cs="Arial" w:eastAsia="Arial" w:hAnsi="Arial"/>
          <w:sz w:val="17"/>
          <w:szCs w:val="17"/>
          <w:i w:val="1"/>
          <w:iCs w:val="1"/>
          <w:color w:val="auto"/>
        </w:rPr>
        <w:t>optimistic,</w:t>
      </w:r>
      <w:r>
        <w:rPr>
          <w:rFonts w:ascii="Arial" w:cs="Arial" w:eastAsia="Arial" w:hAnsi="Arial"/>
          <w:sz w:val="17"/>
          <w:szCs w:val="17"/>
          <w:color w:val="auto"/>
        </w:rPr>
        <w:t>” “</w:t>
      </w:r>
      <w:r>
        <w:rPr>
          <w:rFonts w:ascii="Arial" w:cs="Arial" w:eastAsia="Arial" w:hAnsi="Arial"/>
          <w:sz w:val="17"/>
          <w:szCs w:val="17"/>
          <w:i w:val="1"/>
          <w:iCs w:val="1"/>
          <w:color w:val="auto"/>
        </w:rPr>
        <w:t>strategy,</w:t>
      </w:r>
      <w:r>
        <w:rPr>
          <w:rFonts w:ascii="Arial" w:cs="Arial" w:eastAsia="Arial" w:hAnsi="Arial"/>
          <w:sz w:val="17"/>
          <w:szCs w:val="17"/>
          <w:color w:val="auto"/>
        </w:rPr>
        <w:t>” “</w:t>
      </w:r>
      <w:r>
        <w:rPr>
          <w:rFonts w:ascii="Arial" w:cs="Arial" w:eastAsia="Arial" w:hAnsi="Arial"/>
          <w:sz w:val="17"/>
          <w:szCs w:val="17"/>
          <w:i w:val="1"/>
          <w:iCs w:val="1"/>
          <w:color w:val="auto"/>
        </w:rPr>
        <w:t>goals,</w:t>
      </w:r>
      <w:r>
        <w:rPr>
          <w:rFonts w:ascii="Arial" w:cs="Arial" w:eastAsia="Arial" w:hAnsi="Arial"/>
          <w:sz w:val="17"/>
          <w:szCs w:val="17"/>
          <w:color w:val="auto"/>
        </w:rPr>
        <w:t>” “</w:t>
      </w:r>
      <w:r>
        <w:rPr>
          <w:rFonts w:ascii="Arial" w:cs="Arial" w:eastAsia="Arial" w:hAnsi="Arial"/>
          <w:sz w:val="17"/>
          <w:szCs w:val="17"/>
          <w:i w:val="1"/>
          <w:iCs w:val="1"/>
          <w:color w:val="auto"/>
        </w:rPr>
        <w:t>sees,</w:t>
      </w:r>
      <w:r>
        <w:rPr>
          <w:rFonts w:ascii="Arial" w:cs="Arial" w:eastAsia="Arial" w:hAnsi="Arial"/>
          <w:sz w:val="17"/>
          <w:szCs w:val="17"/>
          <w:color w:val="auto"/>
        </w:rPr>
        <w:t>” “</w:t>
      </w:r>
      <w:r>
        <w:rPr>
          <w:rFonts w:ascii="Arial" w:cs="Arial" w:eastAsia="Arial" w:hAnsi="Arial"/>
          <w:sz w:val="17"/>
          <w:szCs w:val="17"/>
          <w:i w:val="1"/>
          <w:iCs w:val="1"/>
          <w:color w:val="auto"/>
        </w:rPr>
        <w:t>new,</w:t>
      </w:r>
      <w:r>
        <w:rPr>
          <w:rFonts w:ascii="Arial" w:cs="Arial" w:eastAsia="Arial" w:hAnsi="Arial"/>
          <w:sz w:val="17"/>
          <w:szCs w:val="17"/>
          <w:color w:val="auto"/>
        </w:rPr>
        <w:t>” “</w:t>
      </w:r>
      <w:r>
        <w:rPr>
          <w:rFonts w:ascii="Arial" w:cs="Arial" w:eastAsia="Arial" w:hAnsi="Arial"/>
          <w:sz w:val="17"/>
          <w:szCs w:val="17"/>
          <w:i w:val="1"/>
          <w:iCs w:val="1"/>
          <w:color w:val="auto"/>
        </w:rPr>
        <w:t>guidance,</w:t>
      </w:r>
      <w:r>
        <w:rPr>
          <w:rFonts w:ascii="Arial" w:cs="Arial" w:eastAsia="Arial" w:hAnsi="Arial"/>
          <w:sz w:val="17"/>
          <w:szCs w:val="17"/>
          <w:color w:val="auto"/>
        </w:rPr>
        <w:t>” “</w:t>
      </w:r>
      <w:r>
        <w:rPr>
          <w:rFonts w:ascii="Arial" w:cs="Arial" w:eastAsia="Arial" w:hAnsi="Arial"/>
          <w:sz w:val="17"/>
          <w:szCs w:val="17"/>
          <w:i w:val="1"/>
          <w:iCs w:val="1"/>
          <w:color w:val="auto"/>
        </w:rPr>
        <w:t>future,</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drive,</w:t>
      </w:r>
      <w:r>
        <w:rPr>
          <w:rFonts w:ascii="Arial" w:cs="Arial" w:eastAsia="Arial" w:hAnsi="Arial"/>
          <w:sz w:val="17"/>
          <w:szCs w:val="17"/>
          <w:color w:val="auto"/>
        </w:rPr>
        <w:t>” “</w:t>
      </w:r>
      <w:r>
        <w:rPr>
          <w:rFonts w:ascii="Arial" w:cs="Arial" w:eastAsia="Arial" w:hAnsi="Arial"/>
          <w:sz w:val="17"/>
          <w:szCs w:val="17"/>
          <w:i w:val="1"/>
          <w:iCs w:val="1"/>
          <w:color w:val="auto"/>
        </w:rPr>
        <w:t>growth,</w:t>
      </w:r>
      <w:r>
        <w:rPr>
          <w:rFonts w:ascii="Arial" w:cs="Arial" w:eastAsia="Arial" w:hAnsi="Arial"/>
          <w:sz w:val="17"/>
          <w:szCs w:val="17"/>
          <w:color w:val="auto"/>
        </w:rPr>
        <w:t>” “</w:t>
      </w:r>
      <w:r>
        <w:rPr>
          <w:rFonts w:ascii="Arial" w:cs="Arial" w:eastAsia="Arial" w:hAnsi="Arial"/>
          <w:sz w:val="17"/>
          <w:szCs w:val="17"/>
          <w:i w:val="1"/>
          <w:iCs w:val="1"/>
          <w:color w:val="auto"/>
        </w:rPr>
        <w:t>long-term,</w:t>
      </w:r>
      <w:r>
        <w:rPr>
          <w:rFonts w:ascii="Arial" w:cs="Arial" w:eastAsia="Arial" w:hAnsi="Arial"/>
          <w:sz w:val="17"/>
          <w:szCs w:val="17"/>
          <w:color w:val="auto"/>
        </w:rPr>
        <w:t>” “</w:t>
      </w:r>
      <w:r>
        <w:rPr>
          <w:rFonts w:ascii="Arial" w:cs="Arial" w:eastAsia="Arial" w:hAnsi="Arial"/>
          <w:sz w:val="17"/>
          <w:szCs w:val="17"/>
          <w:i w:val="1"/>
          <w:iCs w:val="1"/>
          <w:color w:val="auto"/>
        </w:rPr>
        <w:t>projects,</w:t>
      </w:r>
      <w:r>
        <w:rPr>
          <w:rFonts w:ascii="Arial" w:cs="Arial" w:eastAsia="Arial" w:hAnsi="Arial"/>
          <w:sz w:val="17"/>
          <w:szCs w:val="17"/>
          <w:color w:val="auto"/>
        </w:rPr>
        <w:t>” “</w:t>
      </w:r>
      <w:r>
        <w:rPr>
          <w:rFonts w:ascii="Arial" w:cs="Arial" w:eastAsia="Arial" w:hAnsi="Arial"/>
          <w:sz w:val="17"/>
          <w:szCs w:val="17"/>
          <w:i w:val="1"/>
          <w:iCs w:val="1"/>
          <w:color w:val="auto"/>
        </w:rPr>
        <w:t>develop,</w:t>
      </w:r>
      <w:r>
        <w:rPr>
          <w:rFonts w:ascii="Arial" w:cs="Arial" w:eastAsia="Arial" w:hAnsi="Arial"/>
          <w:sz w:val="17"/>
          <w:szCs w:val="17"/>
          <w:color w:val="auto"/>
        </w:rPr>
        <w:t>” “</w:t>
      </w:r>
      <w:r>
        <w:rPr>
          <w:rFonts w:ascii="Arial" w:cs="Arial" w:eastAsia="Arial" w:hAnsi="Arial"/>
          <w:sz w:val="17"/>
          <w:szCs w:val="17"/>
          <w:i w:val="1"/>
          <w:iCs w:val="1"/>
          <w:color w:val="auto"/>
        </w:rPr>
        <w:t>possible,</w:t>
      </w:r>
      <w:r>
        <w:rPr>
          <w:rFonts w:ascii="Arial" w:cs="Arial" w:eastAsia="Arial" w:hAnsi="Arial"/>
          <w:sz w:val="17"/>
          <w:szCs w:val="17"/>
          <w:color w:val="auto"/>
        </w:rPr>
        <w:t>” “</w:t>
      </w:r>
      <w:r>
        <w:rPr>
          <w:rFonts w:ascii="Arial" w:cs="Arial" w:eastAsia="Arial" w:hAnsi="Arial"/>
          <w:sz w:val="17"/>
          <w:szCs w:val="17"/>
          <w:i w:val="1"/>
          <w:iCs w:val="1"/>
          <w:color w:val="auto"/>
        </w:rPr>
        <w:t>emerging,</w:t>
      </w:r>
      <w:r>
        <w:rPr>
          <w:rFonts w:ascii="Arial" w:cs="Arial" w:eastAsia="Arial" w:hAnsi="Arial"/>
          <w:sz w:val="17"/>
          <w:szCs w:val="17"/>
          <w:color w:val="auto"/>
        </w:rPr>
        <w:t>” “</w:t>
      </w:r>
      <w:r>
        <w:rPr>
          <w:rFonts w:ascii="Arial" w:cs="Arial" w:eastAsia="Arial" w:hAnsi="Arial"/>
          <w:sz w:val="17"/>
          <w:szCs w:val="17"/>
          <w:i w:val="1"/>
          <w:iCs w:val="1"/>
          <w:color w:val="auto"/>
        </w:rPr>
        <w:t>opportunity,</w:t>
      </w:r>
      <w:r>
        <w:rPr>
          <w:rFonts w:ascii="Arial" w:cs="Arial" w:eastAsia="Arial" w:hAnsi="Arial"/>
          <w:sz w:val="17"/>
          <w:szCs w:val="17"/>
          <w:color w:val="auto"/>
        </w:rPr>
        <w:t>” “</w:t>
      </w:r>
      <w:r>
        <w:rPr>
          <w:rFonts w:ascii="Arial" w:cs="Arial" w:eastAsia="Arial" w:hAnsi="Arial"/>
          <w:sz w:val="17"/>
          <w:szCs w:val="17"/>
          <w:i w:val="1"/>
          <w:iCs w:val="1"/>
          <w:color w:val="auto"/>
        </w:rPr>
        <w:t>pursue</w:t>
      </w:r>
      <w:r>
        <w:rPr>
          <w:rFonts w:ascii="Arial" w:cs="Arial" w:eastAsia="Arial" w:hAnsi="Arial"/>
          <w:sz w:val="17"/>
          <w:szCs w:val="17"/>
          <w:color w:val="auto"/>
        </w:rPr>
        <w:t xml:space="preserve">” </w:t>
      </w:r>
      <w:r>
        <w:rPr>
          <w:rFonts w:ascii="Arial" w:cs="Arial" w:eastAsia="Arial" w:hAnsi="Arial"/>
          <w:sz w:val="17"/>
          <w:szCs w:val="17"/>
          <w:i w:val="1"/>
          <w:iCs w:val="1"/>
          <w:color w:val="auto"/>
        </w:rPr>
        <w:t>and similar expressions intended to identify forward-looking statements. These statements reflect our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current views with respect to future events and are based on assumptions and subject to risks and uncertainties. Given these uncertainties, you should not place undue reliance on these forward-looking statements. We discuss many of these risks in detail in our Annual Report on Form 10-K for the year ended December 31, 2021 and our other filings with the Securities and Exchange Commission.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Arial" w:cs="Arial" w:eastAsia="Arial" w:hAnsi="Arial"/>
          <w:sz w:val="17"/>
          <w:szCs w:val="17"/>
          <w:color w:val="auto"/>
        </w:rPr>
        <w:t>“</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our,</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us,</w:t>
      </w:r>
      <w:r>
        <w:rPr>
          <w:rFonts w:ascii="Arial" w:cs="Arial" w:eastAsia="Arial" w:hAnsi="Arial"/>
          <w:sz w:val="17"/>
          <w:szCs w:val="17"/>
          <w:color w:val="auto"/>
        </w:rPr>
        <w:t xml:space="preserve">” </w:t>
      </w:r>
      <w:r>
        <w:rPr>
          <w:rFonts w:ascii="Arial" w:cs="Arial" w:eastAsia="Arial" w:hAnsi="Arial"/>
          <w:sz w:val="17"/>
          <w:szCs w:val="17"/>
          <w:i w:val="1"/>
          <w:iCs w:val="1"/>
          <w:color w:val="auto"/>
        </w:rPr>
        <w:t>and</w:t>
      </w:r>
      <w:r>
        <w:rPr>
          <w:rFonts w:ascii="Arial" w:cs="Arial" w:eastAsia="Arial" w:hAnsi="Arial"/>
          <w:sz w:val="17"/>
          <w:szCs w:val="17"/>
          <w:color w:val="auto"/>
        </w:rPr>
        <w:t xml:space="preserve"> “</w:t>
      </w:r>
      <w:r>
        <w:rPr>
          <w:rFonts w:ascii="Arial" w:cs="Arial" w:eastAsia="Arial" w:hAnsi="Arial"/>
          <w:sz w:val="17"/>
          <w:szCs w:val="17"/>
          <w:i w:val="1"/>
          <w:iCs w:val="1"/>
          <w:color w:val="auto"/>
        </w:rPr>
        <w:t>the Company.</w:t>
      </w:r>
      <w:r>
        <w:rPr>
          <w:rFonts w:ascii="Arial" w:cs="Arial" w:eastAsia="Arial" w:hAnsi="Arial"/>
          <w:sz w:val="17"/>
          <w:szCs w:val="17"/>
          <w:color w:val="auto"/>
        </w:rPr>
        <w:t>”</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The COVID-19 pandemic has had a negative impact on our operations to date and the future impacts of the pandemic and any resulting economic impact are largely unknown and continuously evolving. Many countries world-wide continue to issue COVID-19 related policies in an attempt to control the pandemic. In particular, during the beginning of 2022, China implemented area-wide shutdowns in order to control the spread of COVID-19, which have continued for different parts of China throughout 2022.</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Global Supply Chain and Economic Environment</w:t>
      </w:r>
    </w:p>
    <w:p>
      <w:pPr>
        <w:spacing w:after="0" w:line="229"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7"/>
          <w:szCs w:val="17"/>
          <w:color w:val="auto"/>
        </w:rPr>
        <w:t>The global supply chain has experienced significant disruptions due to electronic component and labor shortages and other macroeconomic factors which have emerged since the onset of COVID-19, leading to increased cost of freight, purchased materials and manufacturing labor costs, while also delaying customer shipments. We believe these supply chain trends will continue through the rest of 2022. These conditions, in addition to the overall impact on the global economy, have negatively impacted our results of operations and cash flows.</w:t>
      </w:r>
    </w:p>
    <w:p>
      <w:pPr>
        <w:spacing w:after="0" w:line="171"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7"/>
          <w:szCs w:val="17"/>
          <w:color w:val="auto"/>
        </w:rPr>
        <w:t>Additionally, during 2022 the global economy has experienced high levels of inflation, rising interest rates, significant fluctuations in currency values, and increasing economic uncertainty, particularly in Europe. Our results of operations have been negatively impacted by higher costs of raw materials, labor and freight resulting from inflationary pressures. These factors and global events including the ongoing military conflict between Russia and Ukraine, a softening economy in Europe, and rising interest rates on our debt may also have a negative impact on our results.</w:t>
      </w:r>
    </w:p>
    <w:p>
      <w:pPr>
        <w:spacing w:after="0" w:line="171"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If business interruptions resulting from COVID-19 or the current macroeconomic conditions described above were to be prolonged or expanded in scope, our business, financial condition, results of operations and cash flows would likely be negatively impacted. We will continue to actively monitor this situation and will implement actions necessary to maintain business continuity.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Selected Results of Operations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Three months ended September 30, 2022 compared to three months ended September 30, 2021.</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w w:val="91"/>
              </w:rPr>
              <w:t>Three Months Ended September 30,</w:t>
            </w:r>
          </w:p>
        </w:tc>
        <w:tc>
          <w:tcPr>
            <w:tcW w:w="1380" w:type="dxa"/>
            <w:vAlign w:val="bottom"/>
            <w:tcBorders>
              <w:bottom w:val="single" w:sz="8" w:color="auto"/>
            </w:tcBorders>
          </w:tcPr>
          <w:p>
            <w:pPr>
              <w:spacing w:after="0"/>
              <w:rPr>
                <w:sz w:val="20"/>
                <w:szCs w:val="20"/>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8"/>
                <w:szCs w:val="18"/>
                <w:color w:val="auto"/>
              </w:rPr>
              <w:t>(dollars in thousands)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of revenue</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 of revenue</w:t>
            </w: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26,922</w:t>
            </w:r>
          </w:p>
        </w:tc>
        <w:tc>
          <w:tcPr>
            <w:tcW w:w="1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29,663</w:t>
            </w:r>
          </w:p>
        </w:tc>
        <w:tc>
          <w:tcPr>
            <w:tcW w:w="138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12,172</w:t>
            </w:r>
          </w:p>
        </w:tc>
        <w:tc>
          <w:tcPr>
            <w:tcW w:w="144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16,308</w:t>
            </w:r>
          </w:p>
        </w:tc>
        <w:tc>
          <w:tcPr>
            <w:tcW w:w="138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6,183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6,324</w:t>
            </w:r>
          </w:p>
        </w:tc>
        <w:tc>
          <w:tcPr>
            <w:tcW w:w="14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5,458</w:t>
            </w:r>
          </w:p>
        </w:tc>
        <w:tc>
          <w:tcPr>
            <w:tcW w:w="13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2,660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1,572</w:t>
            </w: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1,459</w:t>
            </w:r>
          </w:p>
        </w:tc>
        <w:tc>
          <w:tcPr>
            <w:tcW w:w="13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Settlement of litigation, net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749</w:t>
            </w: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373</w:t>
            </w: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Revenues decreased $2.7 million, or 9.2%, to $26.9 million for the three months ended September 30, 2022, compared to $29.7 million for the three months ended September 30, 2021. The decrease in revenues was due primarily to a decrease in sales of our pre-clinical products, as well as unfavorable currency impact.</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396"/>
        <w:spacing w:after="0" w:line="257" w:lineRule="auto"/>
        <w:rPr>
          <w:sz w:val="20"/>
          <w:szCs w:val="20"/>
          <w:color w:val="auto"/>
        </w:rPr>
      </w:pPr>
      <w:r>
        <w:rPr>
          <w:rFonts w:ascii="Arial" w:cs="Arial" w:eastAsia="Arial" w:hAnsi="Arial"/>
          <w:sz w:val="18"/>
          <w:szCs w:val="18"/>
          <w:color w:val="auto"/>
        </w:rPr>
        <w:t>Gross profit decreased $4.1 million, or 25.4%, to $12.2 million for the three months ended September 30, 2022, compared with $16.3 million for the three months ended September 30, 2021. Gross margin decreased to 45.2% for the three months ended September 30, 2022, compared with 55.0% for the three months ended September 30, 2021. The reduction in gross margin was due primarily to the decline in revenue noted, and resulting reduction in labor and overhead absorption, as well as higher costs of labor and materials. Costs of goods sold for the current period also included inventory reserved related to the discontinuation of certain non-strategic products.</w:t>
      </w:r>
    </w:p>
    <w:p>
      <w:pPr>
        <w:spacing w:after="0" w:line="188" w:lineRule="exact"/>
        <w:rPr>
          <w:sz w:val="20"/>
          <w:szCs w:val="20"/>
          <w:color w:val="auto"/>
        </w:rPr>
      </w:pPr>
    </w:p>
    <w:p>
      <w:pPr>
        <w:jc w:val="both"/>
        <w:ind w:right="20" w:firstLine="396"/>
        <w:spacing w:after="0" w:line="277" w:lineRule="auto"/>
        <w:rPr>
          <w:sz w:val="20"/>
          <w:szCs w:val="20"/>
          <w:color w:val="auto"/>
        </w:rPr>
      </w:pPr>
      <w:r>
        <w:rPr>
          <w:rFonts w:ascii="Arial" w:cs="Arial" w:eastAsia="Arial" w:hAnsi="Arial"/>
          <w:sz w:val="18"/>
          <w:szCs w:val="18"/>
          <w:color w:val="auto"/>
        </w:rPr>
        <w:t>The global supply chain has experienced significant disruptions due to electronic components and labor shortages and other macroeconomic factors, leading to increased costs. We believe these supply chain trends will continue through the rest of 2022.</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396"/>
        <w:spacing w:after="0" w:line="342" w:lineRule="auto"/>
        <w:rPr>
          <w:sz w:val="20"/>
          <w:szCs w:val="20"/>
          <w:color w:val="auto"/>
        </w:rPr>
      </w:pPr>
      <w:r>
        <w:rPr>
          <w:rFonts w:ascii="Arial" w:cs="Arial" w:eastAsia="Arial" w:hAnsi="Arial"/>
          <w:sz w:val="16"/>
          <w:szCs w:val="16"/>
          <w:color w:val="auto"/>
        </w:rPr>
        <w:t>Sales and marketing expenses decreased $0.4 million, or 5.9%, to $5.8 million for the three months ended September 30, 2022, compared to $6.2 million during the same period in 2021. The decrease was due to lower outside service costs and variable compensation as compared to the prior period.</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General and administrative expenses increased $0.9 million, or 15.9%, to $6.3 million for the three months ended September 30, 2022, compared to $5.5 million during the same period in 2021. The increase was primarily due to higher severance costs related to our product portfolio review and other improvement initiatives, partially offset by lower variable compensation.</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Research and development expenses increased $0.1 million, or 3.9%, to $2.8 million for the three months ended September 30, 2022, compared with $2.7 million for the three months ended September 30, 2021. The increase was primarily due to higher costs associated with new product development in our preclinical product lines.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jc w:val="both"/>
        <w:ind w:firstLine="396"/>
        <w:spacing w:after="0" w:line="342" w:lineRule="auto"/>
        <w:rPr>
          <w:sz w:val="20"/>
          <w:szCs w:val="20"/>
          <w:color w:val="auto"/>
        </w:rPr>
      </w:pPr>
      <w:r>
        <w:rPr>
          <w:rFonts w:ascii="Arial" w:cs="Arial" w:eastAsia="Arial" w:hAnsi="Arial"/>
          <w:sz w:val="16"/>
          <w:szCs w:val="16"/>
          <w:color w:val="auto"/>
        </w:rPr>
        <w:t>Amortization of intangible asset expenses were $1.6 million for the three months ended September 30, 2022, compared with $1.5 million for the three months ended September 30, 2021. Amortization expense was higher due to a change in the estimated remaining economic life of certain intangible assets.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Settlement of litigation</w:t>
      </w:r>
    </w:p>
    <w:p>
      <w:pPr>
        <w:spacing w:after="0" w:line="225"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During the three months ended September 30, 2022, we recorded a credit of $0.5 million as an adjustment to the reserve against the indemnification receivable from Biostage to reflect the final payment by Biostage of the legal fees associated with the Settlement.</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Interest expense increased $0.3 million, or 100.8%, to $0.7 million for the three months ended September 30, 2022, compared with $0.4 million for the three months ended September 30, 2021. The increase was the result of higher interest rates under our Credit Agreement as well as higher average borrowing balances.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Income tax</w:t>
      </w:r>
    </w:p>
    <w:p>
      <w:pPr>
        <w:spacing w:after="0" w:line="225" w:lineRule="exact"/>
        <w:rPr>
          <w:sz w:val="20"/>
          <w:szCs w:val="20"/>
          <w:color w:val="auto"/>
        </w:rPr>
      </w:pPr>
    </w:p>
    <w:p>
      <w:pPr>
        <w:jc w:val="both"/>
        <w:ind w:firstLine="396"/>
        <w:spacing w:after="0" w:line="257" w:lineRule="auto"/>
        <w:rPr>
          <w:sz w:val="20"/>
          <w:szCs w:val="20"/>
          <w:color w:val="auto"/>
        </w:rPr>
      </w:pPr>
      <w:r>
        <w:rPr>
          <w:rFonts w:ascii="Arial" w:cs="Arial" w:eastAsia="Arial" w:hAnsi="Arial"/>
          <w:sz w:val="18"/>
          <w:szCs w:val="18"/>
          <w:color w:val="auto"/>
        </w:rPr>
        <w:t>Income tax (benefit) expense for the three months ended September 30, 2022 was $(1.3) million and was $0.2 million for the three months ended September 30, 2021. The effective tax rates for the three months ended September 30, 2022 and 2021 were 27.4% and 477.8%, respectively. The difference between our effective tax rates in 2022 and 2021 compared to the U.S. statutory tax rate of 21% is primarily due to changes in valuation allowances associated with our assessment of the likelihood of the recoverability of our deferred tax assets. We currently have valuation allowances against substantially all of our net operating loss carryforwards and tax credit carryforwards.</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Nine months ended September 30, 2022 compared to nine months ended September 30, 2021.</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2"/>
              </w:rPr>
              <w:t>Nine Months Ended September 30,</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8"/>
                <w:szCs w:val="18"/>
                <w:color w:val="auto"/>
              </w:rPr>
              <w:t>(dollars in thousands)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 of revenue</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 of revenue</w:t>
            </w: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84,908</w:t>
            </w:r>
          </w:p>
        </w:tc>
        <w:tc>
          <w:tcPr>
            <w:tcW w:w="1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85,849</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44,986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48,092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56.0%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19,093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17,299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18,630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18,190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9,480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7,848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4,492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4,388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Settlement of litigation, net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Revenues decreased $0.9 million, or 1.1%, to $84.9 million for the nine months ended September 30, 2022, compared to revenues of $85.8 million for the nine months ended September 30, 2021. The decrease in revenues was due primarily to a decrease in sales of our pre-clinical products, lower revenue in Europe and unfavorable currency impacts.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396"/>
        <w:spacing w:after="0" w:line="275" w:lineRule="auto"/>
        <w:rPr>
          <w:sz w:val="20"/>
          <w:szCs w:val="20"/>
          <w:color w:val="auto"/>
        </w:rPr>
      </w:pPr>
      <w:r>
        <w:rPr>
          <w:rFonts w:ascii="Arial" w:cs="Arial" w:eastAsia="Arial" w:hAnsi="Arial"/>
          <w:sz w:val="17"/>
          <w:szCs w:val="17"/>
          <w:color w:val="auto"/>
        </w:rPr>
        <w:t>Gross profit decreased $3.1 million, or 6.5%, to $45.0 million for the nine months ended September 30, 2022, compared with $48.1 million for the nine months ended September 30, 2021 due primarily to the decrease in revenue and increases in the cost of goods noted above. Gross margin was 53% for the nine months ended September 30, 2022 and was 56% for the nine months ended September 30, 2021. The reduction in gross margin was due primarily to higher costs of labor and materials and inventory reserves related to the discontinuation of certain non-strategic products, as well as the impact of lower revenue on overhead absorption. Pricing increases positively impacted gross margin during 2022.</w:t>
      </w:r>
    </w:p>
    <w:p>
      <w:pPr>
        <w:spacing w:after="0" w:line="176" w:lineRule="exact"/>
        <w:rPr>
          <w:sz w:val="20"/>
          <w:szCs w:val="20"/>
          <w:color w:val="auto"/>
        </w:rPr>
      </w:pPr>
    </w:p>
    <w:p>
      <w:pPr>
        <w:jc w:val="both"/>
        <w:ind w:right="20" w:firstLine="396"/>
        <w:spacing w:after="0" w:line="277" w:lineRule="auto"/>
        <w:rPr>
          <w:sz w:val="20"/>
          <w:szCs w:val="20"/>
          <w:color w:val="auto"/>
        </w:rPr>
      </w:pPr>
      <w:r>
        <w:rPr>
          <w:rFonts w:ascii="Arial" w:cs="Arial" w:eastAsia="Arial" w:hAnsi="Arial"/>
          <w:sz w:val="18"/>
          <w:szCs w:val="18"/>
          <w:color w:val="auto"/>
        </w:rPr>
        <w:t>The global supply chain has experienced significant disruptions due to electronic components and labor shortages and other macroeconomic factors, leading to increased costs. We believe these supply chain trends will continue through the rest of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Sales and marketing expenses increased $1.8 million, or 10.4%, to $19.1 million for the nine months ended September 30, 2022, compared to $17.3 million during the same period in 2021. The increase was primarily due to new marketing and sales support personnel and increases in travel and attendance at in-person trade shows offset by lower variable compensation. Travel and tradeshow costs were lower in the prior year due to COVID-19 related restrictions and efforts to mitigate the spread of COVID-19.</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20" w:firstLine="396"/>
        <w:spacing w:after="0" w:line="263" w:lineRule="auto"/>
        <w:rPr>
          <w:sz w:val="20"/>
          <w:szCs w:val="20"/>
          <w:color w:val="auto"/>
        </w:rPr>
      </w:pPr>
      <w:r>
        <w:rPr>
          <w:rFonts w:ascii="Arial" w:cs="Arial" w:eastAsia="Arial" w:hAnsi="Arial"/>
          <w:sz w:val="18"/>
          <w:szCs w:val="18"/>
          <w:color w:val="auto"/>
        </w:rPr>
        <w:t>General and administrative expenses increased $0.4 million, or 2.4%, to $18.6 million for the nine months ended September 30, 2022, compared to $18.2 million during the same period in 2021. The increase was primarily due to operational improvement initiative costs partially offset by lower variable compensation.</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Research and development expenses increased $1.6 million, or 20.8%, to $9.4 million for the nine months ended September 30, 2022, compared with $7.8 million for the nine months ended September 30, 2021. The increase was primarily due to higher costs associated with new product development in our preclinical product lines.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jc w:val="both"/>
        <w:ind w:firstLine="396"/>
        <w:spacing w:after="0" w:line="342" w:lineRule="auto"/>
        <w:rPr>
          <w:sz w:val="20"/>
          <w:szCs w:val="20"/>
          <w:color w:val="auto"/>
        </w:rPr>
      </w:pPr>
      <w:r>
        <w:rPr>
          <w:rFonts w:ascii="Arial" w:cs="Arial" w:eastAsia="Arial" w:hAnsi="Arial"/>
          <w:sz w:val="16"/>
          <w:szCs w:val="16"/>
          <w:color w:val="auto"/>
        </w:rPr>
        <w:t>Amortization of intangible asset expenses were $4.5 million for the nine months ended September 30, 2022, compared to $4.4 million for the nine months ended September 30, 2021. Amortization expense was higher due to a change in the estimated remaining economic life of certain intangible assets.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Settlement of litigation</w:t>
      </w:r>
    </w:p>
    <w:p>
      <w:pPr>
        <w:spacing w:after="0" w:line="225" w:lineRule="exact"/>
        <w:rPr>
          <w:sz w:val="20"/>
          <w:szCs w:val="20"/>
          <w:color w:val="auto"/>
        </w:rPr>
      </w:pPr>
    </w:p>
    <w:p>
      <w:pPr>
        <w:jc w:val="both"/>
        <w:ind w:firstLine="396"/>
        <w:spacing w:after="0" w:line="255" w:lineRule="auto"/>
        <w:rPr>
          <w:sz w:val="20"/>
          <w:szCs w:val="20"/>
          <w:color w:val="auto"/>
        </w:rPr>
      </w:pPr>
      <w:r>
        <w:rPr>
          <w:rFonts w:ascii="Arial" w:cs="Arial" w:eastAsia="Arial" w:hAnsi="Arial"/>
          <w:sz w:val="18"/>
          <w:szCs w:val="18"/>
          <w:color w:val="auto"/>
        </w:rPr>
        <w:t>During the nine months ended September 30, 2022, we recorded a net credit of $0.2 million related to the Settlement consisting of $5.2 million in settlement and legal expenses accrued during the three months ended March 31, 2022, offset by credits of $4.9 million and $0.5 million during the three months ended June 30, 2022 and September 30, 2022, respectively. The credits consisted of adjustments to the reserve against the indemnification receivable from Biostage to reflect: i) the issuance by Biostage of Series E Convertible Preferred Stock to us on June 10, 2022, in satisfaction of $4.0 million of Biostage’s total indemnification obligations, ii) the payment by Biostage of legal fees associated with the Settlement, and iii) other accrual adjustments.</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Interest expense increased $0.5 million, or 41.9%, to $1.7 million for the nine months ended September 30, 2022, compared to $1.2 million for the nine months ended September 30, 2021. The increase was the result of both higher interest rates under our Credit Agreement as well as higher average borrowing balances.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Income tax</w:t>
      </w:r>
    </w:p>
    <w:p>
      <w:pPr>
        <w:spacing w:after="0" w:line="225" w:lineRule="exact"/>
        <w:rPr>
          <w:sz w:val="20"/>
          <w:szCs w:val="20"/>
          <w:color w:val="auto"/>
        </w:rPr>
      </w:pPr>
    </w:p>
    <w:p>
      <w:pPr>
        <w:jc w:val="both"/>
        <w:ind w:firstLine="396"/>
        <w:spacing w:after="0" w:line="257" w:lineRule="auto"/>
        <w:rPr>
          <w:sz w:val="20"/>
          <w:szCs w:val="20"/>
          <w:color w:val="auto"/>
        </w:rPr>
      </w:pPr>
      <w:r>
        <w:rPr>
          <w:rFonts w:ascii="Arial" w:cs="Arial" w:eastAsia="Arial" w:hAnsi="Arial"/>
          <w:sz w:val="18"/>
          <w:szCs w:val="18"/>
          <w:color w:val="auto"/>
        </w:rPr>
        <w:t>Income tax expense (benefit) for the nine months ended September 30, 2022 was $(0.4) million and was less than $(0.1) million for the nine months ended September 30, 2021. The effective tax rates for the nine months ended September 30, 2022 and 2021 were 5.3% and 1.7%, respectively. The difference between our effective tax rates in 2022 and 2021 compared to the U.S. statutory tax rate of 21% is primarily due to changes in valuation allowances associated with our assessment of the likelihood of the recoverability of our deferred tax assets. We currently have valuation allowances against substantially all of our net operating loss carryforwards and tax credit carryforwards.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and our revolving credit facility. Our expected cash outlays relate primarily to cash payments due under our Credit Agreement described below as well as capital expenditures and payments associated with ongoing business improvement initiatives.</w:t>
      </w:r>
    </w:p>
    <w:p>
      <w:pPr>
        <w:spacing w:after="0" w:line="184"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As of September 30, 2022, we held cash and cash equivalents of $5.1 million, compared with $7.8 million at December 31, 2021. Borrowings outstanding were $50.2 million and $49.5 million as of September 30, 2022 and December 31, 2021, respectively.</w:t>
      </w:r>
    </w:p>
    <w:p>
      <w:pPr>
        <w:spacing w:after="0" w:line="170" w:lineRule="exact"/>
        <w:rPr>
          <w:sz w:val="20"/>
          <w:szCs w:val="20"/>
          <w:color w:val="auto"/>
        </w:rPr>
      </w:pPr>
    </w:p>
    <w:p>
      <w:pPr>
        <w:jc w:val="both"/>
        <w:ind w:firstLine="396"/>
        <w:spacing w:after="0" w:line="257" w:lineRule="auto"/>
        <w:rPr>
          <w:sz w:val="20"/>
          <w:szCs w:val="20"/>
          <w:color w:val="auto"/>
        </w:rPr>
      </w:pPr>
      <w:r>
        <w:rPr>
          <w:rFonts w:ascii="Arial" w:cs="Arial" w:eastAsia="Arial" w:hAnsi="Arial"/>
          <w:sz w:val="18"/>
          <w:szCs w:val="18"/>
          <w:color w:val="auto"/>
        </w:rPr>
        <w:t>On December 22, 2020, we entered into a Credit Agreement which provides for a term loan of $40.0 million and a $25.0 million senior revolving credit facility both maturing on December 22, 2025 (See Note 9 to our Condensed Consolidated Financial Statements included in “Part I, Item 1. Financial Statement” of this report). As of September 30, 2022, the weighted average interest rate on our borrowings was 6.4%, and the available and unused borrowing capacity under the Credit Agreement, as amended, was $3.0 million. Total revolver borrowing capacity is limited by our consolidated net leverage ratio as defined under the Credit Agreement, as amended.</w:t>
      </w:r>
    </w:p>
    <w:p>
      <w:pPr>
        <w:spacing w:after="0" w:line="188" w:lineRule="exact"/>
        <w:rPr>
          <w:sz w:val="20"/>
          <w:szCs w:val="20"/>
          <w:color w:val="auto"/>
        </w:rPr>
      </w:pPr>
    </w:p>
    <w:p>
      <w:pPr>
        <w:jc w:val="both"/>
        <w:ind w:firstLine="396"/>
        <w:spacing w:after="0" w:line="275" w:lineRule="auto"/>
        <w:rPr>
          <w:sz w:val="20"/>
          <w:szCs w:val="20"/>
          <w:color w:val="auto"/>
        </w:rPr>
      </w:pPr>
      <w:r>
        <w:rPr>
          <w:rFonts w:ascii="Arial" w:cs="Arial" w:eastAsia="Arial" w:hAnsi="Arial"/>
          <w:sz w:val="17"/>
          <w:szCs w:val="17"/>
          <w:color w:val="auto"/>
        </w:rPr>
        <w:t>On April 28, 2022, and November 8, 2022, we entered into amendments to the Credit Agreement and Pledge and Security Agreement (see Notes 9 and 14 to our Condensed Consolidated Financial Statements included in “Part I, Item 1. Financial Statements” of this report). The amendment we entered into on November 8, 2022 (the “November 2022 Amendment”), among other things, modified the financial covenant relating to the consolidated net leverage ratio and the definition of Consolidated EBITDA used in the calculation of certain financial covenants. As a result of the November 2022 Amendment, we are in compliance with these financial covenants of the Credit Agreement, as amended.</w:t>
      </w:r>
    </w:p>
    <w:p>
      <w:pPr>
        <w:spacing w:after="0" w:line="176" w:lineRule="exact"/>
        <w:rPr>
          <w:sz w:val="20"/>
          <w:szCs w:val="20"/>
          <w:color w:val="auto"/>
        </w:rPr>
      </w:pPr>
    </w:p>
    <w:p>
      <w:pPr>
        <w:jc w:val="both"/>
        <w:ind w:firstLine="396"/>
        <w:spacing w:after="0" w:line="275" w:lineRule="auto"/>
        <w:rPr>
          <w:sz w:val="20"/>
          <w:szCs w:val="20"/>
          <w:color w:val="auto"/>
        </w:rPr>
      </w:pPr>
      <w:r>
        <w:rPr>
          <w:rFonts w:ascii="Arial" w:cs="Arial" w:eastAsia="Arial" w:hAnsi="Arial"/>
          <w:sz w:val="17"/>
          <w:szCs w:val="17"/>
          <w:color w:val="auto"/>
        </w:rPr>
        <w:t>Based on our current operating plans, we expect that our available cash, cash generated from current operations and debt capacity will be sufficient to finance current operations, any costs associated with restructuring activities and capital expenditures for at least the next 12 months. This assessment includes consideration of our best estimates of the impact of the COVID-19 pandemic and other macroeconomic conditions on our financial results described above. Our forecast of the period of time through which our financial resources will be adequate to support our operations is a forward-looking statement that involves risks and uncertainties, and actual results could vary as a result of a number of factors.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CASH FLOW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14605</wp:posOffset>
            </wp:positionV>
            <wp:extent cx="570039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Cash (used in) provided by operating activities</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5715</wp:posOffset>
            </wp:positionV>
            <wp:extent cx="570039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Cash used in financing activities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14605</wp:posOffset>
            </wp:positionV>
            <wp:extent cx="570039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Decrease in cash and cash equivalents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195"/>
        </w:trPr>
        <w:tc>
          <w:tcPr>
            <w:tcW w:w="36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(1,527)</w:t>
            </w:r>
          </w:p>
        </w:tc>
        <w:tc>
          <w:tcPr>
            <w:tcW w:w="100" w:type="dxa"/>
            <w:vAlign w:val="bottom"/>
          </w:tcPr>
          <w:p>
            <w:pPr>
              <w:spacing w:after="0"/>
              <w:rPr>
                <w:sz w:val="16"/>
                <w:szCs w:val="16"/>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1,145</w:t>
            </w:r>
          </w:p>
        </w:tc>
      </w:tr>
      <w:tr>
        <w:trPr>
          <w:trHeight w:val="216"/>
        </w:trPr>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(987)</w:t>
            </w:r>
          </w:p>
        </w:tc>
      </w:tr>
      <w:tr>
        <w:trPr>
          <w:trHeight w:val="216"/>
        </w:trPr>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(2,846)</w:t>
            </w:r>
          </w:p>
        </w:tc>
      </w:tr>
      <w:tr>
        <w:trPr>
          <w:trHeight w:val="230"/>
        </w:trPr>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09"/>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340" w:space="720"/>
            <w:col w:w="5180"/>
          </w:cols>
          <w:pgMar w:left="320" w:top="125" w:right="339" w:bottom="1440" w:gutter="0" w:footer="0" w:header="0"/>
          <w:type w:val="continuous"/>
        </w:sectPr>
      </w:pPr>
    </w:p>
    <w:p>
      <w:pPr>
        <w:spacing w:after="0" w:line="2"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7"/>
          <w:szCs w:val="17"/>
          <w:color w:val="auto"/>
        </w:rPr>
        <w:t>Cash (used in) provided by operating activities was $(1.5) million and $1.1 million for the nine months ended September 30, 2022 and 2021, respectively. Cash flow from operations for the nine months ended September 30, 2022 was lower than the comparable period in the prior year due to increased operating losses as noted, payments related to the Biostage Litigation, offset by the positive impact of improved accounts receivable collections. During the nine months ended September 30, 2022, we paid approximately $4.0 million in connection with the Settlement.</w:t>
      </w:r>
    </w:p>
    <w:p>
      <w:pPr>
        <w:spacing w:after="0" w:line="171" w:lineRule="exact"/>
        <w:rPr>
          <w:sz w:val="20"/>
          <w:szCs w:val="20"/>
          <w:color w:val="auto"/>
        </w:rPr>
      </w:pPr>
    </w:p>
    <w:p>
      <w:pPr>
        <w:jc w:val="both"/>
        <w:ind w:right="20" w:firstLine="396"/>
        <w:spacing w:after="0" w:line="277" w:lineRule="auto"/>
        <w:rPr>
          <w:sz w:val="20"/>
          <w:szCs w:val="20"/>
          <w:color w:val="auto"/>
        </w:rPr>
      </w:pPr>
      <w:r>
        <w:rPr>
          <w:rFonts w:ascii="Arial" w:cs="Arial" w:eastAsia="Arial" w:hAnsi="Arial"/>
          <w:sz w:val="18"/>
          <w:szCs w:val="18"/>
          <w:color w:val="auto"/>
        </w:rPr>
        <w:t>Cash used in investing activities was $1.4 million and $1.0 million for the nine months ended September 30, 2022 and 2021, respectively, and primarily consisted of capital expenditures in manufacturing and information technology infrastructure.</w:t>
      </w:r>
    </w:p>
    <w:p>
      <w:pPr>
        <w:spacing w:after="0" w:line="170" w:lineRule="exact"/>
        <w:rPr>
          <w:sz w:val="20"/>
          <w:szCs w:val="20"/>
          <w:color w:val="auto"/>
        </w:rPr>
      </w:pPr>
    </w:p>
    <w:p>
      <w:pPr>
        <w:jc w:val="both"/>
        <w:ind w:firstLine="396"/>
        <w:spacing w:after="0" w:line="293" w:lineRule="auto"/>
        <w:rPr>
          <w:sz w:val="20"/>
          <w:szCs w:val="20"/>
          <w:color w:val="auto"/>
        </w:rPr>
      </w:pPr>
      <w:r>
        <w:rPr>
          <w:rFonts w:ascii="Arial" w:cs="Arial" w:eastAsia="Arial" w:hAnsi="Arial"/>
          <w:sz w:val="16"/>
          <w:szCs w:val="16"/>
          <w:color w:val="auto"/>
        </w:rPr>
        <w:t>Cash used in financing activities was $0.1 million and $2.8 million for the nine months ended September 30, 2022 and 2021, respectively. During the nine months ended September 30, 2022, debt outstanding under our credit facility increased by $0.7 million, consisting of net drawings against our revolver of $3.1 million, offset by payments of $2.4 million against the term loan. We also paid $1.2 million for taxes related to net share settlement of equity awards. During the nine months ended September 30, 2021, we reduced total debt outstanding under our credit facility by $3.0 million. This reduction included $1.5 million paid under term loan installments and a net reduction in revolver borrowings of $1.5 million. We also received proceeds of $2.9 million from the exercise of stock options and we paid $2.7 million for taxes related to net share settlements of equity awards.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Impact of Foreign Currencies</w:t>
      </w:r>
    </w:p>
    <w:p>
      <w:pPr>
        <w:spacing w:after="0" w:line="229" w:lineRule="exact"/>
        <w:rPr>
          <w:sz w:val="20"/>
          <w:szCs w:val="20"/>
          <w:color w:val="auto"/>
        </w:rPr>
      </w:pPr>
    </w:p>
    <w:p>
      <w:pPr>
        <w:jc w:val="both"/>
        <w:ind w:right="20" w:firstLine="396"/>
        <w:spacing w:after="0" w:line="277" w:lineRule="auto"/>
        <w:rPr>
          <w:sz w:val="20"/>
          <w:szCs w:val="20"/>
          <w:color w:val="auto"/>
        </w:rPr>
      </w:pPr>
      <w:r>
        <w:rPr>
          <w:rFonts w:ascii="Arial" w:cs="Arial" w:eastAsia="Arial" w:hAnsi="Arial"/>
          <w:sz w:val="18"/>
          <w:szCs w:val="18"/>
          <w:color w:val="auto"/>
        </w:rPr>
        <w:t>Our international operations in some instances operate in a natural hedge, as we sell our products in many countries and a substantial portion of our revenues, costs and expenses are denominated in foreign currencies, primarily the euro and British pound.</w:t>
      </w:r>
    </w:p>
    <w:p>
      <w:pPr>
        <w:spacing w:after="0" w:line="170"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During the three months ended September 30, 2022, changes in foreign currency exchange rates resulted in an unfavorable translation effect on our consolidated revenues of approximately $1.1 million and a favorable effect on expense of approximately $1.0 million. During the nine months ended September 30, 2022, changes in foreign currency exchange rates resulted in an unfavorable translation effect on our consolidated revenues of approximately $2.4 million and a favorable effect on expenses of approximately $2.3 million.</w:t>
      </w:r>
    </w:p>
    <w:p>
      <w:pPr>
        <w:spacing w:after="0" w:line="187"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7"/>
          <w:szCs w:val="17"/>
          <w:color w:val="auto"/>
        </w:rPr>
        <w:t>The loss associated with the translation of foreign equity into U.S. dollars included as a component of comprehensive loss during the three months ended September 30, 2022 was $2.9 million, compared to a loss of approximately $1.1 million for the three months ended September 30, 2021. The loss associated with the translation of foreign equity into U.S. dollars included as a component of comprehensive loss during the nine months ended September 30, 2022 was $6.2 million, compared to a loss of $1.9 million for the nine months ended September 30, 2021.</w:t>
      </w:r>
    </w:p>
    <w:p>
      <w:pPr>
        <w:spacing w:after="0" w:line="171"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In addition, currency exchange rate fluctuations included as a component of net loss resulted in a loss of $0.3 million during the three months ended September 30, 2022, and losses of $0.6 million and $0.1 million during the nine months ended September 30, 2022 and 2021, respectively. Currency gains for the three months ended September 30, 2021 were not significant.</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firstLine="396"/>
        <w:spacing w:after="0" w:line="277" w:lineRule="auto"/>
        <w:rPr>
          <w:sz w:val="20"/>
          <w:szCs w:val="20"/>
          <w:color w:val="auto"/>
        </w:rPr>
      </w:pPr>
      <w:r>
        <w:rPr>
          <w:rFonts w:ascii="Arial" w:cs="Arial" w:eastAsia="Arial" w:hAnsi="Arial"/>
          <w:sz w:val="18"/>
          <w:szCs w:val="18"/>
          <w:color w:val="auto"/>
        </w:rPr>
        <w:t>The critical accounting policies underlying the accompanying unaudited consolidated financial statements are those set forth in Part II, Item 7 included in our Annual Report on Form 10-K for the fiscal year ended December 31, 2021.</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For information on recent accounting pronouncements impacting our business, see “Recently Issued Accounting Pronouncements” included in Note 2 to our Condensed Consolidated Financial Statements included in “Part I, Item 1. Financial Statements” of this report.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96"/>
        <w:spacing w:after="0" w:line="254" w:lineRule="auto"/>
        <w:rPr>
          <w:sz w:val="20"/>
          <w:szCs w:val="20"/>
          <w:color w:val="auto"/>
        </w:rPr>
      </w:pPr>
      <w:r>
        <w:rPr>
          <w:rFonts w:ascii="Arial" w:cs="Arial" w:eastAsia="Arial" w:hAnsi="Arial"/>
          <w:sz w:val="18"/>
          <w:szCs w:val="18"/>
          <w:color w:val="auto"/>
        </w:rPr>
        <w:t>As of September 30, 2022,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spacing w:after="0" w:line="19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There were no changes in our internal control over financial reporting during the third quarter of fiscal 2022 that have materially affected, or are reasonably likely to materially affect, our internal control over financial reporting. We continue to monitor the impact of the COVID-19 pandemic and, despite many of our employees working remotely, have not experienced any changes that materially affected, or are reasonably likely to materially affect, our internal control over financial reporting.</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225"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7"/>
          <w:szCs w:val="17"/>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20" w:firstLine="396"/>
        <w:spacing w:after="0" w:line="277" w:lineRule="auto"/>
        <w:rPr>
          <w:sz w:val="20"/>
          <w:szCs w:val="20"/>
          <w:color w:val="auto"/>
        </w:rPr>
      </w:pPr>
      <w:r>
        <w:rPr>
          <w:rFonts w:ascii="Arial" w:cs="Arial" w:eastAsia="Arial" w:hAnsi="Arial"/>
          <w:sz w:val="18"/>
          <w:szCs w:val="18"/>
          <w:color w:val="auto"/>
        </w:rPr>
        <w:t>The information included in Note 12 and Note 13 to the Condensed Consolidated Financial Statements (Unaudited) included in Part I, Item 1 of this quarterly report is incorporated herein by reference.</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396"/>
        <w:spacing w:after="0" w:line="257" w:lineRule="auto"/>
        <w:rPr>
          <w:sz w:val="20"/>
          <w:szCs w:val="20"/>
          <w:color w:val="auto"/>
        </w:rPr>
      </w:pPr>
      <w:r>
        <w:rPr>
          <w:rFonts w:ascii="Arial" w:cs="Arial" w:eastAsia="Arial" w:hAnsi="Arial"/>
          <w:sz w:val="18"/>
          <w:szCs w:val="18"/>
          <w:color w:val="auto"/>
        </w:rPr>
        <w:t>You should carefully consider the risk factors set forth below together with the risk factors discussed in Part I, “Item 1A. Risk Factors” in our Annual Report on Form 10-K for the fiscal year ended December 31, 2021, which could materially affect our business, financial position, or future results of operations. The risks described below and in our Annual Report on Form 10-K are not the only risks we face. Additional risks and uncertainties not currently known to us or that we currently deem to be immaterial may also materially adversely affect our business, financial position, or future results of operations.</w:t>
      </w:r>
    </w:p>
    <w:p>
      <w:pPr>
        <w:spacing w:after="0" w:line="184" w:lineRule="exact"/>
        <w:rPr>
          <w:sz w:val="20"/>
          <w:szCs w:val="20"/>
          <w:color w:val="auto"/>
        </w:rPr>
      </w:pPr>
    </w:p>
    <w:p>
      <w:pPr>
        <w:jc w:val="both"/>
        <w:ind w:firstLine="396"/>
        <w:spacing w:after="0" w:line="266" w:lineRule="auto"/>
        <w:rPr>
          <w:sz w:val="20"/>
          <w:szCs w:val="20"/>
          <w:color w:val="auto"/>
        </w:rPr>
      </w:pPr>
      <w:r>
        <w:rPr>
          <w:rFonts w:ascii="Arial" w:cs="Arial" w:eastAsia="Arial" w:hAnsi="Arial"/>
          <w:sz w:val="18"/>
          <w:szCs w:val="18"/>
          <w:b w:val="1"/>
          <w:bCs w:val="1"/>
          <w:color w:val="auto"/>
        </w:rPr>
        <w:t>Rising inflation and interest rates could negatively impact our revenues, profitability and borrowing costs. In addition, if our costs increase and we are not able to correspondingly adjust our commercial relationships to account for this increase, our net income would be adversely affected, and the adverse impact may be material.</w:t>
      </w:r>
    </w:p>
    <w:p>
      <w:pPr>
        <w:spacing w:after="0" w:line="180" w:lineRule="exact"/>
        <w:rPr>
          <w:sz w:val="20"/>
          <w:szCs w:val="20"/>
          <w:color w:val="auto"/>
        </w:rPr>
      </w:pPr>
    </w:p>
    <w:p>
      <w:pPr>
        <w:jc w:val="both"/>
        <w:ind w:firstLine="396"/>
        <w:spacing w:after="0" w:line="271" w:lineRule="auto"/>
        <w:rPr>
          <w:sz w:val="20"/>
          <w:szCs w:val="20"/>
          <w:color w:val="auto"/>
        </w:rPr>
      </w:pPr>
      <w:r>
        <w:rPr>
          <w:rFonts w:ascii="Arial" w:cs="Arial" w:eastAsia="Arial" w:hAnsi="Arial"/>
          <w:sz w:val="17"/>
          <w:szCs w:val="17"/>
          <w:color w:val="auto"/>
        </w:rPr>
        <w:t>Inflation rates, particularly in the U.S., have increased recently to levels not seen in years. Increased inflation may result in decreased demand for our products, increased operating costs (including our labor costs), reduced liquidity, and limitations on our ability to access credit or otherwise raise debt and equity capital. In addition, the United States Federal Reserve has raised, and may again raise, interest rates in response to concerns about inflation. Increases in interest rates have had, and could continue to have, a material impact on our borrowing costs. In an inflationary environment, we may be unable to raise the sales prices of our products at or above the rate at which our costs increase, which could reduce our profit margins and have a material adverse effect on our financial results and net income. We also may experience lower than expected sales if there is a decrease in spending on products in our industry in general or a negative reaction to our pricing. A reduction in our revenue would be detrimental to our profitability and financial condition and could also have an adverse impact on our future growth.</w:t>
      </w:r>
    </w:p>
    <w:p>
      <w:pPr>
        <w:spacing w:after="0" w:line="174" w:lineRule="exact"/>
        <w:rPr>
          <w:sz w:val="20"/>
          <w:szCs w:val="20"/>
          <w:color w:val="auto"/>
        </w:rPr>
      </w:pPr>
    </w:p>
    <w:p>
      <w:pPr>
        <w:jc w:val="both"/>
        <w:ind w:firstLine="396"/>
        <w:spacing w:after="0" w:line="347" w:lineRule="auto"/>
        <w:rPr>
          <w:sz w:val="20"/>
          <w:szCs w:val="20"/>
          <w:color w:val="auto"/>
        </w:rPr>
      </w:pPr>
      <w:r>
        <w:rPr>
          <w:rFonts w:ascii="Arial" w:cs="Arial" w:eastAsia="Arial" w:hAnsi="Arial"/>
          <w:sz w:val="16"/>
          <w:szCs w:val="16"/>
          <w:b w:val="1"/>
          <w:bCs w:val="1"/>
          <w:color w:val="auto"/>
        </w:rPr>
        <w:t>We have substantial debt and other financial obligations, and we may incur even more debt. Any failure to meet our debt and other financial obligations or maintain compliance with related covenants could harm our business, financial condition and results of operations.</w:t>
      </w:r>
    </w:p>
    <w:p>
      <w:pPr>
        <w:spacing w:after="0" w:line="120"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Our credit agreement provides for a term loan of $40.0 million and a $25.0 million senior revolving credit facility (collectively, the “Credit Agreement”) and will mature on December 22, 2025. As of September 30, 2022, we had outstanding borrowings of $50.2 million under the Credit Agreement.</w:t>
      </w:r>
    </w:p>
    <w:p>
      <w:pPr>
        <w:spacing w:after="0" w:line="184"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Pursuant to the terms of the Credit Agreement, we are subject to various covenants, including negative covenants that restrict our ability to engage in certain transactions, which may limit our ability to respond to changing business and economic conditions. Such negative covenants include, among other things, limitations on our ability and the ability of our subsidiaries to:</w:t>
      </w:r>
    </w:p>
    <w:p>
      <w:pPr>
        <w:spacing w:after="0" w:line="184" w:lineRule="exact"/>
        <w:rPr>
          <w:sz w:val="20"/>
          <w:szCs w:val="20"/>
          <w:color w:val="auto"/>
        </w:rPr>
      </w:pPr>
    </w:p>
    <w:p>
      <w:pPr>
        <w:ind w:left="1700" w:hanging="329"/>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debt,</w:t>
      </w:r>
    </w:p>
    <w:p>
      <w:pPr>
        <w:spacing w:after="0" w:line="23" w:lineRule="exact"/>
        <w:rPr>
          <w:rFonts w:ascii="Arial" w:cs="Arial" w:eastAsia="Arial" w:hAnsi="Arial"/>
          <w:sz w:val="18"/>
          <w:szCs w:val="18"/>
          <w:color w:val="auto"/>
        </w:rPr>
      </w:pPr>
    </w:p>
    <w:p>
      <w:pPr>
        <w:ind w:left="1700" w:hanging="329"/>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9" w:lineRule="exact"/>
        <w:rPr>
          <w:rFonts w:ascii="Arial" w:cs="Arial" w:eastAsia="Arial" w:hAnsi="Arial"/>
          <w:sz w:val="18"/>
          <w:szCs w:val="18"/>
          <w:color w:val="auto"/>
        </w:rPr>
      </w:pPr>
    </w:p>
    <w:p>
      <w:pPr>
        <w:ind w:left="1700" w:hanging="329"/>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investments (including acquisitions),</w:t>
      </w:r>
    </w:p>
    <w:p>
      <w:pPr>
        <w:spacing w:after="0" w:line="9" w:lineRule="exact"/>
        <w:rPr>
          <w:rFonts w:ascii="Arial" w:cs="Arial" w:eastAsia="Arial" w:hAnsi="Arial"/>
          <w:sz w:val="18"/>
          <w:szCs w:val="18"/>
          <w:color w:val="auto"/>
        </w:rPr>
      </w:pPr>
    </w:p>
    <w:p>
      <w:pPr>
        <w:ind w:left="1700" w:hanging="329"/>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assets, and</w:t>
      </w:r>
    </w:p>
    <w:p>
      <w:pPr>
        <w:spacing w:after="0" w:line="9" w:lineRule="exact"/>
        <w:rPr>
          <w:rFonts w:ascii="Arial" w:cs="Arial" w:eastAsia="Arial" w:hAnsi="Arial"/>
          <w:sz w:val="18"/>
          <w:szCs w:val="18"/>
          <w:color w:val="auto"/>
        </w:rPr>
      </w:pPr>
    </w:p>
    <w:p>
      <w:pPr>
        <w:ind w:left="1700" w:hanging="329"/>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on our capital stock.</w:t>
      </w:r>
    </w:p>
    <w:p>
      <w:pPr>
        <w:spacing w:after="0" w:line="211"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In addition, the Credit Agreement contains certain financial covenants, including a maximum consolidated net leverage ratio and a minimum consolidated fixed charge coverage ratio, each of which will be tested at the end of each fiscal quarter of the Company.</w:t>
      </w:r>
    </w:p>
    <w:p>
      <w:pPr>
        <w:spacing w:after="0" w:line="170" w:lineRule="exact"/>
        <w:rPr>
          <w:sz w:val="20"/>
          <w:szCs w:val="20"/>
          <w:color w:val="auto"/>
        </w:rPr>
      </w:pPr>
    </w:p>
    <w:p>
      <w:pPr>
        <w:jc w:val="both"/>
        <w:ind w:firstLine="396"/>
        <w:spacing w:after="0" w:line="290" w:lineRule="auto"/>
        <w:rPr>
          <w:sz w:val="20"/>
          <w:szCs w:val="20"/>
          <w:color w:val="auto"/>
        </w:rPr>
      </w:pPr>
      <w:r>
        <w:rPr>
          <w:rFonts w:ascii="Arial" w:cs="Arial" w:eastAsia="Arial" w:hAnsi="Arial"/>
          <w:sz w:val="16"/>
          <w:szCs w:val="16"/>
          <w:color w:val="auto"/>
        </w:rPr>
        <w:t>We were not in compliance with certain financial covenants under the Credit Agreement as of September 30, 2022 but we were able to cure such noncompliance with the November 2022 Amendment. If we are not able to maintain compliance with the covenants under the Credit Agreement, as amended, or are unsuccessful in obtaining waivers or amendments for any covenant defaults in the future, in addition to other actions our lenders may require, the amounts outstanding under the Credit Agreement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165"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Further, based upon our actual performance levels, our covenants relating to leverage and fixed charges could limit our ability to incur additional debt, which could hinder our ability to execute our current business strategy.</w:t>
      </w:r>
    </w:p>
    <w:p>
      <w:pPr>
        <w:spacing w:after="0" w:line="170" w:lineRule="exact"/>
        <w:rPr>
          <w:sz w:val="20"/>
          <w:szCs w:val="20"/>
          <w:color w:val="auto"/>
        </w:rPr>
      </w:pPr>
    </w:p>
    <w:p>
      <w:pPr>
        <w:jc w:val="both"/>
        <w:ind w:firstLine="396"/>
        <w:spacing w:after="0" w:line="289" w:lineRule="auto"/>
        <w:rPr>
          <w:sz w:val="20"/>
          <w:szCs w:val="20"/>
          <w:color w:val="auto"/>
        </w:rPr>
      </w:pPr>
      <w:r>
        <w:rPr>
          <w:rFonts w:ascii="Arial" w:cs="Arial" w:eastAsia="Arial" w:hAnsi="Arial"/>
          <w:sz w:val="16"/>
          <w:szCs w:val="16"/>
          <w:color w:val="auto"/>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make such payments, comply with the financial covenants, or any other non-financial or restrictive covenant, would create a default under our Credit Agreement. Our cash flow and existing capital resources may be insufficient to repay our debt at maturity, in which such case prior thereto we would have to extend such maturity date, or otherwise repay, refinance and or restructure the obligations under the Credit Agreement, including with proceeds from the sale of assets, and additional equity or debt capital. If we are unsuccessful in obtaining such extension, or entering into such repayment, refinance or restructure prior to maturity, or any other default existed under the Credit Agreement, our lenders could accelerate the indebtedness under the Credit Agreement, foreclose against their collateral or seek other remedies, which would jeopardize our ability to continue our current operations.</w:t>
      </w:r>
    </w:p>
    <w:p>
      <w:pPr>
        <w:sectPr>
          <w:pgSz w:w="11900" w:h="16838" w:orient="portrait"/>
          <w:cols w:equalWidth="0" w:num="1">
            <w:col w:w="11240"/>
          </w:cols>
          <w:pgMar w:left="320" w:top="125" w:right="339" w:bottom="196"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96" w:gutter="0" w:footer="0" w:header="0"/>
          <w:type w:val="continuous"/>
        </w:sectPr>
      </w:pPr>
    </w:p>
    <w:bookmarkStart w:id="26" w:name="page27"/>
    <w:bookmarkEnd w:id="26"/>
    <w:p>
      <w:pPr>
        <w:spacing w:after="0" w:line="196" w:lineRule="auto"/>
        <w:framePr w:w="500" w:h="160" w:wrap="auto" w:vAnchor="page" w:hAnchor="page" w:x="280" w:y="6541"/>
        <w:rPr>
          <w:rFonts w:ascii="Arial" w:cs="Arial" w:eastAsia="Arial" w:hAnsi="Arial"/>
          <w:sz w:val="17"/>
          <w:szCs w:val="17"/>
          <w:u w:val="single" w:color="auto"/>
          <w:color w:val="0000EE"/>
        </w:rPr>
      </w:pPr>
      <w:r>
        <w:rPr>
          <w:rFonts w:ascii="Arial" w:cs="Arial" w:eastAsia="Arial" w:hAnsi="Arial"/>
          <w:sz w:val="17"/>
          <w:szCs w:val="17"/>
          <w:u w:val="single" w:color="auto"/>
          <w:color w:val="0000EE"/>
        </w:rPr>
        <w:t>32.2*</w:t>
      </w:r>
    </w:p>
    <w:p>
      <w:pPr>
        <w:spacing w:after="0" w:line="196" w:lineRule="auto"/>
        <w:framePr w:w="500" w:h="160" w:wrap="auto" w:vAnchor="page" w:hAnchor="page" w:x="280" w:y="6109"/>
        <w:rPr>
          <w:rFonts w:ascii="Arial" w:cs="Arial" w:eastAsia="Arial" w:hAnsi="Arial"/>
          <w:sz w:val="17"/>
          <w:szCs w:val="17"/>
          <w:u w:val="single" w:color="auto"/>
          <w:color w:val="0000EE"/>
        </w:rPr>
      </w:pPr>
      <w:r>
        <w:rPr>
          <w:rFonts w:ascii="Arial" w:cs="Arial" w:eastAsia="Arial" w:hAnsi="Arial"/>
          <w:sz w:val="17"/>
          <w:szCs w:val="17"/>
          <w:u w:val="single" w:color="auto"/>
          <w:color w:val="0000EE"/>
        </w:rPr>
        <w:t>32.1*</w:t>
      </w:r>
    </w:p>
    <w:p>
      <w:pPr>
        <w:spacing w:after="0" w:line="209" w:lineRule="auto"/>
        <w:framePr w:w="400" w:h="160" w:wrap="auto" w:vAnchor="page" w:hAnchor="page" w:x="280" w:y="5677"/>
        <w:rPr>
          <w:rFonts w:ascii="Arial" w:cs="Arial" w:eastAsia="Arial" w:hAnsi="Arial"/>
          <w:sz w:val="16"/>
          <w:szCs w:val="16"/>
          <w:u w:val="single" w:color="auto"/>
          <w:color w:val="0000EE"/>
        </w:rPr>
      </w:pPr>
      <w:r>
        <w:rPr>
          <w:rFonts w:ascii="Arial" w:cs="Arial" w:eastAsia="Arial" w:hAnsi="Arial"/>
          <w:sz w:val="16"/>
          <w:szCs w:val="16"/>
          <w:u w:val="single" w:color="auto"/>
          <w:color w:val="0000EE"/>
        </w:rPr>
        <w:t>31.2</w:t>
      </w:r>
    </w:p>
    <w:p>
      <w:pPr>
        <w:spacing w:after="0" w:line="209" w:lineRule="auto"/>
        <w:framePr w:w="400" w:h="160" w:wrap="auto" w:vAnchor="page" w:hAnchor="page" w:x="280" w:y="5245"/>
        <w:rPr>
          <w:rFonts w:ascii="Arial" w:cs="Arial" w:eastAsia="Arial" w:hAnsi="Arial"/>
          <w:sz w:val="16"/>
          <w:szCs w:val="16"/>
          <w:u w:val="single" w:color="auto"/>
          <w:color w:val="0000EE"/>
        </w:rPr>
      </w:pPr>
      <w:r>
        <w:rPr>
          <w:rFonts w:ascii="Arial" w:cs="Arial" w:eastAsia="Arial" w:hAnsi="Arial"/>
          <w:sz w:val="16"/>
          <w:szCs w:val="16"/>
          <w:u w:val="single" w:color="auto"/>
          <w:color w:val="0000EE"/>
        </w:rPr>
        <w:t>31.1</w:t>
      </w: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rFonts w:ascii="Arial" w:cs="Arial" w:eastAsia="Arial" w:hAnsi="Arial"/>
          <w:sz w:val="16"/>
          <w:szCs w:val="16"/>
          <w:u w:val="single" w:color="auto"/>
          <w:color w:val="0000EE"/>
        </w:rPr>
      </w:pPr>
    </w:p>
    <w:p>
      <w:pPr>
        <w:ind w:left="40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221" w:lineRule="exact"/>
        <w:rPr>
          <w:rFonts w:ascii="Arial" w:cs="Arial" w:eastAsia="Arial" w:hAnsi="Arial"/>
          <w:sz w:val="16"/>
          <w:szCs w:val="16"/>
          <w:u w:val="single" w:color="auto"/>
          <w:color w:val="0000EE"/>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rFonts w:ascii="Arial" w:cs="Arial" w:eastAsia="Arial" w:hAnsi="Arial"/>
          <w:sz w:val="16"/>
          <w:szCs w:val="16"/>
          <w:u w:val="single" w:color="auto"/>
          <w:color w:val="0000EE"/>
        </w:rPr>
      </w:pPr>
    </w:p>
    <w:p>
      <w:pPr>
        <w:ind w:firstLine="396"/>
        <w:spacing w:after="0" w:line="277" w:lineRule="auto"/>
        <w:rPr>
          <w:sz w:val="20"/>
          <w:szCs w:val="20"/>
          <w:color w:val="auto"/>
        </w:rPr>
      </w:pPr>
      <w:r>
        <w:rPr>
          <w:rFonts w:ascii="Arial" w:cs="Arial" w:eastAsia="Arial" w:hAnsi="Arial"/>
          <w:sz w:val="18"/>
          <w:szCs w:val="18"/>
          <w:color w:val="auto"/>
        </w:rPr>
        <w:t>See the discussion regarding the Credit Agreement, as amended by the November 2022 Amendment, in Part I, “Item 2. Management’s Discussion and Analysis of Financial Condition and Results of Operations—Liquidity and Capital Resources.”</w:t>
      </w:r>
    </w:p>
    <w:p>
      <w:pPr>
        <w:spacing w:after="0" w:line="166" w:lineRule="exact"/>
        <w:rPr>
          <w:rFonts w:ascii="Arial" w:cs="Arial" w:eastAsia="Arial" w:hAnsi="Arial"/>
          <w:sz w:val="16"/>
          <w:szCs w:val="16"/>
          <w:u w:val="single" w:color="auto"/>
          <w:color w:val="0000EE"/>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rFonts w:ascii="Arial" w:cs="Arial" w:eastAsia="Arial" w:hAnsi="Arial"/>
          <w:sz w:val="16"/>
          <w:szCs w:val="16"/>
          <w:u w:val="single" w:color="auto"/>
          <w:color w:val="0000EE"/>
        </w:rPr>
      </w:pPr>
    </w:p>
    <w:p>
      <w:pPr>
        <w:ind w:left="400"/>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6"/>
          <w:szCs w:val="16"/>
          <w:u w:val="single" w:color="auto"/>
          <w:color w:val="0000EE"/>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rFonts w:ascii="Arial" w:cs="Arial" w:eastAsia="Arial" w:hAnsi="Arial"/>
          <w:sz w:val="16"/>
          <w:szCs w:val="16"/>
          <w:u w:val="single" w:color="auto"/>
          <w:color w:val="0000EE"/>
        </w:rPr>
      </w:pPr>
    </w:p>
    <w:p>
      <w:pPr>
        <w:ind w:left="400"/>
        <w:spacing w:after="0"/>
        <w:rPr>
          <w:sz w:val="20"/>
          <w:szCs w:val="20"/>
          <w:color w:val="auto"/>
        </w:rPr>
      </w:pPr>
      <w:r>
        <w:rPr>
          <w:rFonts w:ascii="Arial" w:cs="Arial" w:eastAsia="Arial" w:hAnsi="Arial"/>
          <w:sz w:val="18"/>
          <w:szCs w:val="18"/>
          <w:color w:val="auto"/>
        </w:rPr>
        <w:t>None.</w:t>
      </w:r>
    </w:p>
    <w:p>
      <w:pPr>
        <w:spacing w:after="0" w:line="221" w:lineRule="exact"/>
        <w:rPr>
          <w:rFonts w:ascii="Arial" w:cs="Arial" w:eastAsia="Arial" w:hAnsi="Arial"/>
          <w:sz w:val="16"/>
          <w:szCs w:val="16"/>
          <w:u w:val="single" w:color="auto"/>
          <w:color w:val="0000EE"/>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rFonts w:ascii="Arial" w:cs="Arial" w:eastAsia="Arial" w:hAnsi="Arial"/>
          <w:sz w:val="16"/>
          <w:szCs w:val="16"/>
          <w:u w:val="single" w:color="auto"/>
          <w:color w:val="0000EE"/>
        </w:rPr>
      </w:pPr>
    </w:p>
    <w:p>
      <w:pPr>
        <w:spacing w:after="0"/>
        <w:tabs>
          <w:tab w:leader="none" w:pos="660" w:val="left"/>
        </w:tabs>
        <w:rPr>
          <w:sz w:val="20"/>
          <w:szCs w:val="20"/>
          <w:color w:val="auto"/>
        </w:rPr>
      </w:pPr>
      <w:r>
        <w:rPr>
          <w:rFonts w:ascii="Arial" w:cs="Arial" w:eastAsia="Arial" w:hAnsi="Arial"/>
          <w:sz w:val="18"/>
          <w:szCs w:val="18"/>
          <w:u w:val="single" w:color="auto"/>
          <w:color w:val="0000EE"/>
        </w:rPr>
        <w:t>10.1</w:t>
      </w:r>
      <w:r>
        <w:rPr>
          <w:sz w:val="20"/>
          <w:szCs w:val="20"/>
          <w:color w:val="auto"/>
        </w:rPr>
        <w:tab/>
      </w:r>
      <w:r>
        <w:rPr>
          <w:rFonts w:ascii="Arial" w:cs="Arial" w:eastAsia="Arial" w:hAnsi="Arial"/>
          <w:sz w:val="16"/>
          <w:szCs w:val="16"/>
          <w:u w:val="single" w:color="auto"/>
          <w:color w:val="0000EE"/>
        </w:rPr>
        <w:t>Second Amendment to Credit Agreement and Amendment to Pledge and Security Agreement, dated November 8, 2022, among Harvard</w:t>
      </w:r>
    </w:p>
    <w:p>
      <w:pPr>
        <w:spacing w:after="0" w:line="23" w:lineRule="exact"/>
        <w:rPr>
          <w:rFonts w:ascii="Arial" w:cs="Arial" w:eastAsia="Arial" w:hAnsi="Arial"/>
          <w:sz w:val="16"/>
          <w:szCs w:val="16"/>
          <w:u w:val="single" w:color="auto"/>
          <w:color w:val="0000EE"/>
        </w:rPr>
      </w:pPr>
    </w:p>
    <w:p>
      <w:pPr>
        <w:ind w:left="680"/>
        <w:spacing w:after="0"/>
        <w:rPr>
          <w:sz w:val="20"/>
          <w:szCs w:val="20"/>
          <w:color w:val="auto"/>
        </w:rPr>
      </w:pPr>
      <w:r>
        <w:rPr>
          <w:rFonts w:ascii="Arial" w:cs="Arial" w:eastAsia="Arial" w:hAnsi="Arial"/>
          <w:sz w:val="18"/>
          <w:szCs w:val="18"/>
          <w:u w:val="single" w:color="auto"/>
          <w:color w:val="0000EE"/>
        </w:rPr>
        <w:t>Bioscience, Inc., Citizens Bank, N.A., as the administrative agent, and the lenders party thereto.</w:t>
      </w:r>
    </w:p>
    <w:p>
      <w:pPr>
        <w:spacing w:after="0" w:line="9" w:lineRule="exact"/>
        <w:rPr>
          <w:rFonts w:ascii="Arial" w:cs="Arial" w:eastAsia="Arial" w:hAnsi="Arial"/>
          <w:sz w:val="16"/>
          <w:szCs w:val="16"/>
          <w:u w:val="single" w:color="auto"/>
          <w:color w:val="0000EE"/>
        </w:rPr>
      </w:pPr>
    </w:p>
    <w:p>
      <w:pPr>
        <w:ind w:left="680" w:right="260"/>
        <w:spacing w:after="0" w:line="250" w:lineRule="auto"/>
        <w:rPr>
          <w:sz w:val="20"/>
          <w:szCs w:val="20"/>
          <w:color w:val="auto"/>
        </w:rPr>
      </w:pPr>
      <w:r>
        <w:rPr>
          <w:rFonts w:ascii="Arial" w:cs="Arial" w:eastAsia="Arial" w:hAnsi="Arial"/>
          <w:sz w:val="18"/>
          <w:szCs w:val="18"/>
          <w:u w:val="single" w:color="auto"/>
          <w:color w:val="0000EE"/>
        </w:rPr>
        <w:t>Certification of Chief Financial Officer of Harvard Bioscience, Inc., pursuant to Rules 13a-14(a) and 15d-14(a), as adopted pursuant to Section 302 of the Sarbanes-Oxley Act of 2002.</w:t>
      </w:r>
    </w:p>
    <w:p>
      <w:pPr>
        <w:spacing w:after="0" w:line="1" w:lineRule="exact"/>
        <w:rPr>
          <w:rFonts w:ascii="Arial" w:cs="Arial" w:eastAsia="Arial" w:hAnsi="Arial"/>
          <w:sz w:val="16"/>
          <w:szCs w:val="16"/>
          <w:u w:val="single" w:color="auto"/>
          <w:color w:val="0000EE"/>
        </w:rPr>
      </w:pPr>
    </w:p>
    <w:p>
      <w:pPr>
        <w:ind w:left="680" w:right="220"/>
        <w:spacing w:after="0" w:line="250" w:lineRule="auto"/>
        <w:rPr>
          <w:sz w:val="20"/>
          <w:szCs w:val="20"/>
          <w:color w:val="auto"/>
        </w:rPr>
      </w:pPr>
      <w:r>
        <w:rPr>
          <w:rFonts w:ascii="Arial" w:cs="Arial" w:eastAsia="Arial" w:hAnsi="Arial"/>
          <w:sz w:val="18"/>
          <w:szCs w:val="18"/>
          <w:u w:val="single" w:color="auto"/>
          <w:color w:val="0000EE"/>
        </w:rPr>
        <w:t>Certification of Chief Executive Officer of Harvard Bioscience, Inc., pursuant to Rules 13a-14(a) and 15d-14(a), as adopted pursuant to Section 302 of the Sarbanes-Oxley Act of 2002.</w:t>
      </w:r>
    </w:p>
    <w:p>
      <w:pPr>
        <w:spacing w:after="0" w:line="1" w:lineRule="exact"/>
        <w:rPr>
          <w:rFonts w:ascii="Arial" w:cs="Arial" w:eastAsia="Arial" w:hAnsi="Arial"/>
          <w:sz w:val="16"/>
          <w:szCs w:val="16"/>
          <w:u w:val="single" w:color="auto"/>
          <w:color w:val="0000EE"/>
        </w:rPr>
      </w:pPr>
    </w:p>
    <w:p>
      <w:pPr>
        <w:ind w:left="680"/>
        <w:spacing w:after="0" w:line="250" w:lineRule="auto"/>
        <w:rPr>
          <w:sz w:val="20"/>
          <w:szCs w:val="20"/>
          <w:color w:val="auto"/>
        </w:rPr>
      </w:pPr>
      <w:r>
        <w:rPr>
          <w:rFonts w:ascii="Arial" w:cs="Arial" w:eastAsia="Arial" w:hAnsi="Arial"/>
          <w:sz w:val="18"/>
          <w:szCs w:val="18"/>
          <w:u w:val="single" w:color="auto"/>
          <w:color w:val="0000EE"/>
        </w:rPr>
        <w:t>Certification of Chief Financial Officer of Harvard Bioscience, Inc., pursuant to 18 U.S.C. Section 1350, as adopted pursuant to Section 906 of the Sarbanes-Oxley Act of 2002.</w:t>
      </w:r>
    </w:p>
    <w:p>
      <w:pPr>
        <w:spacing w:after="0" w:line="1" w:lineRule="exact"/>
        <w:rPr>
          <w:rFonts w:ascii="Arial" w:cs="Arial" w:eastAsia="Arial" w:hAnsi="Arial"/>
          <w:sz w:val="16"/>
          <w:szCs w:val="16"/>
          <w:u w:val="single" w:color="auto"/>
          <w:color w:val="0000EE"/>
        </w:rPr>
      </w:pPr>
    </w:p>
    <w:p>
      <w:pPr>
        <w:ind w:left="680"/>
        <w:spacing w:after="0" w:line="250" w:lineRule="auto"/>
        <w:rPr>
          <w:sz w:val="20"/>
          <w:szCs w:val="20"/>
          <w:color w:val="auto"/>
        </w:rPr>
      </w:pPr>
      <w:r>
        <w:rPr>
          <w:rFonts w:ascii="Arial" w:cs="Arial" w:eastAsia="Arial" w:hAnsi="Arial"/>
          <w:sz w:val="18"/>
          <w:szCs w:val="18"/>
          <w:u w:val="single" w:color="auto"/>
          <w:color w:val="0000EE"/>
        </w:rPr>
        <w:t>Certification of Chief Financial Officer of Harvard Bioscience, Inc., pursuant to 18 U.S.C. Section 1350, as adopted pursuant to Section 906 of the Sarbanes-Oxley Act of 2002.</w:t>
      </w:r>
    </w:p>
    <w:p>
      <w:pPr>
        <w:spacing w:after="0" w:line="1"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color w:val="auto"/>
        </w:rPr>
        <w:t>101.INS Inline XBRL Instance Document</w:t>
      </w:r>
    </w:p>
    <w:p>
      <w:pPr>
        <w:spacing w:after="0" w:line="9"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color w:val="auto"/>
        </w:rPr>
        <w:t>101.SCHInline XBRL Taxonomy Extension Schema Document</w:t>
      </w:r>
    </w:p>
    <w:p>
      <w:pPr>
        <w:spacing w:after="0" w:line="9"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color w:val="auto"/>
        </w:rPr>
        <w:t>101.CALInline XBRL Taxonomy Extension Calculation Linkbase Document</w:t>
      </w:r>
    </w:p>
    <w:p>
      <w:pPr>
        <w:spacing w:after="0" w:line="9"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color w:val="auto"/>
        </w:rPr>
        <w:t>101.DEFInline XBRL Taxonomy Extension Definition Linkbase Document</w:t>
      </w:r>
    </w:p>
    <w:p>
      <w:pPr>
        <w:spacing w:after="0" w:line="9"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color w:val="auto"/>
        </w:rPr>
        <w:t>101.LABInline XBRL Taxonomy Extension Labels Linkbase Document</w:t>
      </w:r>
    </w:p>
    <w:p>
      <w:pPr>
        <w:spacing w:after="0" w:line="9"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9" w:lineRule="exact"/>
        <w:rPr>
          <w:rFonts w:ascii="Arial" w:cs="Arial" w:eastAsia="Arial" w:hAnsi="Arial"/>
          <w:sz w:val="16"/>
          <w:szCs w:val="16"/>
          <w:u w:val="single" w:color="auto"/>
          <w:color w:val="0000EE"/>
        </w:rPr>
      </w:pPr>
    </w:p>
    <w:p>
      <w:pPr>
        <w:spacing w:after="0"/>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Inline XBRL and contained in Exhibit 101)</w:t>
      </w:r>
    </w:p>
    <w:p>
      <w:pPr>
        <w:spacing w:after="0" w:line="211" w:lineRule="exact"/>
        <w:rPr>
          <w:rFonts w:ascii="Arial" w:cs="Arial" w:eastAsia="Arial" w:hAnsi="Arial"/>
          <w:sz w:val="16"/>
          <w:szCs w:val="16"/>
          <w:u w:val="single" w:color="auto"/>
          <w:color w:val="0000EE"/>
        </w:rPr>
      </w:pPr>
    </w:p>
    <w:p>
      <w:pPr>
        <w:ind w:left="680" w:right="300" w:hanging="672"/>
        <w:spacing w:after="0" w:line="263"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400" w:lineRule="exact"/>
        <w:rPr>
          <w:rFonts w:ascii="Arial" w:cs="Arial" w:eastAsia="Arial" w:hAnsi="Arial"/>
          <w:sz w:val="16"/>
          <w:szCs w:val="16"/>
          <w:u w:val="single" w:color="auto"/>
          <w:color w:val="0000EE"/>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undersigned thereunto duly authorized.</w:t>
      </w:r>
    </w:p>
    <w:p>
      <w:pPr>
        <w:spacing w:after="0" w:line="38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HARVARD BIOSCIENCE,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p>
      <w:pPr>
        <w:spacing w:after="0" w:line="9" w:lineRule="exact"/>
        <w:rPr>
          <w:sz w:val="20"/>
          <w:szCs w:val="20"/>
          <w:color w:val="auto"/>
        </w:rPr>
      </w:pPr>
    </w:p>
    <w:tbl>
      <w:tblPr>
        <w:tblLayout w:type="fixed"/>
        <w:tblInd w:w="61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GREEN</w:t>
            </w:r>
          </w:p>
        </w:tc>
      </w:tr>
      <w:tr>
        <w:trPr>
          <w:trHeight w:val="195"/>
        </w:trPr>
        <w:tc>
          <w:tcPr>
            <w:tcW w:w="580" w:type="dxa"/>
            <w:vAlign w:val="bottom"/>
          </w:tcPr>
          <w:p>
            <w:pPr>
              <w:spacing w:after="0"/>
              <w:rPr>
                <w:sz w:val="16"/>
                <w:szCs w:val="16"/>
                <w:color w:val="auto"/>
              </w:rPr>
            </w:pPr>
          </w:p>
        </w:tc>
        <w:tc>
          <w:tcPr>
            <w:tcW w:w="282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Green</w:t>
            </w:r>
          </w:p>
        </w:tc>
      </w:tr>
      <w:tr>
        <w:trPr>
          <w:trHeight w:val="230"/>
        </w:trPr>
        <w:tc>
          <w:tcPr>
            <w:tcW w:w="58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/s/ MICHAEL A. ROSSI</w:t>
            </w:r>
          </w:p>
        </w:tc>
      </w:tr>
      <w:tr>
        <w:trPr>
          <w:trHeight w:val="195"/>
        </w:trPr>
        <w:tc>
          <w:tcPr>
            <w:tcW w:w="580" w:type="dxa"/>
            <w:vAlign w:val="bottom"/>
          </w:tcPr>
          <w:p>
            <w:pPr>
              <w:spacing w:after="0"/>
              <w:rPr>
                <w:sz w:val="16"/>
                <w:szCs w:val="16"/>
                <w:color w:val="auto"/>
              </w:rPr>
            </w:pPr>
          </w:p>
        </w:tc>
        <w:tc>
          <w:tcPr>
            <w:tcW w:w="2820" w:type="dxa"/>
            <w:vAlign w:val="bottom"/>
          </w:tcPr>
          <w:p>
            <w:pPr>
              <w:jc w:val="center"/>
              <w:spacing w:after="0" w:line="195" w:lineRule="exact"/>
              <w:rPr>
                <w:sz w:val="20"/>
                <w:szCs w:val="20"/>
                <w:color w:val="auto"/>
              </w:rPr>
            </w:pPr>
            <w:r>
              <w:rPr>
                <w:rFonts w:ascii="Arial" w:cs="Arial" w:eastAsia="Arial" w:hAnsi="Arial"/>
                <w:sz w:val="18"/>
                <w:szCs w:val="18"/>
                <w:color w:val="auto"/>
                <w:w w:val="93"/>
              </w:rPr>
              <w:t>Michael A. Rossi</w:t>
            </w:r>
          </w:p>
        </w:tc>
      </w:tr>
      <w:tr>
        <w:trPr>
          <w:trHeight w:val="230"/>
        </w:trPr>
        <w:tc>
          <w:tcPr>
            <w:tcW w:w="58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bl>
    <w:p>
      <w:pPr>
        <w:spacing w:after="0" w:line="200" w:lineRule="exact"/>
        <w:rPr>
          <w:sz w:val="20"/>
          <w:szCs w:val="20"/>
          <w:color w:val="auto"/>
        </w:rPr>
      </w:pPr>
    </w:p>
    <w:p>
      <w:pPr>
        <w:spacing w:after="0" w:line="21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480"/>
          </w:cols>
          <w:pgMar w:left="320" w:top="125" w:right="10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 TO CREDIT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SECOND AMENDMENT TO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November 8, 2022 by and among HARVARD BIOSCIENCE, INC. (the “</w:t>
      </w:r>
      <w:r>
        <w:rPr>
          <w:rFonts w:ascii="Arial" w:cs="Arial" w:eastAsia="Arial" w:hAnsi="Arial"/>
          <w:sz w:val="18"/>
          <w:szCs w:val="18"/>
          <w:u w:val="single" w:color="auto"/>
          <w:color w:val="auto"/>
        </w:rPr>
        <w:t>Borrower</w:t>
      </w:r>
      <w:r>
        <w:rPr>
          <w:rFonts w:ascii="Arial" w:cs="Arial" w:eastAsia="Arial" w:hAnsi="Arial"/>
          <w:sz w:val="18"/>
          <w:szCs w:val="18"/>
          <w:color w:val="auto"/>
        </w:rPr>
        <w:t>”), CITIZENS BANK, N.A., in its capacity as the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the Lenders party hereto.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WHEREAS, the Borrower, the other Loan Parties party thereto, the Administrative Agent and the Lenders are parties to the Credit Agreement, dated as of December 22, 2020 (as in effect on the date hereof immediately before giving effect to this Amendment,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and as further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Loan Parties have requested that the Administrative Agent and the Lenders agree to make certain amendments to the Existing Credit Agreement, and the Administrative Agent and the Lenders have agreed to such amendments, subject to the terms and conditions hereof; and</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each Loan Party expects to realize substantial direct and indirect benefits as a result of this Amendment becoming effective, and agrees to reaffirm its obligations under the Existing Credit Agreement and the other Loan Documents to which it is a party.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agreements, provisions and covenants contained herein, and other valuable consideration, the receipt and sufficiency of all of which are hereby acknowledged, the parties agree as follows: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(including in the recitals hereto) shall have the meanings assigned to them in the Credit Agreement.</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w:t>
      </w:r>
      <w:r>
        <w:rPr>
          <w:rFonts w:ascii="Arial" w:cs="Arial" w:eastAsia="Arial" w:hAnsi="Arial"/>
          <w:sz w:val="18"/>
          <w:szCs w:val="18"/>
          <w:color w:val="auto"/>
        </w:rPr>
        <w:t>. Subject to the satisfaction of the conditions set forth herein, effective as of the Second Amendment Effective Date (as defined below):</w:t>
      </w:r>
    </w:p>
    <w:p>
      <w:pPr>
        <w:spacing w:after="0" w:line="170" w:lineRule="exact"/>
        <w:rPr>
          <w:sz w:val="20"/>
          <w:szCs w:val="20"/>
          <w:color w:val="auto"/>
        </w:rPr>
      </w:pPr>
    </w:p>
    <w:p>
      <w:pPr>
        <w:ind w:left="1040" w:hanging="384"/>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Existing Credit Agreement shall be amended (a) to delete the stricken text (indicated textually in the same manner as the following</w:t>
      </w:r>
    </w:p>
    <w:p>
      <w:pPr>
        <w:spacing w:after="0" w:line="34" w:lineRule="exact"/>
        <w:rPr>
          <w:rFonts w:ascii="Arial" w:cs="Arial" w:eastAsia="Arial" w:hAnsi="Arial"/>
          <w:sz w:val="17"/>
          <w:szCs w:val="17"/>
          <w:color w:val="auto"/>
        </w:rPr>
      </w:pPr>
    </w:p>
    <w:p>
      <w:pPr>
        <w:ind w:right="160"/>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examples: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w:t>
      </w:r>
      <w:r>
        <w:rPr>
          <w:rFonts w:ascii="Arial" w:cs="Arial" w:eastAsia="Arial" w:hAnsi="Arial"/>
          <w:sz w:val="18"/>
          <w:szCs w:val="18"/>
          <w:color w:val="00FF00"/>
          <w:strike w:val="1"/>
        </w:rPr>
        <w:t>stricken text</w:t>
      </w:r>
      <w:r>
        <w:rPr>
          <w:rFonts w:ascii="Arial" w:cs="Arial" w:eastAsia="Arial" w:hAnsi="Arial"/>
          <w:sz w:val="18"/>
          <w:szCs w:val="18"/>
          <w:color w:val="auto"/>
        </w:rPr>
        <w:t xml:space="preserve">) and (b) to add the double-underlined text (indicated textually in the same manner as the following examples: </w:t>
      </w:r>
      <w:r>
        <w:rPr>
          <w:rFonts w:ascii="Arial" w:cs="Arial" w:eastAsia="Arial" w:hAnsi="Arial"/>
          <w:sz w:val="18"/>
          <w:szCs w:val="18"/>
          <w:u w:val="single" w:color="auto"/>
          <w:color w:val="0000FF"/>
        </w:rPr>
        <w:t>double-underlined text</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u w:val="single" w:color="auto"/>
          <w:color w:val="00FF00"/>
        </w:rPr>
        <w:t>double-underlined text</w:t>
      </w:r>
      <w:r>
        <w:rPr>
          <w:rFonts w:ascii="Arial" w:cs="Arial" w:eastAsia="Arial" w:hAnsi="Arial"/>
          <w:sz w:val="18"/>
          <w:szCs w:val="18"/>
          <w:color w:val="000000"/>
        </w:rPr>
        <w:t>), in each case, as set forth in the Credit Agreement attached hereto as</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Exhibit A</w:t>
      </w:r>
      <w:r>
        <w:rPr>
          <w:rFonts w:ascii="Arial" w:cs="Arial" w:eastAsia="Arial" w:hAnsi="Arial"/>
          <w:sz w:val="18"/>
          <w:szCs w:val="18"/>
          <w:color w:val="0000FF"/>
        </w:rPr>
        <w:t xml:space="preserve"> </w:t>
      </w:r>
      <w:r>
        <w:rPr>
          <w:rFonts w:ascii="Arial" w:cs="Arial" w:eastAsia="Arial" w:hAnsi="Arial"/>
          <w:sz w:val="18"/>
          <w:szCs w:val="18"/>
          <w:color w:val="000000"/>
        </w:rPr>
        <w:t>and made a part hereof</w:t>
      </w:r>
      <w:r>
        <w:rPr>
          <w:rFonts w:ascii="Arial" w:cs="Arial" w:eastAsia="Arial" w:hAnsi="Arial"/>
          <w:sz w:val="18"/>
          <w:szCs w:val="18"/>
          <w:color w:val="0000FF"/>
        </w:rPr>
        <w:t xml:space="preserve"> </w:t>
      </w:r>
      <w:r>
        <w:rPr>
          <w:rFonts w:ascii="Arial" w:cs="Arial" w:eastAsia="Arial" w:hAnsi="Arial"/>
          <w:sz w:val="18"/>
          <w:szCs w:val="18"/>
          <w:color w:val="000000"/>
        </w:rPr>
        <w:t>for all purposes.</w:t>
      </w:r>
    </w:p>
    <w:p>
      <w:pPr>
        <w:spacing w:after="0" w:line="189" w:lineRule="exact"/>
        <w:rPr>
          <w:rFonts w:ascii="Arial" w:cs="Arial" w:eastAsia="Arial" w:hAnsi="Arial"/>
          <w:sz w:val="17"/>
          <w:szCs w:val="17"/>
          <w:color w:val="auto"/>
        </w:rPr>
      </w:pPr>
    </w:p>
    <w:p>
      <w:pPr>
        <w:ind w:left="660" w:right="660" w:hanging="4"/>
        <w:spacing w:after="0" w:line="500" w:lineRule="auto"/>
        <w:tabs>
          <w:tab w:leader="none" w:pos="105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Exhibit B-1 to the Existing Credit Agreement is hereby amended and restated in its entirety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SECTION 3. </w:t>
      </w:r>
      <w:r>
        <w:rPr>
          <w:rFonts w:ascii="Arial" w:cs="Arial" w:eastAsia="Arial" w:hAnsi="Arial"/>
          <w:sz w:val="18"/>
          <w:szCs w:val="18"/>
          <w:u w:val="single" w:color="auto"/>
          <w:color w:val="auto"/>
        </w:rPr>
        <w:t>LIBOR Replacement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-1026795</wp:posOffset>
            </wp:positionV>
            <wp:extent cx="285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-821055</wp:posOffset>
            </wp:positionV>
            <wp:extent cx="22974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ind w:right="20" w:firstLine="656"/>
        <w:spacing w:after="0" w:line="254" w:lineRule="auto"/>
        <w:tabs>
          <w:tab w:leader="none" w:pos="10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Administrative Agent has made an Early Opt-in Election (as defined in the Existing Credit Agreement) pursuant to clause 2(a) of the definition of “Early Opt-In Election” in the Existing Credit Agreement. The amendments set forth in the Credit Agreement relating to the replacement of the LIBOR Rate (as defined in the Existing Credit Agreement) shall constitute Benchmark Replacement Conforming Changes (as defined in the Existing Credit Agreement) and the Benchmark Transition Start Date relating to such Benchmark Replacement Conforming Changes shall be the Second Amendment Effective Date. The Lenders party hereto (constituting the Required Lenders) and the Borrower waive all notice requirements of Section 3.3 of the Existing Credit Agreement, the definition of “Early Opt-In Election” in the Existing Credit Agreement and the definition of “Benchmark Transition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firstLine="656"/>
        <w:spacing w:after="0" w:line="279" w:lineRule="auto"/>
        <w:tabs>
          <w:tab w:leader="none" w:pos="1038"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Notwithstanding anything to the contrary in the Credit Agreement or in any other Loan Document, to the extent any LIBOR Loan (as defined in the Existing Credit Agreement) is outstanding on the Second Amendment Effective Date, such Loan shall continue to bear interest at the LIBOR Rate plus the Applicable Margin (as defined in the Existing Credit Agreement) until the end of the current Interest Period (as defined in the Existing Credit Agreement) applicable to such LIBOR Loan in accordance and subject to the Existing Credit Agreement.</w:t>
      </w:r>
    </w:p>
    <w:p>
      <w:pPr>
        <w:spacing w:after="0" w:line="17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This Amendment shall be effective as of the date of the satisfaction of each of the following conditions, and in case of any documentation to be delivered to the Administrative Agent, such documentation shall be in form and substance reasonably satisfactory to the Administrative Agent (such date, the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w:t>
      </w:r>
    </w:p>
    <w:p>
      <w:pPr>
        <w:spacing w:after="0" w:line="184" w:lineRule="exact"/>
        <w:rPr>
          <w:sz w:val="20"/>
          <w:szCs w:val="20"/>
          <w:color w:val="auto"/>
        </w:rPr>
      </w:pPr>
    </w:p>
    <w:p>
      <w:pPr>
        <w:ind w:right="280" w:firstLine="1304"/>
        <w:spacing w:after="0" w:line="277" w:lineRule="auto"/>
        <w:tabs>
          <w:tab w:leader="none" w:pos="16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Amendment shall have been duly executed and delivered by the Borrower, the other Loan Parties, the Administrative Agent and the Required Lenders.</w:t>
      </w:r>
    </w:p>
    <w:p>
      <w:pPr>
        <w:spacing w:after="0" w:line="170" w:lineRule="exact"/>
        <w:rPr>
          <w:rFonts w:ascii="Arial" w:cs="Arial" w:eastAsia="Arial" w:hAnsi="Arial"/>
          <w:sz w:val="18"/>
          <w:szCs w:val="18"/>
          <w:color w:val="auto"/>
        </w:rPr>
      </w:pPr>
    </w:p>
    <w:p>
      <w:pPr>
        <w:ind w:right="120" w:firstLine="1304"/>
        <w:spacing w:after="0" w:line="277" w:lineRule="auto"/>
        <w:tabs>
          <w:tab w:leader="none" w:pos="16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fee letter to be executed in connection with this Amendment (the “</w:t>
      </w:r>
      <w:r>
        <w:rPr>
          <w:rFonts w:ascii="Arial" w:cs="Arial" w:eastAsia="Arial" w:hAnsi="Arial"/>
          <w:sz w:val="18"/>
          <w:szCs w:val="18"/>
          <w:u w:val="single" w:color="auto"/>
          <w:color w:val="auto"/>
        </w:rPr>
        <w:t>Fee Letter</w:t>
      </w:r>
      <w:r>
        <w:rPr>
          <w:rFonts w:ascii="Arial" w:cs="Arial" w:eastAsia="Arial" w:hAnsi="Arial"/>
          <w:sz w:val="18"/>
          <w:szCs w:val="18"/>
          <w:color w:val="auto"/>
        </w:rPr>
        <w:t>”) shall have been duly executed and delivered by the Borrower and the Administrative Agent.</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jc w:val="both"/>
        <w:ind w:right="120" w:firstLine="1304"/>
        <w:spacing w:after="0" w:line="263" w:lineRule="auto"/>
        <w:tabs>
          <w:tab w:leader="none" w:pos="16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Administrative Agent shall have received satisfactory evidence that all fees, expenses and disbursements required to be paid in connection with this Amendment (including (i) any fees and other amounts due and payable pursuant the Fee Letter and (ii) fees, disbursements and other charges of counsel to the Administrative Agent) have been paid in full.</w:t>
      </w:r>
    </w:p>
    <w:p>
      <w:pPr>
        <w:spacing w:after="0" w:line="18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 xml:space="preserve">Representations and Warranties. </w:t>
      </w:r>
      <w:r>
        <w:rPr>
          <w:rFonts w:ascii="Arial" w:cs="Arial" w:eastAsia="Arial" w:hAnsi="Arial"/>
          <w:sz w:val="16"/>
          <w:szCs w:val="16"/>
          <w:color w:val="auto"/>
        </w:rPr>
        <w:t>The Borrower represents and warrants to the Lender as follows:</w:t>
      </w:r>
    </w:p>
    <w:p>
      <w:pPr>
        <w:spacing w:after="0" w:line="225" w:lineRule="exact"/>
        <w:rPr>
          <w:sz w:val="20"/>
          <w:szCs w:val="20"/>
          <w:color w:val="auto"/>
        </w:rPr>
      </w:pPr>
    </w:p>
    <w:p>
      <w:pPr>
        <w:ind w:right="140" w:firstLine="656"/>
        <w:spacing w:after="0" w:line="259" w:lineRule="auto"/>
        <w:tabs>
          <w:tab w:leader="none" w:pos="10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Borrower has all requisite power and authority to execute, deliver and perform this Amendment and all documents and instruments delivered in connection herewith, the Borrower has taken all necessary organizational action to authorize the execution, delivery and performance of this Amendment and all documents and instruments delivered in connection herewith, and this Amendment has been duly executed and delivered on behalf of the Borrower.</w:t>
      </w:r>
    </w:p>
    <w:p>
      <w:pPr>
        <w:spacing w:after="0" w:line="186" w:lineRule="exact"/>
        <w:rPr>
          <w:rFonts w:ascii="Arial" w:cs="Arial" w:eastAsia="Arial" w:hAnsi="Arial"/>
          <w:sz w:val="18"/>
          <w:szCs w:val="18"/>
          <w:color w:val="auto"/>
        </w:rPr>
      </w:pPr>
    </w:p>
    <w:p>
      <w:pPr>
        <w:ind w:right="40" w:firstLine="656"/>
        <w:spacing w:after="0" w:line="263" w:lineRule="auto"/>
        <w:tabs>
          <w:tab w:leader="none" w:pos="10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Amendment constitutes a legal, valid and binding obligation of the Borrower, enforceable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spacing w:after="0" w:line="183" w:lineRule="exact"/>
        <w:rPr>
          <w:rFonts w:ascii="Arial" w:cs="Arial" w:eastAsia="Arial" w:hAnsi="Arial"/>
          <w:sz w:val="18"/>
          <w:szCs w:val="18"/>
          <w:color w:val="auto"/>
        </w:rPr>
      </w:pPr>
    </w:p>
    <w:p>
      <w:pPr>
        <w:ind w:right="540" w:firstLine="656"/>
        <w:spacing w:after="0" w:line="311" w:lineRule="auto"/>
        <w:tabs>
          <w:tab w:leader="none" w:pos="10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of the representations and warranties by the Loan Parties in the Loan Documents to which they are party is true and correct in all material respects (or, if qualified as to materiality or as to a Material Adverse Effect, in all respects) as of the date hereof (or, to the extent any such representation or warranty refers specifically to an earlier date, as of such earlier date) and before and after giving effect to this Amendment.</w:t>
      </w:r>
    </w:p>
    <w:p>
      <w:pPr>
        <w:spacing w:after="0" w:line="14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Effect of this Amendment</w:t>
      </w:r>
      <w:r>
        <w:rPr>
          <w:rFonts w:ascii="Arial" w:cs="Arial" w:eastAsia="Arial" w:hAnsi="Arial"/>
          <w:sz w:val="16"/>
          <w:szCs w:val="16"/>
          <w:color w:val="auto"/>
        </w:rPr>
        <w:t>.</w:t>
      </w:r>
    </w:p>
    <w:p>
      <w:pPr>
        <w:spacing w:after="0" w:line="225" w:lineRule="exact"/>
        <w:rPr>
          <w:sz w:val="20"/>
          <w:szCs w:val="20"/>
          <w:color w:val="auto"/>
        </w:rPr>
      </w:pPr>
    </w:p>
    <w:p>
      <w:pPr>
        <w:ind w:right="340" w:firstLine="656"/>
        <w:spacing w:after="0" w:line="301" w:lineRule="auto"/>
        <w:tabs>
          <w:tab w:leader="none" w:pos="1028"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Except as specifically amended hereby, all terms, conditions, covenants, representations and warranties contained in the Existing Credit Agreement and the other Loan Documents, all rights of the Lender and all of the Obligations shall remain in full force and effect. The Borrower hereby confirms that the Loan Documents previously executed by the Loan Parties are in full force and effect and that the Loan Parties have no right of setoff, recoupment or other offset or any defense as of the date hereof with respect to any of the Obligations or any such Loan Document.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ind w:right="260" w:firstLine="656"/>
        <w:spacing w:after="0" w:line="259" w:lineRule="auto"/>
        <w:tabs>
          <w:tab w:leader="none" w:pos="10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directly or indirectly constitute (i) a novation of any of the Obligations under the Existing Credit Agreement, the Credit Agreement or the other Loan Documents or (ii) constitute a course of dealing or, except as expressly amended hereby, other basis for altering any Obligations or any other contract or instrument (including, without limitation, the Existing Credit Agreement, the Credit Agreement and the other Loan Documents).</w:t>
      </w:r>
    </w:p>
    <w:p>
      <w:pPr>
        <w:spacing w:after="0" w:line="186" w:lineRule="exact"/>
        <w:rPr>
          <w:rFonts w:ascii="Arial" w:cs="Arial" w:eastAsia="Arial" w:hAnsi="Arial"/>
          <w:sz w:val="18"/>
          <w:szCs w:val="18"/>
          <w:color w:val="auto"/>
        </w:rPr>
      </w:pPr>
    </w:p>
    <w:p>
      <w:pPr>
        <w:jc w:val="both"/>
        <w:ind w:right="280" w:firstLine="656"/>
        <w:spacing w:after="0" w:line="259" w:lineRule="auto"/>
        <w:tabs>
          <w:tab w:leader="none" w:pos="10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From and after the date hereof, (i) the term “Agreement” in the Credit Agreement, and all references to the Credit Agreement in any other Loan Document, shall mean the Credit Agreement as amended hereby, and (ii) the term “Loan Documents” in the Credit Agreement and the other Loan Documents shall include, without limitation, this Amendment and any agreements, instruments and other documents executed and/or delivered in connection herewith. This Amendment is a Loan Document.</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facsimile or in electronic (e.g., “pdf” or “tif”) format shall be effective as delivery of a manually executed counterpart of this Amendment.</w:t>
      </w:r>
    </w:p>
    <w:p>
      <w:pPr>
        <w:spacing w:after="0" w:line="187"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Reaffirmation</w:t>
      </w:r>
      <w:r>
        <w:rPr>
          <w:rFonts w:ascii="Arial" w:cs="Arial" w:eastAsia="Arial" w:hAnsi="Arial"/>
          <w:sz w:val="17"/>
          <w:szCs w:val="17"/>
          <w:color w:val="auto"/>
        </w:rPr>
        <w:t>. Subject to any limitations on its obligations expressly stated in the Loan Documents to which it is a party, each Loan Party (a) acknowledges and agrees, as of the effectiveness of this Amendment, that all of its obligations under the Loan Documents to which it is a party are reaffirmed and remain in full force and effect on a continuous basis, and (b) reaffirms each Lien granted by each Loan Party pursuant to the Collateral Documents, all of which obligations and Liens remain in full force and effect after giving effect to this Amendment.</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 Actions, Claims, Etc.</w:t>
      </w:r>
      <w:r>
        <w:rPr>
          <w:rFonts w:ascii="Arial" w:cs="Arial" w:eastAsia="Arial" w:hAnsi="Arial"/>
          <w:sz w:val="18"/>
          <w:szCs w:val="18"/>
          <w:color w:val="auto"/>
        </w:rPr>
        <w:t>. As of the date hereof, each of the Loan Parties hereby acknowledges and confirms that it has no knowledge of any actions, causes of action, claims, demands, damages and liabilities of whatever kind or nature, in law or in equity, against the Lender, any participant, or any of their respective officers, employees, representatives, agents, advisors, consultants, counsel or directors arising from any action by such Persons, or failure of such Persons to act on or prior to the date 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Governing Law; Jurisdiction; Service of Process</w:t>
      </w:r>
      <w:r>
        <w:rPr>
          <w:rFonts w:ascii="Arial" w:cs="Arial" w:eastAsia="Arial" w:hAnsi="Arial"/>
          <w:sz w:val="18"/>
          <w:szCs w:val="18"/>
          <w:color w:val="auto"/>
        </w:rPr>
        <w:t>.</w:t>
      </w:r>
    </w:p>
    <w:p>
      <w:pPr>
        <w:spacing w:after="0" w:line="225" w:lineRule="exact"/>
        <w:rPr>
          <w:sz w:val="20"/>
          <w:szCs w:val="20"/>
          <w:color w:val="auto"/>
        </w:rPr>
      </w:pPr>
    </w:p>
    <w:p>
      <w:pPr>
        <w:ind w:left="1040" w:hanging="384"/>
        <w:spacing w:after="0"/>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laws of the State of New York.</w:t>
      </w:r>
    </w:p>
    <w:p>
      <w:pPr>
        <w:spacing w:after="0" w:line="225" w:lineRule="exact"/>
        <w:rPr>
          <w:rFonts w:ascii="Arial" w:cs="Arial" w:eastAsia="Arial" w:hAnsi="Arial"/>
          <w:sz w:val="18"/>
          <w:szCs w:val="18"/>
          <w:color w:val="auto"/>
        </w:rPr>
      </w:pPr>
    </w:p>
    <w:p>
      <w:pPr>
        <w:ind w:right="20" w:firstLine="656"/>
        <w:spacing w:after="0" w:line="271" w:lineRule="auto"/>
        <w:tabs>
          <w:tab w:leader="none" w:pos="1038" w:val="left"/>
        </w:tabs>
        <w:numPr>
          <w:ilvl w:val="1"/>
          <w:numId w:val="16"/>
        </w:numPr>
        <w:rPr>
          <w:rFonts w:ascii="Arial" w:cs="Arial" w:eastAsia="Arial" w:hAnsi="Arial"/>
          <w:sz w:val="17"/>
          <w:szCs w:val="17"/>
          <w:color w:val="auto"/>
        </w:rPr>
      </w:pPr>
      <w:r>
        <w:rPr>
          <w:rFonts w:ascii="Arial" w:cs="Arial" w:eastAsia="Arial" w:hAnsi="Arial"/>
          <w:sz w:val="17"/>
          <w:szCs w:val="17"/>
          <w:color w:val="auto"/>
        </w:rPr>
        <w:t>Each of the parties hereto irrevocably and unconditionally submits, for itself and its property, to the non-exclusive jurisdiction of the courts of the State of New York sitting in New York County and of the United States District Court of the for the Southern District of New York and any appellate court from any thereof, in any action or proceeding arising out of or relating to this Amendment,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Amendment shall affect any right that Lender may otherwise have to bring any action or proceeding relating to this Amendment or any other Loan Document against any Loan Party or its properties in the courts of any jurisdiction.</w:t>
      </w:r>
    </w:p>
    <w:p>
      <w:pPr>
        <w:spacing w:after="0" w:line="178" w:lineRule="exact"/>
        <w:rPr>
          <w:rFonts w:ascii="Arial" w:cs="Arial" w:eastAsia="Arial" w:hAnsi="Arial"/>
          <w:sz w:val="17"/>
          <w:szCs w:val="17"/>
          <w:color w:val="auto"/>
        </w:rPr>
      </w:pPr>
    </w:p>
    <w:p>
      <w:pPr>
        <w:jc w:val="both"/>
        <w:ind w:right="80" w:firstLine="656"/>
        <w:spacing w:after="0" w:line="291" w:lineRule="auto"/>
        <w:tabs>
          <w:tab w:leader="none" w:pos="1028" w:val="left"/>
        </w:tabs>
        <w:numPr>
          <w:ilvl w:val="1"/>
          <w:numId w:val="16"/>
        </w:numPr>
        <w:rPr>
          <w:rFonts w:ascii="Arial" w:cs="Arial" w:eastAsia="Arial" w:hAnsi="Arial"/>
          <w:sz w:val="16"/>
          <w:szCs w:val="16"/>
          <w:color w:val="auto"/>
        </w:rPr>
      </w:pPr>
      <w:r>
        <w:rPr>
          <w:rFonts w:ascii="Arial" w:cs="Arial" w:eastAsia="Arial" w:hAnsi="Arial"/>
          <w:sz w:val="16"/>
          <w:szCs w:val="16"/>
          <w:color w:val="auto"/>
        </w:rPr>
        <w:t>Each of the parties hereto irrevocably and unconditionally waives, to the fullest extent permitted by applicable law, any objection that it may now or hereafter have to the laying of venue of any action or proceeding arising out of or relating to this Amendment in any court referred to in paragraph</w:t>
      </w:r>
    </w:p>
    <w:p>
      <w:pPr>
        <w:ind w:right="260" w:firstLine="8"/>
        <w:spacing w:after="0" w:line="260"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this Section. Each of the parties hereto hereby irrevocably waives, to the fullest extent permitted by applicable law, the defense of an inconvenient forum to the maintenance of such action or proceeding in any such court.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ind w:firstLine="656"/>
        <w:spacing w:after="0" w:line="308" w:lineRule="auto"/>
        <w:tabs>
          <w:tab w:leader="none" w:pos="1038" w:val="left"/>
        </w:tabs>
        <w:numPr>
          <w:ilvl w:val="0"/>
          <w:numId w:val="18"/>
        </w:numPr>
        <w:rPr>
          <w:rFonts w:ascii="Arial" w:cs="Arial" w:eastAsia="Arial" w:hAnsi="Arial"/>
          <w:sz w:val="17"/>
          <w:szCs w:val="17"/>
          <w:color w:val="auto"/>
        </w:rPr>
      </w:pPr>
      <w:r>
        <w:rPr>
          <w:rFonts w:ascii="Arial" w:cs="Arial" w:eastAsia="Arial" w:hAnsi="Arial"/>
          <w:sz w:val="17"/>
          <w:szCs w:val="17"/>
          <w:color w:val="auto"/>
        </w:rPr>
        <w:t>Each of the parties hereto irrevocably consents to service of process in the manner provided for notices in the Credit Agreement. Nothing in this Amendment will affect the right of any party to this Amendment to serve process in any other manner permitted by law.</w:t>
      </w:r>
    </w:p>
    <w:p>
      <w:pPr>
        <w:spacing w:after="0" w:line="14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IRREVOCABLY WAIVES, TO THE FULLEST EXTENT PERMITTED BY APPLICABLE LAW, ANY RIGHT IT MAY HAVE TO A TRIAL BY JURY IN ANY LEGAL PROCEEDING DIRECTLY OR INDIRECTLY ARISING OUT OF OR RELATING TO THIS AMENDMENT OR THE TRANSACTIONS CONTEMPLATED HEREBY (WHETHER BASED ON CONTRACT, TORT OR ANY OTHER THEORY). EACH PARTY HERETO HEREBY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AMENDMENT BY, AMONG OTHER THINGS, THE MUTUAL WAIVERS AND CERTIFICATIONS IN THIS SECTION.</w:t>
      </w:r>
    </w:p>
    <w:p>
      <w:pPr>
        <w:spacing w:after="0" w:line="19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used herein are for convenience of reference only, are not part of this Amendment and shall not affect the construction of, or be taken into consideration in interpreting, this Amendment.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4" w:right="459" w:bottom="1440" w:gutter="0" w:footer="0" w:header="0"/>
        </w:sectPr>
      </w:pPr>
    </w:p>
    <w:bookmarkStart w:id="32" w:name="page33"/>
    <w:bookmarkEnd w:id="32"/>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0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 xml:space="preserve">By:/s/ </w:t>
      </w:r>
      <w:r>
        <w:rPr>
          <w:rFonts w:ascii="Arial" w:cs="Arial" w:eastAsia="Arial" w:hAnsi="Arial"/>
          <w:sz w:val="18"/>
          <w:szCs w:val="18"/>
          <w:i w:val="1"/>
          <w:iCs w:val="1"/>
          <w:color w:val="auto"/>
        </w:rPr>
        <w:t>Michael A.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-19050</wp:posOffset>
            </wp:positionV>
            <wp:extent cx="16852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85290" cy="825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8"/>
          <w:szCs w:val="18"/>
          <w:color w:val="auto"/>
        </w:rPr>
        <w:t>Name:Michael A. Rossi</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Amendment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4" w:right="459" w:bottom="1440" w:gutter="0" w:footer="0" w:header="0"/>
        </w:sectPr>
      </w:pPr>
    </w:p>
    <w:bookmarkStart w:id="33" w:name="page34"/>
    <w:bookmarkEnd w:id="33"/>
    <w:p>
      <w:pPr>
        <w:ind w:left="5640"/>
        <w:spacing w:after="0"/>
        <w:rPr>
          <w:sz w:val="20"/>
          <w:szCs w:val="20"/>
          <w:color w:val="auto"/>
        </w:rPr>
      </w:pPr>
      <w:r>
        <w:rPr>
          <w:rFonts w:ascii="Arial" w:cs="Arial" w:eastAsia="Arial" w:hAnsi="Arial"/>
          <w:sz w:val="17"/>
          <w:szCs w:val="17"/>
          <w:b w:val="1"/>
          <w:bCs w:val="1"/>
          <w:color w:val="auto"/>
        </w:rPr>
        <w:t>CITIZENS BANK, N.A.</w:t>
      </w:r>
      <w:r>
        <w:rPr>
          <w:rFonts w:ascii="Arial" w:cs="Arial" w:eastAsia="Arial" w:hAnsi="Arial"/>
          <w:sz w:val="17"/>
          <w:szCs w:val="17"/>
          <w:color w:val="auto"/>
        </w:rPr>
        <w:t>, as the Administrative Agent</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Mehul R. Patel</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Mehul R. Patel</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Amendment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237490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20"/>
          </w:cols>
          <w:pgMar w:left="1440" w:top="580" w:right="839" w:bottom="1440" w:gutter="0" w:footer="0" w:header="0"/>
        </w:sectPr>
      </w:pPr>
    </w:p>
    <w:bookmarkStart w:id="34" w:name="page35"/>
    <w:bookmarkEnd w:id="34"/>
    <w:p>
      <w:pPr>
        <w:ind w:left="5640"/>
        <w:spacing w:after="0"/>
        <w:rPr>
          <w:sz w:val="20"/>
          <w:szCs w:val="20"/>
          <w:color w:val="auto"/>
        </w:rPr>
      </w:pPr>
      <w:r>
        <w:rPr>
          <w:rFonts w:ascii="Arial" w:cs="Arial" w:eastAsia="Arial" w:hAnsi="Arial"/>
          <w:sz w:val="17"/>
          <w:szCs w:val="17"/>
          <w:b w:val="1"/>
          <w:bCs w:val="1"/>
          <w:color w:val="auto"/>
        </w:rPr>
        <w:t>CITIZENS BANK, N.A.</w:t>
      </w:r>
      <w:r>
        <w:rPr>
          <w:rFonts w:ascii="Arial" w:cs="Arial" w:eastAsia="Arial" w:hAnsi="Arial"/>
          <w:sz w:val="17"/>
          <w:szCs w:val="17"/>
          <w:color w:val="auto"/>
        </w:rPr>
        <w:t>, as a Lender</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Mehul R. Patel</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Mehul R. Patel</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Second Amendment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252095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5" w:name="page36"/>
    <w:bookmarkEnd w:id="35"/>
    <w:p>
      <w:pPr>
        <w:ind w:left="5640"/>
        <w:spacing w:after="0"/>
        <w:rPr>
          <w:sz w:val="20"/>
          <w:szCs w:val="20"/>
          <w:color w:val="auto"/>
        </w:rPr>
      </w:pPr>
      <w:r>
        <w:rPr>
          <w:rFonts w:ascii="Arial" w:cs="Arial" w:eastAsia="Arial" w:hAnsi="Arial"/>
          <w:sz w:val="16"/>
          <w:szCs w:val="16"/>
          <w:b w:val="1"/>
          <w:bCs w:val="1"/>
          <w:color w:val="auto"/>
        </w:rPr>
        <w:t xml:space="preserve">Wells Fargo Bank, National Association, </w:t>
      </w:r>
      <w:r>
        <w:rPr>
          <w:rFonts w:ascii="Arial" w:cs="Arial" w:eastAsia="Arial" w:hAnsi="Arial"/>
          <w:sz w:val="16"/>
          <w:szCs w:val="16"/>
          <w:color w:val="auto"/>
        </w:rPr>
        <w:t>as a Lender</w:t>
      </w:r>
    </w:p>
    <w:p>
      <w:pPr>
        <w:spacing w:after="0" w:line="25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Brandon Moss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Brandon Moss</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Amendment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237490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20"/>
          </w:cols>
          <w:pgMar w:left="1440" w:top="580" w:right="839" w:bottom="1440" w:gutter="0" w:footer="0" w:header="0"/>
        </w:sectPr>
      </w:pPr>
    </w:p>
    <w:bookmarkStart w:id="36" w:name="page37"/>
    <w:bookmarkEnd w:id="36"/>
    <w:p>
      <w:pPr>
        <w:ind w:left="5640"/>
        <w:spacing w:after="0"/>
        <w:rPr>
          <w:sz w:val="20"/>
          <w:szCs w:val="20"/>
          <w:color w:val="auto"/>
        </w:rPr>
      </w:pPr>
      <w:r>
        <w:rPr>
          <w:rFonts w:ascii="Arial" w:cs="Arial" w:eastAsia="Arial" w:hAnsi="Arial"/>
          <w:sz w:val="16"/>
          <w:szCs w:val="16"/>
          <w:b w:val="1"/>
          <w:bCs w:val="1"/>
          <w:color w:val="auto"/>
        </w:rPr>
        <w:t xml:space="preserve">Silicon Valley Bank, </w:t>
      </w:r>
      <w:r>
        <w:rPr>
          <w:rFonts w:ascii="Arial" w:cs="Arial" w:eastAsia="Arial" w:hAnsi="Arial"/>
          <w:sz w:val="16"/>
          <w:szCs w:val="16"/>
          <w:color w:val="auto"/>
        </w:rPr>
        <w:t>as a Lender</w:t>
      </w:r>
    </w:p>
    <w:p>
      <w:pPr>
        <w:spacing w:after="0" w:line="25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Justin Roberts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Justin Roberts</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Second Amendment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252095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7" w:name="page38"/>
    <w:bookmarkEnd w:id="37"/>
    <w:p>
      <w:pPr>
        <w:jc w:val="center"/>
        <w:ind w:right="-71"/>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2511425</wp:posOffset>
            </wp:positionH>
            <wp:positionV relativeFrom="paragraph">
              <wp:posOffset>14605</wp:posOffset>
            </wp:positionV>
            <wp:extent cx="2108835" cy="3600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088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CREDIT AGREEMENT</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dated as of December 22, 2020</w:t>
      </w:r>
      <w:r>
        <w:rPr>
          <w:rFonts w:ascii="Arial" w:cs="Arial" w:eastAsia="Arial" w:hAnsi="Arial"/>
          <w:sz w:val="29"/>
          <w:szCs w:val="29"/>
          <w:b w:val="1"/>
          <w:bCs w:val="1"/>
          <w:color w:val="auto"/>
          <w:vertAlign w:val="superscript"/>
        </w:rPr>
        <w:t>*</w:t>
      </w:r>
    </w:p>
    <w:p>
      <w:pPr>
        <w:spacing w:after="0" w:line="200" w:lineRule="exact"/>
        <w:rPr>
          <w:sz w:val="20"/>
          <w:szCs w:val="20"/>
          <w:color w:val="auto"/>
        </w:rPr>
      </w:pPr>
    </w:p>
    <w:p>
      <w:pPr>
        <w:spacing w:after="0" w:line="33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as the Borrower,</w:t>
      </w:r>
    </w:p>
    <w:p>
      <w:pPr>
        <w:spacing w:after="0" w:line="20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THE LENDERS PARTY HERETO,</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4652"/>
        <w:spacing w:after="0"/>
        <w:rPr>
          <w:sz w:val="20"/>
          <w:szCs w:val="20"/>
          <w:color w:val="auto"/>
        </w:rPr>
      </w:pPr>
      <w:r>
        <w:rPr>
          <w:rFonts w:ascii="Arial" w:cs="Arial" w:eastAsia="Arial" w:hAnsi="Arial"/>
          <w:sz w:val="18"/>
          <w:szCs w:val="18"/>
          <w:b w:val="1"/>
          <w:bCs w:val="1"/>
          <w:color w:val="auto"/>
        </w:rPr>
        <w:t>CITIZENS BANK, N.A.,</w:t>
      </w:r>
    </w:p>
    <w:p>
      <w:pPr>
        <w:spacing w:after="0" w:line="27" w:lineRule="exact"/>
        <w:rPr>
          <w:sz w:val="20"/>
          <w:szCs w:val="20"/>
          <w:color w:val="auto"/>
        </w:rPr>
      </w:pPr>
    </w:p>
    <w:p>
      <w:pPr>
        <w:ind w:left="4672"/>
        <w:spacing w:after="0"/>
        <w:rPr>
          <w:sz w:val="20"/>
          <w:szCs w:val="20"/>
          <w:color w:val="auto"/>
        </w:rPr>
      </w:pPr>
      <w:r>
        <w:rPr>
          <w:rFonts w:ascii="Arial" w:cs="Arial" w:eastAsia="Arial" w:hAnsi="Arial"/>
          <w:sz w:val="18"/>
          <w:szCs w:val="18"/>
          <w:b w:val="1"/>
          <w:bCs w:val="1"/>
          <w:color w:val="auto"/>
        </w:rPr>
        <w:t>as Administrative Agent</w:t>
      </w:r>
    </w:p>
    <w:p>
      <w:pPr>
        <w:spacing w:after="0" w:line="20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SILICON VALLEY BANK</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as Joint Bookrunners, Joint Lead Arrangers and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266065</wp:posOffset>
            </wp:positionV>
            <wp:extent cx="24847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8475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8" w:firstLine="8"/>
        <w:spacing w:after="0" w:line="277" w:lineRule="auto"/>
        <w:tabs>
          <w:tab w:leader="none" w:pos="12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amended by the First Amendment to Credit Agreement and Amendment to Pledge and Security Agreement, dated as of April 15, 2022</w:t>
      </w:r>
      <w:r>
        <w:rPr>
          <w:rFonts w:ascii="Arial" w:cs="Arial" w:eastAsia="Arial" w:hAnsi="Arial"/>
          <w:sz w:val="18"/>
          <w:szCs w:val="18"/>
          <w:u w:val="single" w:color="auto"/>
          <w:color w:val="0000FF"/>
        </w:rPr>
        <w:t>, and as further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amended by the Second Amendment to Credit Agreement, dated as of 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340360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6395085</wp:posOffset>
            </wp:positionH>
            <wp:positionV relativeFrom="paragraph">
              <wp:posOffset>-165100</wp:posOffset>
            </wp:positionV>
            <wp:extent cx="6858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41148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ectPr>
          <w:pgSz w:w="11900" w:h="16838" w:orient="portrait"/>
          <w:cols w:equalWidth="0" w:num="1">
            <w:col w:w="11152"/>
          </w:cols>
          <w:pgMar w:left="328" w:top="796" w:right="4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gridSpan w:val="3"/>
          </w:tcPr>
          <w:p>
            <w:pPr>
              <w:ind w:left="32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540" w:type="dxa"/>
            <w:vAlign w:val="bottom"/>
            <w:gridSpan w:val="5"/>
          </w:tcPr>
          <w:p>
            <w:pPr>
              <w:ind w:left="21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438"/>
        </w:trPr>
        <w:tc>
          <w:tcPr>
            <w:tcW w:w="8720" w:type="dxa"/>
            <w:vAlign w:val="bottom"/>
            <w:gridSpan w:val="18"/>
          </w:tcPr>
          <w:p>
            <w:pPr>
              <w:spacing w:after="0"/>
              <w:rPr>
                <w:sz w:val="20"/>
                <w:szCs w:val="20"/>
                <w:color w:val="auto"/>
              </w:rPr>
            </w:pPr>
            <w:r>
              <w:rPr>
                <w:rFonts w:ascii="Arial" w:cs="Arial" w:eastAsia="Arial" w:hAnsi="Arial"/>
                <w:sz w:val="18"/>
                <w:szCs w:val="18"/>
                <w:color w:val="auto"/>
              </w:rPr>
              <w:t>ARTICLE 1 DEFINITIONS AND RULES OF CONSTRUCTION</w:t>
            </w:r>
          </w:p>
        </w:tc>
        <w:tc>
          <w:tcPr>
            <w:tcW w:w="2160" w:type="dxa"/>
            <w:vAlign w:val="bottom"/>
          </w:tcPr>
          <w:p>
            <w:pPr>
              <w:spacing w:after="0"/>
              <w:rPr>
                <w:sz w:val="24"/>
                <w:szCs w:val="24"/>
                <w:color w:val="auto"/>
              </w:rPr>
            </w:pPr>
          </w:p>
        </w:tc>
        <w:tc>
          <w:tcPr>
            <w:tcW w:w="38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1.1</w:t>
            </w:r>
          </w:p>
        </w:tc>
        <w:tc>
          <w:tcPr>
            <w:tcW w:w="7220" w:type="dxa"/>
            <w:vAlign w:val="bottom"/>
            <w:gridSpan w:val="15"/>
          </w:tcPr>
          <w:p>
            <w:pPr>
              <w:ind w:left="200"/>
              <w:spacing w:after="0"/>
              <w:rPr>
                <w:sz w:val="20"/>
                <w:szCs w:val="20"/>
                <w:color w:val="auto"/>
              </w:rPr>
            </w:pPr>
            <w:r>
              <w:rPr>
                <w:rFonts w:ascii="Arial" w:cs="Arial" w:eastAsia="Arial" w:hAnsi="Arial"/>
                <w:sz w:val="18"/>
                <w:szCs w:val="18"/>
                <w:color w:val="auto"/>
              </w:rPr>
              <w:t>Definitions</w:t>
            </w:r>
          </w:p>
        </w:tc>
        <w:tc>
          <w:tcPr>
            <w:tcW w:w="2540" w:type="dxa"/>
            <w:vAlign w:val="bottom"/>
            <w:gridSpan w:val="5"/>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160" w:type="dxa"/>
            <w:vAlign w:val="bottom"/>
            <w:gridSpan w:val="2"/>
          </w:tcPr>
          <w:p>
            <w:pPr>
              <w:spacing w:after="0" w:line="190" w:lineRule="exact"/>
              <w:rPr>
                <w:sz w:val="20"/>
                <w:szCs w:val="20"/>
                <w:color w:val="auto"/>
              </w:rPr>
            </w:pPr>
            <w:r>
              <w:rPr>
                <w:rFonts w:ascii="Arial" w:cs="Arial" w:eastAsia="Arial" w:hAnsi="Arial"/>
                <w:sz w:val="18"/>
                <w:szCs w:val="18"/>
                <w:color w:val="auto"/>
              </w:rPr>
              <w:t>Section 1.2</w:t>
            </w:r>
          </w:p>
        </w:tc>
        <w:tc>
          <w:tcPr>
            <w:tcW w:w="7220" w:type="dxa"/>
            <w:vAlign w:val="bottom"/>
            <w:gridSpan w:val="15"/>
          </w:tcPr>
          <w:p>
            <w:pPr>
              <w:ind w:left="200"/>
              <w:spacing w:after="0" w:line="190" w:lineRule="exact"/>
              <w:rPr>
                <w:sz w:val="20"/>
                <w:szCs w:val="20"/>
                <w:color w:val="auto"/>
              </w:rPr>
            </w:pPr>
            <w:r>
              <w:rPr>
                <w:rFonts w:ascii="Arial" w:cs="Arial" w:eastAsia="Arial" w:hAnsi="Arial"/>
                <w:sz w:val="18"/>
                <w:szCs w:val="18"/>
                <w:color w:val="auto"/>
              </w:rPr>
              <w:t>Classification of Loans and Borrowings</w:t>
            </w:r>
          </w:p>
        </w:tc>
        <w:tc>
          <w:tcPr>
            <w:tcW w:w="216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color w:val="FF0000"/>
                <w:strike w:val="1"/>
                <w:w w:val="79"/>
              </w:rPr>
              <w:t>44</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46</w:t>
            </w: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1.3</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Terms Generally</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44</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1.4</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Accounting Terms; GAAP</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45</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1.5</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Rounding</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45</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1.6</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References to Time</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45</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1.7</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Resolution of Drafting Ambiguities</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45</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1.8</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Status of Loan Document Obligations</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46</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1.9</w:t>
            </w:r>
          </w:p>
        </w:tc>
        <w:tc>
          <w:tcPr>
            <w:tcW w:w="200" w:type="dxa"/>
            <w:vAlign w:val="bottom"/>
            <w:vMerge w:val="restart"/>
          </w:tcPr>
          <w:p>
            <w:pPr>
              <w:spacing w:after="0" w:line="20" w:lineRule="exact"/>
              <w:rPr>
                <w:sz w:val="1"/>
                <w:szCs w:val="1"/>
                <w:color w:val="auto"/>
              </w:rPr>
            </w:pPr>
          </w:p>
        </w:tc>
        <w:tc>
          <w:tcPr>
            <w:tcW w:w="1920" w:type="dxa"/>
            <w:vAlign w:val="bottom"/>
            <w:gridSpan w:val="4"/>
            <w:vMerge w:val="restart"/>
          </w:tcPr>
          <w:p>
            <w:pPr>
              <w:spacing w:after="0" w:line="196" w:lineRule="exact"/>
              <w:rPr>
                <w:sz w:val="20"/>
                <w:szCs w:val="20"/>
                <w:color w:val="auto"/>
              </w:rPr>
            </w:pPr>
            <w:r>
              <w:rPr>
                <w:rFonts w:ascii="Arial" w:cs="Arial" w:eastAsia="Arial" w:hAnsi="Arial"/>
                <w:sz w:val="18"/>
                <w:szCs w:val="18"/>
                <w:color w:val="FF0000"/>
                <w:strike w:val="1"/>
                <w:w w:val="90"/>
              </w:rPr>
              <w:t>European Monetary Union</w:t>
            </w:r>
          </w:p>
        </w:tc>
        <w:tc>
          <w:tcPr>
            <w:tcW w:w="720" w:type="dxa"/>
            <w:vAlign w:val="bottom"/>
            <w:gridSpan w:val="7"/>
            <w:vMerge w:val="restart"/>
          </w:tcPr>
          <w:p>
            <w:pPr>
              <w:jc w:val="center"/>
              <w:spacing w:after="0" w:line="196" w:lineRule="exact"/>
              <w:rPr>
                <w:sz w:val="20"/>
                <w:szCs w:val="20"/>
                <w:color w:val="auto"/>
              </w:rPr>
            </w:pPr>
            <w:r>
              <w:rPr>
                <w:rFonts w:ascii="Arial" w:cs="Arial" w:eastAsia="Arial" w:hAnsi="Arial"/>
                <w:sz w:val="18"/>
                <w:szCs w:val="18"/>
                <w:color w:val="0000FF"/>
                <w:w w:val="87"/>
              </w:rPr>
              <w:t>Reserved.</w:t>
            </w:r>
          </w:p>
        </w:tc>
        <w:tc>
          <w:tcPr>
            <w:tcW w:w="4380" w:type="dxa"/>
            <w:vAlign w:val="bottom"/>
            <w:gridSpan w:val="3"/>
            <w:vMerge w:val="restart"/>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920" w:type="dxa"/>
            <w:vAlign w:val="bottom"/>
            <w:tcBorders>
              <w:bottom w:val="single" w:sz="8" w:color="FF0000"/>
            </w:tcBorders>
            <w:gridSpan w:val="4"/>
            <w:vMerge w:val="continue"/>
          </w:tcPr>
          <w:p>
            <w:pPr>
              <w:spacing w:after="0"/>
              <w:rPr>
                <w:sz w:val="13"/>
                <w:szCs w:val="13"/>
                <w:color w:val="auto"/>
              </w:rPr>
            </w:pPr>
          </w:p>
        </w:tc>
        <w:tc>
          <w:tcPr>
            <w:tcW w:w="720" w:type="dxa"/>
            <w:vAlign w:val="bottom"/>
            <w:tcBorders>
              <w:bottom w:val="single" w:sz="8" w:color="0000FF"/>
            </w:tcBorders>
            <w:gridSpan w:val="7"/>
            <w:vMerge w:val="continue"/>
          </w:tcPr>
          <w:p>
            <w:pPr>
              <w:spacing w:after="0"/>
              <w:rPr>
                <w:sz w:val="13"/>
                <w:szCs w:val="13"/>
                <w:color w:val="auto"/>
              </w:rPr>
            </w:pPr>
          </w:p>
        </w:tc>
        <w:tc>
          <w:tcPr>
            <w:tcW w:w="4380" w:type="dxa"/>
            <w:vAlign w:val="bottom"/>
            <w:gridSpan w:val="3"/>
            <w:vMerge w:val="continue"/>
          </w:tcPr>
          <w:p>
            <w:pPr>
              <w:spacing w:after="0"/>
              <w:rPr>
                <w:sz w:val="13"/>
                <w:szCs w:val="13"/>
                <w:color w:val="auto"/>
              </w:rPr>
            </w:pPr>
          </w:p>
        </w:tc>
        <w:tc>
          <w:tcPr>
            <w:tcW w:w="2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1.10</w:t>
            </w:r>
          </w:p>
        </w:tc>
        <w:tc>
          <w:tcPr>
            <w:tcW w:w="200" w:type="dxa"/>
            <w:vAlign w:val="bottom"/>
            <w:vMerge w:val="restart"/>
          </w:tcPr>
          <w:p>
            <w:pPr>
              <w:spacing w:after="0" w:line="20" w:lineRule="exact"/>
              <w:rPr>
                <w:sz w:val="1"/>
                <w:szCs w:val="1"/>
                <w:color w:val="auto"/>
              </w:rPr>
            </w:pPr>
          </w:p>
        </w:tc>
        <w:tc>
          <w:tcPr>
            <w:tcW w:w="1940" w:type="dxa"/>
            <w:vAlign w:val="bottom"/>
            <w:gridSpan w:val="5"/>
            <w:vMerge w:val="restart"/>
          </w:tcPr>
          <w:p>
            <w:pPr>
              <w:spacing w:after="0" w:line="196" w:lineRule="exact"/>
              <w:rPr>
                <w:sz w:val="20"/>
                <w:szCs w:val="20"/>
                <w:color w:val="auto"/>
              </w:rPr>
            </w:pPr>
            <w:r>
              <w:rPr>
                <w:rFonts w:ascii="Arial" w:cs="Arial" w:eastAsia="Arial" w:hAnsi="Arial"/>
                <w:sz w:val="18"/>
                <w:szCs w:val="18"/>
                <w:color w:val="FF0000"/>
                <w:strike w:val="1"/>
                <w:w w:val="88"/>
              </w:rPr>
              <w:t>Interest; LIBOR Notification</w:t>
            </w: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46</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94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5"/>
          </w:tcPr>
          <w:p>
            <w:pPr>
              <w:jc w:val="center"/>
              <w:ind w:right="120"/>
              <w:spacing w:after="0" w:line="156" w:lineRule="exact"/>
              <w:rPr>
                <w:sz w:val="20"/>
                <w:szCs w:val="20"/>
                <w:color w:val="auto"/>
              </w:rPr>
            </w:pPr>
            <w:r>
              <w:rPr>
                <w:rFonts w:ascii="Arial" w:cs="Arial" w:eastAsia="Arial" w:hAnsi="Arial"/>
                <w:sz w:val="18"/>
                <w:szCs w:val="18"/>
                <w:color w:val="0000FF"/>
                <w:w w:val="84"/>
              </w:rPr>
              <w:t>Rates.</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1.11</w:t>
            </w:r>
          </w:p>
        </w:tc>
        <w:tc>
          <w:tcPr>
            <w:tcW w:w="228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Divisions.</w:t>
            </w:r>
            <w:r>
              <w:rPr>
                <w:rFonts w:ascii="Arial" w:cs="Arial" w:eastAsia="Arial" w:hAnsi="Arial"/>
                <w:sz w:val="18"/>
                <w:szCs w:val="18"/>
                <w:u w:val="single" w:color="auto"/>
                <w:color w:val="FF0000"/>
                <w:strike w:val="1"/>
              </w:rPr>
              <w:t>.</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46</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280" w:type="dxa"/>
            <w:vAlign w:val="bottom"/>
            <w:gridSpan w:val="7"/>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gridSpan w:val="3"/>
            <w:vMerge w:val="restart"/>
          </w:tcPr>
          <w:p>
            <w:pPr>
              <w:spacing w:after="0"/>
              <w:rPr>
                <w:sz w:val="20"/>
                <w:szCs w:val="20"/>
                <w:color w:val="auto"/>
              </w:rPr>
            </w:pPr>
            <w:r>
              <w:rPr>
                <w:rFonts w:ascii="Arial" w:cs="Arial" w:eastAsia="Arial" w:hAnsi="Arial"/>
                <w:sz w:val="18"/>
                <w:szCs w:val="18"/>
                <w:color w:val="auto"/>
              </w:rPr>
              <w:t>ARTICLE 2 THE</w:t>
            </w:r>
          </w:p>
        </w:tc>
        <w:tc>
          <w:tcPr>
            <w:tcW w:w="2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5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FF0000"/>
                <w:strike w:val="1"/>
                <w:w w:val="79"/>
              </w:rPr>
              <w:t>47</w:t>
            </w:r>
          </w:p>
        </w:tc>
        <w:tc>
          <w:tcPr>
            <w:tcW w:w="2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w w:val="79"/>
              </w:rPr>
              <w:t>48</w:t>
            </w:r>
          </w:p>
        </w:tc>
        <w:tc>
          <w:tcPr>
            <w:tcW w:w="0" w:type="dxa"/>
            <w:vAlign w:val="bottom"/>
          </w:tcPr>
          <w:p>
            <w:pPr>
              <w:spacing w:after="0"/>
              <w:rPr>
                <w:sz w:val="1"/>
                <w:szCs w:val="1"/>
                <w:color w:val="auto"/>
              </w:rPr>
            </w:pPr>
          </w:p>
        </w:tc>
      </w:tr>
      <w:tr>
        <w:trPr>
          <w:trHeight w:val="81"/>
        </w:trPr>
        <w:tc>
          <w:tcPr>
            <w:tcW w:w="1500" w:type="dxa"/>
            <w:vAlign w:val="bottom"/>
            <w:gridSpan w:val="3"/>
            <w:vMerge w:val="restart"/>
          </w:tcPr>
          <w:p>
            <w:pPr>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1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2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150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160" w:type="dxa"/>
            <w:vAlign w:val="bottom"/>
            <w:gridSpan w:val="2"/>
          </w:tcPr>
          <w:p>
            <w:pPr>
              <w:spacing w:after="0" w:line="190" w:lineRule="exact"/>
              <w:rPr>
                <w:sz w:val="20"/>
                <w:szCs w:val="20"/>
                <w:color w:val="auto"/>
              </w:rPr>
            </w:pPr>
            <w:r>
              <w:rPr>
                <w:rFonts w:ascii="Arial" w:cs="Arial" w:eastAsia="Arial" w:hAnsi="Arial"/>
                <w:sz w:val="18"/>
                <w:szCs w:val="18"/>
                <w:color w:val="auto"/>
              </w:rPr>
              <w:t>Section 2.1</w:t>
            </w:r>
          </w:p>
        </w:tc>
        <w:tc>
          <w:tcPr>
            <w:tcW w:w="7220" w:type="dxa"/>
            <w:vAlign w:val="bottom"/>
            <w:gridSpan w:val="15"/>
          </w:tcPr>
          <w:p>
            <w:pPr>
              <w:ind w:left="200"/>
              <w:spacing w:after="0" w:line="190" w:lineRule="exact"/>
              <w:rPr>
                <w:sz w:val="20"/>
                <w:szCs w:val="20"/>
                <w:color w:val="auto"/>
              </w:rPr>
            </w:pPr>
            <w:r>
              <w:rPr>
                <w:rFonts w:ascii="Arial" w:cs="Arial" w:eastAsia="Arial" w:hAnsi="Arial"/>
                <w:sz w:val="18"/>
                <w:szCs w:val="18"/>
                <w:color w:val="auto"/>
              </w:rPr>
              <w:t>Commitments</w:t>
            </w:r>
          </w:p>
        </w:tc>
        <w:tc>
          <w:tcPr>
            <w:tcW w:w="216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color w:val="FF0000"/>
                <w:strike w:val="1"/>
                <w:w w:val="79"/>
              </w:rPr>
              <w:t>47</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48</w:t>
            </w: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2.2</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Borrowings, Conversions and Continuations of Loans</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47</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2.3</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Swingline Loans</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49</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2.4</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Letters of Credit</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51</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2.5</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Termination and Reduction of Commitments</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57</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8"/>
                <w:szCs w:val="18"/>
                <w:color w:val="auto"/>
              </w:rPr>
              <w:t>Section</w:t>
            </w: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220" w:type="dxa"/>
            <w:vAlign w:val="bottom"/>
            <w:gridSpan w:val="15"/>
            <w:vMerge w:val="restart"/>
          </w:tcPr>
          <w:p>
            <w:pPr>
              <w:ind w:left="200"/>
              <w:spacing w:after="0"/>
              <w:rPr>
                <w:sz w:val="20"/>
                <w:szCs w:val="20"/>
                <w:color w:val="auto"/>
              </w:rPr>
            </w:pPr>
            <w:r>
              <w:rPr>
                <w:rFonts w:ascii="Arial" w:cs="Arial" w:eastAsia="Arial" w:hAnsi="Arial"/>
                <w:sz w:val="18"/>
                <w:szCs w:val="18"/>
                <w:color w:val="auto"/>
              </w:rPr>
              <w:t>Repayment of Loans; Evidence of Debt</w:t>
            </w:r>
          </w:p>
        </w:tc>
        <w:tc>
          <w:tcPr>
            <w:tcW w:w="2160" w:type="dxa"/>
            <w:vAlign w:val="bottom"/>
          </w:tcPr>
          <w:p>
            <w:pPr>
              <w:spacing w:after="0"/>
              <w:rPr>
                <w:sz w:val="15"/>
                <w:szCs w:val="15"/>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FF0000"/>
                <w:strike w:val="1"/>
                <w:w w:val="79"/>
              </w:rPr>
              <w:t>57</w:t>
            </w:r>
          </w:p>
        </w:tc>
        <w:tc>
          <w:tcPr>
            <w:tcW w:w="2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w w:val="79"/>
              </w:rPr>
              <w:t>59</w:t>
            </w:r>
          </w:p>
        </w:tc>
        <w:tc>
          <w:tcPr>
            <w:tcW w:w="0" w:type="dxa"/>
            <w:vAlign w:val="bottom"/>
          </w:tcPr>
          <w:p>
            <w:pPr>
              <w:spacing w:after="0"/>
              <w:rPr>
                <w:sz w:val="1"/>
                <w:szCs w:val="1"/>
                <w:color w:val="auto"/>
              </w:rPr>
            </w:pPr>
          </w:p>
        </w:tc>
      </w:tr>
      <w:tr>
        <w:trPr>
          <w:trHeight w:val="81"/>
        </w:trPr>
        <w:tc>
          <w:tcPr>
            <w:tcW w:w="1140" w:type="dxa"/>
            <w:vAlign w:val="bottom"/>
            <w:gridSpan w:val="2"/>
            <w:vMerge w:val="restart"/>
          </w:tcPr>
          <w:p>
            <w:pPr>
              <w:ind w:left="34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7"/>
                <w:szCs w:val="7"/>
                <w:color w:val="auto"/>
              </w:rPr>
            </w:pPr>
          </w:p>
        </w:tc>
        <w:tc>
          <w:tcPr>
            <w:tcW w:w="7220" w:type="dxa"/>
            <w:vAlign w:val="bottom"/>
            <w:gridSpan w:val="15"/>
            <w:vMerge w:val="continue"/>
          </w:tcPr>
          <w:p>
            <w:pPr>
              <w:spacing w:after="0"/>
              <w:rPr>
                <w:sz w:val="7"/>
                <w:szCs w:val="7"/>
                <w:color w:val="auto"/>
              </w:rPr>
            </w:pPr>
          </w:p>
        </w:tc>
        <w:tc>
          <w:tcPr>
            <w:tcW w:w="216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2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continue"/>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1140" w:type="dxa"/>
            <w:vAlign w:val="bottom"/>
            <w:gridSpan w:val="2"/>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160" w:type="dxa"/>
            <w:vAlign w:val="bottom"/>
            <w:gridSpan w:val="2"/>
          </w:tcPr>
          <w:p>
            <w:pPr>
              <w:spacing w:after="0" w:line="190" w:lineRule="exact"/>
              <w:rPr>
                <w:sz w:val="20"/>
                <w:szCs w:val="20"/>
                <w:color w:val="auto"/>
              </w:rPr>
            </w:pPr>
            <w:r>
              <w:rPr>
                <w:rFonts w:ascii="Arial" w:cs="Arial" w:eastAsia="Arial" w:hAnsi="Arial"/>
                <w:sz w:val="18"/>
                <w:szCs w:val="18"/>
                <w:color w:val="auto"/>
              </w:rPr>
              <w:t>Section 2.7</w:t>
            </w:r>
          </w:p>
        </w:tc>
        <w:tc>
          <w:tcPr>
            <w:tcW w:w="7220" w:type="dxa"/>
            <w:vAlign w:val="bottom"/>
            <w:gridSpan w:val="15"/>
          </w:tcPr>
          <w:p>
            <w:pPr>
              <w:ind w:left="200"/>
              <w:spacing w:after="0" w:line="190" w:lineRule="exact"/>
              <w:rPr>
                <w:sz w:val="20"/>
                <w:szCs w:val="20"/>
                <w:color w:val="auto"/>
              </w:rPr>
            </w:pPr>
            <w:r>
              <w:rPr>
                <w:rFonts w:ascii="Arial" w:cs="Arial" w:eastAsia="Arial" w:hAnsi="Arial"/>
                <w:sz w:val="18"/>
                <w:szCs w:val="18"/>
                <w:color w:val="auto"/>
              </w:rPr>
              <w:t>Prepayments</w:t>
            </w:r>
          </w:p>
        </w:tc>
        <w:tc>
          <w:tcPr>
            <w:tcW w:w="216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color w:val="FF0000"/>
                <w:strike w:val="1"/>
                <w:w w:val="79"/>
              </w:rPr>
              <w:t>59</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61</w:t>
            </w: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2.8</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Payments Generally; Administrative Agent’s Clawback</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61</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2.9</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Defaulting Lenders</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63</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2.10</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Cash Collateral</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65</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2.11</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Incremental Commitments</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67</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720" w:type="dxa"/>
            <w:vAlign w:val="bottom"/>
            <w:gridSpan w:val="18"/>
          </w:tcPr>
          <w:p>
            <w:pPr>
              <w:spacing w:after="0"/>
              <w:rPr>
                <w:sz w:val="20"/>
                <w:szCs w:val="20"/>
                <w:color w:val="auto"/>
              </w:rPr>
            </w:pPr>
            <w:r>
              <w:rPr>
                <w:rFonts w:ascii="Arial" w:cs="Arial" w:eastAsia="Arial" w:hAnsi="Arial"/>
                <w:sz w:val="18"/>
                <w:szCs w:val="18"/>
                <w:color w:val="auto"/>
              </w:rPr>
              <w:t>ARTICLE 3 INTEREST, FEES, YIELD PROTECTION, ETC.</w:t>
            </w:r>
          </w:p>
        </w:tc>
        <w:tc>
          <w:tcPr>
            <w:tcW w:w="21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69</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71</w:t>
            </w: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3.1</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Interest</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69</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3.2</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Fees</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70</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3.3</w:t>
            </w:r>
          </w:p>
        </w:tc>
        <w:tc>
          <w:tcPr>
            <w:tcW w:w="20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196" w:lineRule="exact"/>
              <w:rPr>
                <w:sz w:val="20"/>
                <w:szCs w:val="20"/>
                <w:color w:val="auto"/>
              </w:rPr>
            </w:pPr>
            <w:r>
              <w:rPr>
                <w:rFonts w:ascii="Arial" w:cs="Arial" w:eastAsia="Arial" w:hAnsi="Arial"/>
                <w:sz w:val="18"/>
                <w:szCs w:val="18"/>
                <w:color w:val="FF0000"/>
                <w:strike w:val="1"/>
                <w:w w:val="90"/>
              </w:rPr>
              <w:t>Alternate Rate of Interest</w:t>
            </w:r>
          </w:p>
        </w:tc>
        <w:tc>
          <w:tcPr>
            <w:tcW w:w="5180" w:type="dxa"/>
            <w:vAlign w:val="bottom"/>
            <w:gridSpan w:val="11"/>
            <w:vMerge w:val="restart"/>
          </w:tcPr>
          <w:p>
            <w:pPr>
              <w:spacing w:after="0" w:line="196" w:lineRule="exact"/>
              <w:rPr>
                <w:sz w:val="20"/>
                <w:szCs w:val="20"/>
                <w:color w:val="auto"/>
              </w:rPr>
            </w:pPr>
            <w:r>
              <w:rPr>
                <w:rFonts w:ascii="Arial" w:cs="Arial" w:eastAsia="Arial" w:hAnsi="Arial"/>
                <w:sz w:val="18"/>
                <w:szCs w:val="18"/>
                <w:color w:val="0000FF"/>
              </w:rPr>
              <w:t>Inability to Determine Rates</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71</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840" w:type="dxa"/>
            <w:vAlign w:val="bottom"/>
            <w:gridSpan w:val="3"/>
            <w:vMerge w:val="continue"/>
          </w:tcPr>
          <w:p>
            <w:pPr>
              <w:spacing w:after="0"/>
              <w:rPr>
                <w:sz w:val="13"/>
                <w:szCs w:val="13"/>
                <w:color w:val="auto"/>
              </w:rPr>
            </w:pPr>
          </w:p>
        </w:tc>
        <w:tc>
          <w:tcPr>
            <w:tcW w:w="5180" w:type="dxa"/>
            <w:vAlign w:val="bottom"/>
            <w:gridSpan w:val="11"/>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3.4</w:t>
            </w:r>
          </w:p>
        </w:tc>
        <w:tc>
          <w:tcPr>
            <w:tcW w:w="2040" w:type="dxa"/>
            <w:vAlign w:val="bottom"/>
            <w:gridSpan w:val="4"/>
            <w:vMerge w:val="restart"/>
          </w:tcPr>
          <w:p>
            <w:pPr>
              <w:ind w:left="200"/>
              <w:spacing w:after="0" w:line="196" w:lineRule="exact"/>
              <w:rPr>
                <w:sz w:val="20"/>
                <w:szCs w:val="20"/>
                <w:color w:val="auto"/>
              </w:rPr>
            </w:pPr>
            <w:r>
              <w:rPr>
                <w:rFonts w:ascii="Arial" w:cs="Arial" w:eastAsia="Arial" w:hAnsi="Arial"/>
                <w:sz w:val="18"/>
                <w:szCs w:val="18"/>
                <w:color w:val="auto"/>
                <w:w w:val="88"/>
              </w:rPr>
              <w:t>Increased Costs; Illegality</w:t>
            </w: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72</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04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3.5</w:t>
            </w:r>
          </w:p>
        </w:tc>
        <w:tc>
          <w:tcPr>
            <w:tcW w:w="200" w:type="dxa"/>
            <w:vAlign w:val="bottom"/>
            <w:vMerge w:val="restart"/>
          </w:tcPr>
          <w:p>
            <w:pPr>
              <w:spacing w:after="0" w:line="20" w:lineRule="exact"/>
              <w:rPr>
                <w:sz w:val="1"/>
                <w:szCs w:val="1"/>
                <w:color w:val="auto"/>
              </w:rPr>
            </w:pPr>
          </w:p>
        </w:tc>
        <w:tc>
          <w:tcPr>
            <w:tcW w:w="18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9"/>
              </w:rPr>
              <w:t>Break Funding Payments</w:t>
            </w:r>
          </w:p>
        </w:tc>
        <w:tc>
          <w:tcPr>
            <w:tcW w:w="5200" w:type="dxa"/>
            <w:vAlign w:val="bottom"/>
            <w:gridSpan w:val="12"/>
            <w:vMerge w:val="restart"/>
          </w:tcPr>
          <w:p>
            <w:pPr>
              <w:spacing w:after="0" w:line="196" w:lineRule="exact"/>
              <w:rPr>
                <w:sz w:val="20"/>
                <w:szCs w:val="20"/>
                <w:color w:val="auto"/>
              </w:rPr>
            </w:pPr>
            <w:r>
              <w:rPr>
                <w:rFonts w:ascii="Arial" w:cs="Arial" w:eastAsia="Arial" w:hAnsi="Arial"/>
                <w:sz w:val="18"/>
                <w:szCs w:val="18"/>
                <w:color w:val="0000FF"/>
              </w:rPr>
              <w:t>Compensation for Losses</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74</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5200" w:type="dxa"/>
            <w:vAlign w:val="bottom"/>
            <w:gridSpan w:val="12"/>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3.6</w:t>
            </w:r>
          </w:p>
        </w:tc>
        <w:tc>
          <w:tcPr>
            <w:tcW w:w="2020" w:type="dxa"/>
            <w:vAlign w:val="bottom"/>
            <w:gridSpan w:val="3"/>
            <w:vMerge w:val="restart"/>
          </w:tcPr>
          <w:p>
            <w:pPr>
              <w:ind w:left="200"/>
              <w:spacing w:after="0" w:line="196" w:lineRule="exact"/>
              <w:rPr>
                <w:sz w:val="20"/>
                <w:szCs w:val="20"/>
                <w:color w:val="auto"/>
              </w:rPr>
            </w:pPr>
            <w:r>
              <w:rPr>
                <w:rFonts w:ascii="Arial" w:cs="Arial" w:eastAsia="Arial" w:hAnsi="Arial"/>
                <w:sz w:val="18"/>
                <w:szCs w:val="18"/>
                <w:color w:val="auto"/>
              </w:rPr>
              <w:t>Taxes</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74</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3.7</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Mitigation Obligations; Replacement of Lenders</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77</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Section 3.8</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0000FF"/>
              </w:rPr>
              <w:t>Benchmark Replacement Setting</w:t>
            </w:r>
          </w:p>
        </w:tc>
        <w:tc>
          <w:tcPr>
            <w:tcW w:w="2360" w:type="dxa"/>
            <w:vAlign w:val="bottom"/>
            <w:gridSpan w:val="3"/>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360" w:type="dxa"/>
            <w:vAlign w:val="bottom"/>
            <w:gridSpan w:val="3"/>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79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8720" w:type="dxa"/>
            <w:vAlign w:val="bottom"/>
            <w:gridSpan w:val="18"/>
          </w:tcPr>
          <w:p>
            <w:pPr>
              <w:spacing w:after="0"/>
              <w:rPr>
                <w:sz w:val="20"/>
                <w:szCs w:val="20"/>
                <w:color w:val="auto"/>
              </w:rPr>
            </w:pPr>
            <w:r>
              <w:rPr>
                <w:rFonts w:ascii="Arial" w:cs="Arial" w:eastAsia="Arial" w:hAnsi="Arial"/>
                <w:sz w:val="18"/>
                <w:szCs w:val="18"/>
                <w:color w:val="auto"/>
              </w:rPr>
              <w:t>ARTICLE 4 CONDITIONS PRECEDENT TO CREDIT EXTENSIONS</w:t>
            </w:r>
          </w:p>
        </w:tc>
        <w:tc>
          <w:tcPr>
            <w:tcW w:w="21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78</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4.1</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Conditions to Initial Credit Extensions</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78</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4.2</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Conditions to All Credit Extensions</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81</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8720" w:type="dxa"/>
            <w:vAlign w:val="bottom"/>
            <w:gridSpan w:val="18"/>
          </w:tcPr>
          <w:p>
            <w:pPr>
              <w:spacing w:after="0"/>
              <w:rPr>
                <w:sz w:val="20"/>
                <w:szCs w:val="20"/>
                <w:color w:val="auto"/>
              </w:rPr>
            </w:pPr>
            <w:r>
              <w:rPr>
                <w:rFonts w:ascii="Arial" w:cs="Arial" w:eastAsia="Arial" w:hAnsi="Arial"/>
                <w:sz w:val="18"/>
                <w:szCs w:val="18"/>
                <w:color w:val="auto"/>
              </w:rPr>
              <w:t>ARTICLE 5 REPRESENTATIONS AND WARRANTIES</w:t>
            </w:r>
          </w:p>
        </w:tc>
        <w:tc>
          <w:tcPr>
            <w:tcW w:w="21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FF0000"/>
                <w:strike w:val="1"/>
                <w:w w:val="79"/>
              </w:rPr>
              <w:t>81</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5.1</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Existence, Qualification and Power; Compliance with Laws</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81</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5.2</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Authorization; No Contravention</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82</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5.3</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Governmental Authorization; Other Consents</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82</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5.4</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Binding Effect</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82</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5.5</w:t>
            </w:r>
          </w:p>
        </w:tc>
        <w:tc>
          <w:tcPr>
            <w:tcW w:w="7220" w:type="dxa"/>
            <w:vAlign w:val="bottom"/>
            <w:gridSpan w:val="15"/>
            <w:vMerge w:val="restart"/>
          </w:tcPr>
          <w:p>
            <w:pPr>
              <w:ind w:left="200"/>
              <w:spacing w:after="0" w:line="196" w:lineRule="exact"/>
              <w:rPr>
                <w:sz w:val="20"/>
                <w:szCs w:val="20"/>
                <w:color w:val="auto"/>
              </w:rPr>
            </w:pPr>
            <w:r>
              <w:rPr>
                <w:rFonts w:ascii="Arial" w:cs="Arial" w:eastAsia="Arial" w:hAnsi="Arial"/>
                <w:sz w:val="18"/>
                <w:szCs w:val="18"/>
                <w:color w:val="auto"/>
              </w:rPr>
              <w:t>Financial Statements; No Material Adverse Effect</w:t>
            </w:r>
          </w:p>
        </w:tc>
        <w:tc>
          <w:tcPr>
            <w:tcW w:w="21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82</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220" w:type="dxa"/>
            <w:vAlign w:val="bottom"/>
            <w:gridSpan w:val="15"/>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Litigation</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5.6</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Environmental Matters</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5.7</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Ownership of Properties; Liens</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5.8</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Casualty, Etc</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5.9</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Investment Company Status, Etc</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5.10</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5.11</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ERISA</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5.12</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Subsidiaries; Equity Interests</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5.13</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Insurance</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5.14</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Federal Reserve Regulations, Etc</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5.15</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Collateral Documents</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5.16</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Solvency</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5.17</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Anti-Corruption Laws; Sanctions; Anti-Terrorism Laws</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5.18</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Material Owned Real Property</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5.19</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Accuracy of Information, Etc</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5.20</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Labor Matters</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5.21</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Absence of Certain Restrictions</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5.22</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No Default</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5.23</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Common Enterprise</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5.24</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5.25</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Brokers’ Fees</w:t>
            </w:r>
          </w:p>
        </w:tc>
        <w:tc>
          <w:tcPr>
            <w:tcW w:w="0" w:type="dxa"/>
            <w:vAlign w:val="bottom"/>
          </w:tcPr>
          <w:p>
            <w:pPr>
              <w:spacing w:after="0"/>
              <w:rPr>
                <w:sz w:val="1"/>
                <w:szCs w:val="1"/>
                <w:color w:val="auto"/>
              </w:rPr>
            </w:pPr>
          </w:p>
        </w:tc>
      </w:tr>
      <w:tr>
        <w:trPr>
          <w:trHeight w:val="217"/>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240" w:type="dxa"/>
            <w:vAlign w:val="bottom"/>
          </w:tcPr>
          <w:p>
            <w:pPr>
              <w:spacing w:after="0"/>
              <w:rPr>
                <w:sz w:val="18"/>
                <w:szCs w:val="18"/>
                <w:color w:val="auto"/>
              </w:rPr>
            </w:pPr>
          </w:p>
        </w:tc>
        <w:tc>
          <w:tcPr>
            <w:tcW w:w="340" w:type="dxa"/>
            <w:vAlign w:val="bottom"/>
            <w:vMerge w:val="restart"/>
          </w:tcPr>
          <w:p>
            <w:pPr>
              <w:spacing w:after="0"/>
              <w:rPr>
                <w:sz w:val="20"/>
                <w:szCs w:val="20"/>
                <w:color w:val="auto"/>
              </w:rPr>
            </w:pPr>
            <w:r>
              <w:rPr>
                <w:rFonts w:ascii="Arial" w:cs="Arial" w:eastAsia="Arial" w:hAnsi="Arial"/>
                <w:sz w:val="18"/>
                <w:szCs w:val="18"/>
                <w:color w:val="FF0000"/>
                <w:strike w:val="1"/>
                <w:w w:val="88"/>
              </w:rPr>
              <w:t>EEA</w:t>
            </w:r>
          </w:p>
        </w:tc>
        <w:tc>
          <w:tcPr>
            <w:tcW w:w="4020" w:type="dxa"/>
            <w:vAlign w:val="bottom"/>
            <w:gridSpan w:val="3"/>
            <w:vMerge w:val="restart"/>
          </w:tcPr>
          <w:p>
            <w:pPr>
              <w:spacing w:after="0"/>
              <w:rPr>
                <w:sz w:val="20"/>
                <w:szCs w:val="20"/>
                <w:color w:val="auto"/>
              </w:rPr>
            </w:pPr>
            <w:r>
              <w:rPr>
                <w:rFonts w:ascii="Arial" w:cs="Arial" w:eastAsia="Arial" w:hAnsi="Arial"/>
                <w:sz w:val="18"/>
                <w:szCs w:val="18"/>
                <w:color w:val="0000FF"/>
              </w:rPr>
              <w:t xml:space="preserve">Affected </w:t>
            </w:r>
            <w:r>
              <w:rPr>
                <w:rFonts w:ascii="Arial" w:cs="Arial" w:eastAsia="Arial" w:hAnsi="Arial"/>
                <w:sz w:val="18"/>
                <w:szCs w:val="18"/>
                <w:color w:val="000000"/>
              </w:rPr>
              <w:t>Financial Institutions</w:t>
            </w:r>
          </w:p>
        </w:tc>
        <w:tc>
          <w:tcPr>
            <w:tcW w:w="0" w:type="dxa"/>
            <w:vAlign w:val="bottom"/>
          </w:tcPr>
          <w:p>
            <w:pPr>
              <w:spacing w:after="0"/>
              <w:rPr>
                <w:sz w:val="1"/>
                <w:szCs w:val="1"/>
                <w:color w:val="auto"/>
              </w:rPr>
            </w:pPr>
          </w:p>
        </w:tc>
      </w:tr>
      <w:tr>
        <w:trPr>
          <w:trHeight w:val="81"/>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0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7"/>
        </w:trPr>
        <w:tc>
          <w:tcPr>
            <w:tcW w:w="6060" w:type="dxa"/>
            <w:vAlign w:val="bottom"/>
            <w:gridSpan w:val="6"/>
          </w:tcPr>
          <w:p>
            <w:pPr>
              <w:spacing w:after="0"/>
              <w:rPr>
                <w:sz w:val="20"/>
                <w:szCs w:val="20"/>
                <w:color w:val="auto"/>
              </w:rPr>
            </w:pPr>
            <w:r>
              <w:rPr>
                <w:rFonts w:ascii="Arial" w:cs="Arial" w:eastAsia="Arial" w:hAnsi="Arial"/>
                <w:sz w:val="18"/>
                <w:szCs w:val="18"/>
                <w:color w:val="auto"/>
              </w:rPr>
              <w:t>ARTICLE 6 AFFIRMATIVE COVENANTS</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Financial Statements and Other Information</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6.1</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Notices of Material Events</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6.2</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6.3</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Existence; Conduct of Business</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6.4</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Payment and Performance of Obligations</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6.5</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Maintenance of Properties</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6.6</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Books and Records; Inspection Rights</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6.7</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Compliance with Laws</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6.8</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Use of Proceeds</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6.9</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Information Concerning Collateral</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6.10</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Insurance</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6.11</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Casualty Events; Extraordinary Receipts</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6.12</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Covenant to Guarantee and Provide Security</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6.13</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Environmental Matters</w:t>
            </w:r>
          </w:p>
        </w:tc>
        <w:tc>
          <w:tcPr>
            <w:tcW w:w="0" w:type="dxa"/>
            <w:vAlign w:val="bottom"/>
          </w:tcPr>
          <w:p>
            <w:pPr>
              <w:spacing w:after="0"/>
              <w:rPr>
                <w:sz w:val="1"/>
                <w:szCs w:val="1"/>
                <w:color w:val="auto"/>
              </w:rPr>
            </w:pP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rPr>
              <w:t>Section 6.14</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Certain Post-Closing Obligations.</w:t>
            </w:r>
            <w:r>
              <w:rPr>
                <w:rFonts w:ascii="Arial" w:cs="Arial" w:eastAsia="Arial" w:hAnsi="Arial"/>
                <w:sz w:val="18"/>
                <w:szCs w:val="18"/>
                <w:color w:val="FF0000"/>
                <w:strike w:val="1"/>
              </w:rPr>
              <w:t>.</w:t>
            </w:r>
          </w:p>
        </w:tc>
        <w:tc>
          <w:tcPr>
            <w:tcW w:w="0" w:type="dxa"/>
            <w:vAlign w:val="bottom"/>
          </w:tcPr>
          <w:p>
            <w:pPr>
              <w:spacing w:after="0"/>
              <w:rPr>
                <w:sz w:val="1"/>
                <w:szCs w:val="1"/>
                <w:color w:val="auto"/>
              </w:rPr>
            </w:pPr>
          </w:p>
        </w:tc>
      </w:tr>
      <w:tr>
        <w:trPr>
          <w:trHeight w:val="418"/>
        </w:trPr>
        <w:tc>
          <w:tcPr>
            <w:tcW w:w="6060" w:type="dxa"/>
            <w:vAlign w:val="bottom"/>
            <w:gridSpan w:val="6"/>
          </w:tcPr>
          <w:p>
            <w:pPr>
              <w:spacing w:after="0"/>
              <w:rPr>
                <w:sz w:val="20"/>
                <w:szCs w:val="20"/>
                <w:color w:val="auto"/>
              </w:rPr>
            </w:pPr>
            <w:r>
              <w:rPr>
                <w:rFonts w:ascii="Arial" w:cs="Arial" w:eastAsia="Arial" w:hAnsi="Arial"/>
                <w:sz w:val="18"/>
                <w:szCs w:val="18"/>
                <w:color w:val="auto"/>
              </w:rPr>
              <w:t>ARTICLE 7 NEGATIVE COVENANTS</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7.1</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Indebtedness; Equity Interests</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w:t>
            </w:r>
          </w:p>
        </w:tc>
        <w:tc>
          <w:tcPr>
            <w:tcW w:w="4600" w:type="dxa"/>
            <w:vAlign w:val="bottom"/>
            <w:gridSpan w:val="5"/>
            <w:vMerge w:val="restart"/>
          </w:tcPr>
          <w:p>
            <w:pPr>
              <w:ind w:left="240"/>
              <w:spacing w:after="0"/>
              <w:rPr>
                <w:sz w:val="20"/>
                <w:szCs w:val="20"/>
                <w:color w:val="auto"/>
              </w:rPr>
            </w:pPr>
            <w:r>
              <w:rPr>
                <w:rFonts w:ascii="Arial" w:cs="Arial" w:eastAsia="Arial" w:hAnsi="Arial"/>
                <w:sz w:val="18"/>
                <w:szCs w:val="18"/>
                <w:color w:val="auto"/>
              </w:rPr>
              <w:t>Liens</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7.2</w:t>
            </w:r>
          </w:p>
        </w:tc>
        <w:tc>
          <w:tcPr>
            <w:tcW w:w="4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7.3</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Fundamental Changes; Business; Fiscal Year</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7.4</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w w:val="89"/>
              </w:rPr>
              <w:t>Investments, Loans, Advances, Guarantees and Acquisitions</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7.5</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Dispositions</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7.6</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Sale and Lease Back Transactions</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7.7</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Swap Agreements</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7.8</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Restricted Payments</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7.9</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Transactions with Affiliates</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7.10</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Restrictive Agreements</w:t>
            </w: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7.11</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Amendment of Material Documents</w:t>
            </w:r>
          </w:p>
        </w:tc>
        <w:tc>
          <w:tcPr>
            <w:tcW w:w="0" w:type="dxa"/>
            <w:vAlign w:val="bottom"/>
          </w:tcPr>
          <w:p>
            <w:pPr>
              <w:spacing w:after="0"/>
              <w:rPr>
                <w:sz w:val="1"/>
                <w:szCs w:val="1"/>
                <w:color w:val="auto"/>
              </w:rPr>
            </w:pP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rPr>
              <w:t>Section 7.12</w:t>
            </w:r>
          </w:p>
        </w:tc>
        <w:tc>
          <w:tcPr>
            <w:tcW w:w="4600" w:type="dxa"/>
            <w:vAlign w:val="bottom"/>
            <w:gridSpan w:val="5"/>
          </w:tcPr>
          <w:p>
            <w:pPr>
              <w:ind w:left="240"/>
              <w:spacing w:after="0"/>
              <w:rPr>
                <w:sz w:val="20"/>
                <w:szCs w:val="20"/>
                <w:color w:val="auto"/>
              </w:rPr>
            </w:pPr>
            <w:r>
              <w:rPr>
                <w:rFonts w:ascii="Arial" w:cs="Arial" w:eastAsia="Arial" w:hAnsi="Arial"/>
                <w:sz w:val="18"/>
                <w:szCs w:val="18"/>
                <w:color w:val="auto"/>
              </w:rPr>
              <w:t>Financial Covenants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83</w:t>
      </w:r>
      <w:r>
        <w:rPr>
          <w:rFonts w:ascii="Arial" w:cs="Arial" w:eastAsia="Arial" w:hAnsi="Arial"/>
          <w:sz w:val="16"/>
          <w:szCs w:val="16"/>
          <w:u w:val="single" w:color="auto"/>
          <w:color w:val="0000FF"/>
          <w:strike w:val="1"/>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83</w:t>
      </w:r>
      <w:r>
        <w:rPr>
          <w:rFonts w:ascii="Arial" w:cs="Arial" w:eastAsia="Arial" w:hAnsi="Arial"/>
          <w:sz w:val="16"/>
          <w:szCs w:val="16"/>
          <w:u w:val="single" w:color="auto"/>
          <w:color w:val="0000FF"/>
          <w:strike w:val="1"/>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85</w:t>
      </w:r>
      <w:r>
        <w:rPr>
          <w:rFonts w:ascii="Arial" w:cs="Arial" w:eastAsia="Arial" w:hAnsi="Arial"/>
          <w:sz w:val="16"/>
          <w:szCs w:val="16"/>
          <w:u w:val="single" w:color="auto"/>
          <w:color w:val="0000FF"/>
          <w:strike w:val="1"/>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85</w:t>
      </w:r>
      <w:r>
        <w:rPr>
          <w:rFonts w:ascii="Arial" w:cs="Arial" w:eastAsia="Arial" w:hAnsi="Arial"/>
          <w:sz w:val="16"/>
          <w:szCs w:val="16"/>
          <w:u w:val="single" w:color="auto"/>
          <w:color w:val="0000FF"/>
          <w:strike w:val="1"/>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85</w:t>
      </w:r>
      <w:r>
        <w:rPr>
          <w:rFonts w:ascii="Arial" w:cs="Arial" w:eastAsia="Arial" w:hAnsi="Arial"/>
          <w:sz w:val="16"/>
          <w:szCs w:val="16"/>
          <w:u w:val="single" w:color="auto"/>
          <w:color w:val="0000FF"/>
          <w:strike w:val="1"/>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85</w:t>
      </w:r>
      <w:r>
        <w:rPr>
          <w:rFonts w:ascii="Arial" w:cs="Arial" w:eastAsia="Arial" w:hAnsi="Arial"/>
          <w:sz w:val="16"/>
          <w:szCs w:val="16"/>
          <w:u w:val="single" w:color="auto"/>
          <w:color w:val="0000FF"/>
          <w:strike w:val="1"/>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85</w:t>
      </w:r>
      <w:r>
        <w:rPr>
          <w:rFonts w:ascii="Arial" w:cs="Arial" w:eastAsia="Arial" w:hAnsi="Arial"/>
          <w:sz w:val="16"/>
          <w:szCs w:val="16"/>
          <w:u w:val="single" w:color="auto"/>
          <w:color w:val="0000FF"/>
          <w:strike w:val="1"/>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86</w:t>
      </w:r>
      <w:r>
        <w:rPr>
          <w:rFonts w:ascii="Arial" w:cs="Arial" w:eastAsia="Arial" w:hAnsi="Arial"/>
          <w:sz w:val="16"/>
          <w:szCs w:val="16"/>
          <w:u w:val="single" w:color="auto"/>
          <w:color w:val="0000FF"/>
          <w:strike w:val="1"/>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87</w:t>
      </w:r>
      <w:r>
        <w:rPr>
          <w:rFonts w:ascii="Arial" w:cs="Arial" w:eastAsia="Arial" w:hAnsi="Arial"/>
          <w:sz w:val="16"/>
          <w:szCs w:val="16"/>
          <w:u w:val="single" w:color="auto"/>
          <w:color w:val="0000FF"/>
          <w:strike w:val="1"/>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87</w:t>
      </w:r>
      <w:r>
        <w:rPr>
          <w:rFonts w:ascii="Arial" w:cs="Arial" w:eastAsia="Arial" w:hAnsi="Arial"/>
          <w:sz w:val="16"/>
          <w:szCs w:val="16"/>
          <w:u w:val="single" w:color="auto"/>
          <w:color w:val="0000FF"/>
          <w:strike w:val="1"/>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87</w:t>
      </w:r>
      <w:r>
        <w:rPr>
          <w:rFonts w:ascii="Arial" w:cs="Arial" w:eastAsia="Arial" w:hAnsi="Arial"/>
          <w:sz w:val="16"/>
          <w:szCs w:val="16"/>
          <w:u w:val="single" w:color="auto"/>
          <w:color w:val="0000FF"/>
          <w:strike w:val="1"/>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87</w:t>
      </w:r>
      <w:r>
        <w:rPr>
          <w:rFonts w:ascii="Arial" w:cs="Arial" w:eastAsia="Arial" w:hAnsi="Arial"/>
          <w:sz w:val="16"/>
          <w:szCs w:val="16"/>
          <w:u w:val="single" w:color="auto"/>
          <w:color w:val="0000FF"/>
          <w:strike w:val="1"/>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87</w:t>
      </w:r>
      <w:r>
        <w:rPr>
          <w:rFonts w:ascii="Arial" w:cs="Arial" w:eastAsia="Arial" w:hAnsi="Arial"/>
          <w:sz w:val="16"/>
          <w:szCs w:val="16"/>
          <w:u w:val="single" w:color="auto"/>
          <w:color w:val="0000FF"/>
          <w:strike w:val="1"/>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88</w:t>
      </w:r>
      <w:r>
        <w:rPr>
          <w:rFonts w:ascii="Arial" w:cs="Arial" w:eastAsia="Arial" w:hAnsi="Arial"/>
          <w:sz w:val="16"/>
          <w:szCs w:val="16"/>
          <w:u w:val="single" w:color="auto"/>
          <w:color w:val="0000FF"/>
          <w:strike w:val="1"/>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88</w:t>
      </w:r>
      <w:r>
        <w:rPr>
          <w:rFonts w:ascii="Arial" w:cs="Arial" w:eastAsia="Arial" w:hAnsi="Arial"/>
          <w:sz w:val="16"/>
          <w:szCs w:val="16"/>
          <w:u w:val="single" w:color="auto"/>
          <w:color w:val="0000FF"/>
          <w:strike w:val="1"/>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88</w:t>
      </w:r>
      <w:r>
        <w:rPr>
          <w:rFonts w:ascii="Arial" w:cs="Arial" w:eastAsia="Arial" w:hAnsi="Arial"/>
          <w:sz w:val="16"/>
          <w:szCs w:val="16"/>
          <w:u w:val="single" w:color="auto"/>
          <w:color w:val="0000FF"/>
          <w:strike w:val="1"/>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89</w:t>
      </w:r>
      <w:r>
        <w:rPr>
          <w:rFonts w:ascii="Arial" w:cs="Arial" w:eastAsia="Arial" w:hAnsi="Arial"/>
          <w:sz w:val="16"/>
          <w:szCs w:val="16"/>
          <w:u w:val="single" w:color="auto"/>
          <w:color w:val="0000FF"/>
          <w:strike w:val="1"/>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89</w:t>
      </w:r>
      <w:r>
        <w:rPr>
          <w:rFonts w:ascii="Arial" w:cs="Arial" w:eastAsia="Arial" w:hAnsi="Arial"/>
          <w:sz w:val="16"/>
          <w:szCs w:val="16"/>
          <w:u w:val="single" w:color="auto"/>
          <w:color w:val="0000FF"/>
          <w:strike w:val="1"/>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89</w:t>
      </w:r>
      <w:r>
        <w:rPr>
          <w:rFonts w:ascii="Arial" w:cs="Arial" w:eastAsia="Arial" w:hAnsi="Arial"/>
          <w:sz w:val="16"/>
          <w:szCs w:val="16"/>
          <w:u w:val="single" w:color="auto"/>
          <w:color w:val="0000FF"/>
          <w:strike w:val="1"/>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89</w:t>
      </w:r>
      <w:r>
        <w:rPr>
          <w:rFonts w:ascii="Arial" w:cs="Arial" w:eastAsia="Arial" w:hAnsi="Arial"/>
          <w:sz w:val="16"/>
          <w:szCs w:val="16"/>
          <w:u w:val="single" w:color="auto"/>
          <w:color w:val="0000FF"/>
          <w:strike w:val="1"/>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89</w:t>
      </w:r>
      <w:r>
        <w:rPr>
          <w:rFonts w:ascii="Arial" w:cs="Arial" w:eastAsia="Arial" w:hAnsi="Arial"/>
          <w:sz w:val="16"/>
          <w:szCs w:val="16"/>
          <w:u w:val="single" w:color="auto"/>
          <w:color w:val="0000FF"/>
          <w:strike w:val="1"/>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89</w:t>
      </w:r>
      <w:r>
        <w:rPr>
          <w:rFonts w:ascii="Arial" w:cs="Arial" w:eastAsia="Arial" w:hAnsi="Arial"/>
          <w:sz w:val="16"/>
          <w:szCs w:val="16"/>
          <w:u w:val="single" w:color="auto"/>
          <w:color w:val="0000FF"/>
          <w:strike w:val="1"/>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89</w:t>
      </w:r>
      <w:r>
        <w:rPr>
          <w:rFonts w:ascii="Arial" w:cs="Arial" w:eastAsia="Arial" w:hAnsi="Arial"/>
          <w:sz w:val="16"/>
          <w:szCs w:val="16"/>
          <w:u w:val="single" w:color="auto"/>
          <w:color w:val="0000FF"/>
          <w:strike w:val="1"/>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91</w:t>
      </w:r>
      <w:r>
        <w:rPr>
          <w:rFonts w:ascii="Arial" w:cs="Arial" w:eastAsia="Arial" w:hAnsi="Arial"/>
          <w:sz w:val="16"/>
          <w:szCs w:val="16"/>
          <w:u w:val="single" w:color="auto"/>
          <w:color w:val="0000FF"/>
          <w:strike w:val="1"/>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92</w:t>
      </w:r>
      <w:r>
        <w:rPr>
          <w:rFonts w:ascii="Arial" w:cs="Arial" w:eastAsia="Arial" w:hAnsi="Arial"/>
          <w:sz w:val="16"/>
          <w:szCs w:val="16"/>
          <w:u w:val="single" w:color="auto"/>
          <w:color w:val="0000FF"/>
          <w:strike w:val="1"/>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92</w:t>
      </w:r>
      <w:r>
        <w:rPr>
          <w:rFonts w:ascii="Arial" w:cs="Arial" w:eastAsia="Arial" w:hAnsi="Arial"/>
          <w:sz w:val="16"/>
          <w:szCs w:val="16"/>
          <w:u w:val="single" w:color="auto"/>
          <w:color w:val="0000FF"/>
          <w:strike w:val="1"/>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12065</wp:posOffset>
            </wp:positionV>
            <wp:extent cx="1117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92</w:t>
      </w:r>
      <w:r>
        <w:rPr>
          <w:rFonts w:ascii="Arial" w:cs="Arial" w:eastAsia="Arial" w:hAnsi="Arial"/>
          <w:sz w:val="16"/>
          <w:szCs w:val="16"/>
          <w:u w:val="single" w:color="auto"/>
          <w:color w:val="0000FF"/>
          <w:strike w:val="1"/>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12065</wp:posOffset>
            </wp:positionV>
            <wp:extent cx="1117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93</w:t>
      </w:r>
      <w:r>
        <w:rPr>
          <w:rFonts w:ascii="Arial" w:cs="Arial" w:eastAsia="Arial" w:hAnsi="Arial"/>
          <w:sz w:val="16"/>
          <w:szCs w:val="16"/>
          <w:u w:val="single" w:color="auto"/>
          <w:color w:val="0000FF"/>
          <w:strike w:val="1"/>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12065</wp:posOffset>
            </wp:positionV>
            <wp:extent cx="1117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93</w:t>
      </w:r>
      <w:r>
        <w:rPr>
          <w:rFonts w:ascii="Arial" w:cs="Arial" w:eastAsia="Arial" w:hAnsi="Arial"/>
          <w:sz w:val="16"/>
          <w:szCs w:val="16"/>
          <w:u w:val="single" w:color="auto"/>
          <w:color w:val="0000FF"/>
          <w:strike w:val="1"/>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12065</wp:posOffset>
            </wp:positionV>
            <wp:extent cx="1117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93</w:t>
      </w:r>
      <w:r>
        <w:rPr>
          <w:rFonts w:ascii="Arial" w:cs="Arial" w:eastAsia="Arial" w:hAnsi="Arial"/>
          <w:sz w:val="16"/>
          <w:szCs w:val="16"/>
          <w:u w:val="single" w:color="auto"/>
          <w:color w:val="0000FF"/>
          <w:strike w:val="1"/>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12065</wp:posOffset>
            </wp:positionV>
            <wp:extent cx="1117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93</w:t>
      </w:r>
      <w:r>
        <w:rPr>
          <w:rFonts w:ascii="Arial" w:cs="Arial" w:eastAsia="Arial" w:hAnsi="Arial"/>
          <w:sz w:val="16"/>
          <w:szCs w:val="16"/>
          <w:u w:val="single" w:color="auto"/>
          <w:color w:val="0000FF"/>
          <w:strike w:val="1"/>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12065</wp:posOffset>
            </wp:positionV>
            <wp:extent cx="1117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94</w:t>
      </w:r>
      <w:r>
        <w:rPr>
          <w:rFonts w:ascii="Arial" w:cs="Arial" w:eastAsia="Arial" w:hAnsi="Arial"/>
          <w:sz w:val="16"/>
          <w:szCs w:val="16"/>
          <w:u w:val="single" w:color="auto"/>
          <w:color w:val="0000FF"/>
          <w:strike w:val="1"/>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12065</wp:posOffset>
            </wp:positionV>
            <wp:extent cx="1117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95</w:t>
      </w:r>
      <w:r>
        <w:rPr>
          <w:rFonts w:ascii="Arial" w:cs="Arial" w:eastAsia="Arial" w:hAnsi="Arial"/>
          <w:sz w:val="16"/>
          <w:szCs w:val="16"/>
          <w:u w:val="single" w:color="auto"/>
          <w:color w:val="0000FF"/>
          <w:strike w:val="1"/>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12065</wp:posOffset>
            </wp:positionV>
            <wp:extent cx="1117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95</w:t>
      </w:r>
      <w:r>
        <w:rPr>
          <w:rFonts w:ascii="Arial" w:cs="Arial" w:eastAsia="Arial" w:hAnsi="Arial"/>
          <w:sz w:val="16"/>
          <w:szCs w:val="16"/>
          <w:u w:val="single" w:color="auto"/>
          <w:color w:val="0000FF"/>
          <w:strike w:val="1"/>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12065</wp:posOffset>
            </wp:positionV>
            <wp:extent cx="1117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96</w:t>
      </w:r>
      <w:r>
        <w:rPr>
          <w:rFonts w:ascii="Arial" w:cs="Arial" w:eastAsia="Arial" w:hAnsi="Arial"/>
          <w:sz w:val="16"/>
          <w:szCs w:val="16"/>
          <w:u w:val="single" w:color="auto"/>
          <w:color w:val="0000FF"/>
          <w:strike w:val="1"/>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12065</wp:posOffset>
            </wp:positionV>
            <wp:extent cx="1117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96</w:t>
      </w:r>
      <w:r>
        <w:rPr>
          <w:rFonts w:ascii="Arial" w:cs="Arial" w:eastAsia="Arial" w:hAnsi="Arial"/>
          <w:sz w:val="16"/>
          <w:szCs w:val="16"/>
          <w:u w:val="single" w:color="auto"/>
          <w:color w:val="0000FF"/>
          <w:strike w:val="1"/>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12065</wp:posOffset>
            </wp:positionV>
            <wp:extent cx="1117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97</w:t>
      </w:r>
      <w:r>
        <w:rPr>
          <w:rFonts w:ascii="Arial" w:cs="Arial" w:eastAsia="Arial" w:hAnsi="Arial"/>
          <w:sz w:val="16"/>
          <w:szCs w:val="16"/>
          <w:u w:val="single" w:color="auto"/>
          <w:color w:val="0000FF"/>
          <w:strike w:val="1"/>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20955</wp:posOffset>
            </wp:positionV>
            <wp:extent cx="1117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97</w:t>
      </w:r>
      <w:r>
        <w:rPr>
          <w:rFonts w:ascii="Arial" w:cs="Arial" w:eastAsia="Arial" w:hAnsi="Arial"/>
          <w:sz w:val="16"/>
          <w:szCs w:val="16"/>
          <w:u w:val="single" w:color="auto"/>
          <w:color w:val="0000FF"/>
          <w:strike w:val="1"/>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12065</wp:posOffset>
            </wp:positionV>
            <wp:extent cx="1117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color w:val="FF0000"/>
          <w:strike w:val="1"/>
        </w:rPr>
        <w:t>98</w:t>
      </w:r>
      <w:r>
        <w:rPr>
          <w:rFonts w:ascii="Arial" w:cs="Arial" w:eastAsia="Arial" w:hAnsi="Arial"/>
          <w:sz w:val="18"/>
          <w:szCs w:val="18"/>
          <w:u w:val="single" w:color="auto"/>
          <w:color w:val="0000FF"/>
          <w:strike w:val="1"/>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6350</wp:posOffset>
            </wp:positionV>
            <wp:extent cx="1714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FF0000"/>
          <w:strike w:val="1"/>
        </w:rPr>
        <w:t>99</w:t>
      </w:r>
      <w:r>
        <w:rPr>
          <w:rFonts w:ascii="Arial" w:cs="Arial" w:eastAsia="Arial" w:hAnsi="Arial"/>
          <w:sz w:val="18"/>
          <w:szCs w:val="18"/>
          <w:u w:val="single" w:color="auto"/>
          <w:color w:val="0000FF"/>
          <w:strike w:val="1"/>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6350</wp:posOffset>
            </wp:positionV>
            <wp:extent cx="1714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100</w:t>
      </w:r>
      <w:r>
        <w:rPr>
          <w:rFonts w:ascii="Arial" w:cs="Arial" w:eastAsia="Arial" w:hAnsi="Arial"/>
          <w:sz w:val="16"/>
          <w:szCs w:val="16"/>
          <w:u w:val="single" w:color="auto"/>
          <w:color w:val="0000FF"/>
          <w:strike w:val="1"/>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12065</wp:posOffset>
            </wp:positionV>
            <wp:extent cx="1714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101</w:t>
      </w:r>
      <w:r>
        <w:rPr>
          <w:rFonts w:ascii="Arial" w:cs="Arial" w:eastAsia="Arial" w:hAnsi="Arial"/>
          <w:sz w:val="16"/>
          <w:szCs w:val="16"/>
          <w:u w:val="single" w:color="auto"/>
          <w:color w:val="0000FF"/>
          <w:strike w:val="1"/>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12065</wp:posOffset>
            </wp:positionV>
            <wp:extent cx="1714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102</w:t>
      </w:r>
      <w:r>
        <w:rPr>
          <w:rFonts w:ascii="Arial" w:cs="Arial" w:eastAsia="Arial" w:hAnsi="Arial"/>
          <w:sz w:val="16"/>
          <w:szCs w:val="16"/>
          <w:u w:val="single" w:color="auto"/>
          <w:color w:val="0000FF"/>
          <w:strike w:val="1"/>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12065</wp:posOffset>
            </wp:positionV>
            <wp:extent cx="1714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102</w:t>
      </w:r>
      <w:r>
        <w:rPr>
          <w:rFonts w:ascii="Arial" w:cs="Arial" w:eastAsia="Arial" w:hAnsi="Arial"/>
          <w:sz w:val="16"/>
          <w:szCs w:val="16"/>
          <w:u w:val="single" w:color="auto"/>
          <w:color w:val="0000FF"/>
          <w:strike w:val="1"/>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12065</wp:posOffset>
            </wp:positionV>
            <wp:extent cx="1714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102</w:t>
      </w:r>
      <w:r>
        <w:rPr>
          <w:rFonts w:ascii="Arial" w:cs="Arial" w:eastAsia="Arial" w:hAnsi="Arial"/>
          <w:sz w:val="16"/>
          <w:szCs w:val="16"/>
          <w:u w:val="single" w:color="auto"/>
          <w:color w:val="0000FF"/>
          <w:strike w:val="1"/>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12065</wp:posOffset>
            </wp:positionV>
            <wp:extent cx="1714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103</w:t>
      </w:r>
      <w:r>
        <w:rPr>
          <w:rFonts w:ascii="Arial" w:cs="Arial" w:eastAsia="Arial" w:hAnsi="Arial"/>
          <w:sz w:val="16"/>
          <w:szCs w:val="16"/>
          <w:u w:val="single" w:color="auto"/>
          <w:color w:val="0000FF"/>
          <w:strike w:val="1"/>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12065</wp:posOffset>
            </wp:positionV>
            <wp:extent cx="1714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103</w:t>
      </w:r>
      <w:r>
        <w:rPr>
          <w:rFonts w:ascii="Arial" w:cs="Arial" w:eastAsia="Arial" w:hAnsi="Arial"/>
          <w:sz w:val="16"/>
          <w:szCs w:val="16"/>
          <w:u w:val="single" w:color="auto"/>
          <w:color w:val="0000FF"/>
          <w:strike w:val="1"/>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12065</wp:posOffset>
            </wp:positionV>
            <wp:extent cx="1714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103</w:t>
      </w:r>
      <w:r>
        <w:rPr>
          <w:rFonts w:ascii="Arial" w:cs="Arial" w:eastAsia="Arial" w:hAnsi="Arial"/>
          <w:sz w:val="16"/>
          <w:szCs w:val="16"/>
          <w:u w:val="single" w:color="auto"/>
          <w:color w:val="0000FF"/>
          <w:strike w:val="1"/>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12065</wp:posOffset>
            </wp:positionV>
            <wp:extent cx="1714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103</w:t>
      </w:r>
      <w:r>
        <w:rPr>
          <w:rFonts w:ascii="Arial" w:cs="Arial" w:eastAsia="Arial" w:hAnsi="Arial"/>
          <w:sz w:val="16"/>
          <w:szCs w:val="16"/>
          <w:u w:val="single" w:color="auto"/>
          <w:color w:val="0000FF"/>
          <w:strike w:val="1"/>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12065</wp:posOffset>
            </wp:positionV>
            <wp:extent cx="1714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2">
            <w:col w:w="9980" w:space="720"/>
            <w:col w:w="540"/>
          </w:cols>
          <w:pgMar w:left="320" w:top="584" w:right="339" w:bottom="0" w:gutter="0" w:footer="0" w:header="0"/>
        </w:sectPr>
      </w:pPr>
    </w:p>
    <w:bookmarkStart w:id="40" w:name="page41"/>
    <w:bookmarkEnd w:id="40"/>
    <w:p>
      <w:pPr>
        <w:spacing w:after="0"/>
        <w:tabs>
          <w:tab w:leader="none" w:pos="1340" w:val="left"/>
          <w:tab w:leader="none" w:pos="10340" w:val="left"/>
        </w:tabs>
        <w:rPr>
          <w:sz w:val="20"/>
          <w:szCs w:val="20"/>
          <w:color w:val="auto"/>
        </w:rPr>
      </w:pPr>
      <w:r>
        <w:rPr>
          <w:rFonts w:ascii="Arial" w:cs="Arial" w:eastAsia="Arial" w:hAnsi="Arial"/>
          <w:sz w:val="18"/>
          <w:szCs w:val="18"/>
          <w:color w:val="auto"/>
        </w:rPr>
        <w:t>Section 7.13</w:t>
      </w:r>
      <w:r>
        <w:rPr>
          <w:sz w:val="20"/>
          <w:szCs w:val="20"/>
          <w:color w:val="auto"/>
        </w:rPr>
        <w:tab/>
      </w:r>
      <w:r>
        <w:rPr>
          <w:rFonts w:ascii="Arial" w:cs="Arial" w:eastAsia="Arial" w:hAnsi="Arial"/>
          <w:sz w:val="18"/>
          <w:szCs w:val="18"/>
          <w:color w:val="auto"/>
        </w:rPr>
        <w:t>Payments on Subordinated Debt</w:t>
      </w:r>
      <w:r>
        <w:rPr>
          <w:sz w:val="20"/>
          <w:szCs w:val="20"/>
          <w:color w:val="auto"/>
        </w:rPr>
        <w:tab/>
      </w:r>
      <w:r>
        <w:rPr>
          <w:rFonts w:ascii="Arial" w:cs="Arial" w:eastAsia="Arial" w:hAnsi="Arial"/>
          <w:sz w:val="16"/>
          <w:szCs w:val="16"/>
          <w:color w:val="FF0000"/>
          <w:strike w:val="1"/>
        </w:rPr>
        <w:t>104</w:t>
      </w:r>
      <w:r>
        <w:rPr>
          <w:rFonts w:ascii="Arial" w:cs="Arial" w:eastAsia="Arial" w:hAnsi="Arial"/>
          <w:sz w:val="16"/>
          <w:szCs w:val="16"/>
          <w:u w:val="single" w:color="auto"/>
          <w:color w:val="0000FF"/>
          <w:strike w:val="1"/>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6750050</wp:posOffset>
            </wp:positionH>
            <wp:positionV relativeFrom="paragraph">
              <wp:posOffset>6350</wp:posOffset>
            </wp:positionV>
            <wp:extent cx="1714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ectPr>
          <w:pgSz w:w="11900" w:h="16838" w:orient="portrait"/>
          <w:cols w:equalWidth="0" w:num="1">
            <w:col w:w="10900"/>
          </w:cols>
          <w:pgMar w:left="660" w:top="125" w:right="339" w:bottom="1440" w:gutter="0" w:footer="0" w:header="0"/>
        </w:sectPr>
      </w:pP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5" w:right="3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rPr>
              <w:t>Section 7.14</w:t>
            </w:r>
          </w:p>
        </w:tc>
        <w:tc>
          <w:tcPr>
            <w:tcW w:w="9200" w:type="dxa"/>
            <w:vAlign w:val="bottom"/>
            <w:gridSpan w:val="7"/>
          </w:tcPr>
          <w:p>
            <w:pPr>
              <w:ind w:left="200"/>
              <w:spacing w:after="0"/>
              <w:rPr>
                <w:sz w:val="20"/>
                <w:szCs w:val="20"/>
                <w:color w:val="auto"/>
              </w:rPr>
            </w:pPr>
            <w:r>
              <w:rPr>
                <w:rFonts w:ascii="Arial" w:cs="Arial" w:eastAsia="Arial" w:hAnsi="Arial"/>
                <w:sz w:val="18"/>
                <w:szCs w:val="18"/>
                <w:color w:val="auto"/>
              </w:rPr>
              <w:t>Government Regulation</w:t>
            </w:r>
          </w:p>
        </w:tc>
        <w:tc>
          <w:tcPr>
            <w:tcW w:w="280" w:type="dxa"/>
            <w:vAlign w:val="bottom"/>
            <w:gridSpan w:val="2"/>
          </w:tcPr>
          <w:p>
            <w:pPr>
              <w:spacing w:after="0"/>
              <w:rPr>
                <w:sz w:val="20"/>
                <w:szCs w:val="20"/>
                <w:color w:val="auto"/>
              </w:rPr>
            </w:pPr>
            <w:r>
              <w:rPr>
                <w:rFonts w:ascii="Arial" w:cs="Arial" w:eastAsia="Arial" w:hAnsi="Arial"/>
                <w:sz w:val="18"/>
                <w:szCs w:val="18"/>
                <w:color w:val="FF0000"/>
                <w:strike w:val="1"/>
                <w:w w:val="86"/>
              </w:rPr>
              <w:t>104</w:t>
            </w: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0000FF"/>
                <w:w w:val="79"/>
              </w:rPr>
              <w:t>107</w:t>
            </w: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7.15</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Hazardous Materials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104</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color w:val="0000FF"/>
                <w:w w:val="79"/>
              </w:rPr>
              <w:t>107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00" w:type="dxa"/>
            <w:vAlign w:val="bottom"/>
            <w:gridSpan w:val="11"/>
          </w:tcPr>
          <w:p>
            <w:pPr>
              <w:spacing w:after="0"/>
              <w:rPr>
                <w:sz w:val="20"/>
                <w:szCs w:val="20"/>
                <w:color w:val="auto"/>
              </w:rPr>
            </w:pPr>
            <w:r>
              <w:rPr>
                <w:rFonts w:ascii="Arial" w:cs="Arial" w:eastAsia="Arial" w:hAnsi="Arial"/>
                <w:sz w:val="18"/>
                <w:szCs w:val="18"/>
                <w:color w:val="auto"/>
              </w:rPr>
              <w:t>ARTICLE 8 EVENTS OF DEFAULT</w:t>
            </w:r>
          </w:p>
        </w:tc>
        <w:tc>
          <w:tcPr>
            <w:tcW w:w="280" w:type="dxa"/>
            <w:vAlign w:val="bottom"/>
            <w:gridSpan w:val="2"/>
          </w:tcPr>
          <w:p>
            <w:pPr>
              <w:spacing w:after="0"/>
              <w:rPr>
                <w:sz w:val="20"/>
                <w:szCs w:val="20"/>
                <w:color w:val="auto"/>
              </w:rPr>
            </w:pPr>
            <w:r>
              <w:rPr>
                <w:rFonts w:ascii="Arial" w:cs="Arial" w:eastAsia="Arial" w:hAnsi="Arial"/>
                <w:sz w:val="18"/>
                <w:szCs w:val="18"/>
                <w:color w:val="FF0000"/>
                <w:strike w:val="1"/>
                <w:w w:val="86"/>
              </w:rPr>
              <w:t>104</w:t>
            </w: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0000FF"/>
                <w:w w:val="79"/>
              </w:rPr>
              <w:t>107</w:t>
            </w: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8.1</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Events of Default</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104</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color w:val="0000FF"/>
                <w:w w:val="79"/>
              </w:rPr>
              <w:t>107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8.2</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Remedies Upon Event of Default</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107</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color w:val="0000FF"/>
                <w:w w:val="79"/>
              </w:rPr>
              <w:t>109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8.3</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Application of Funds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107</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color w:val="0000FF"/>
                <w:w w:val="73"/>
              </w:rPr>
              <w:t>110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00" w:type="dxa"/>
            <w:vAlign w:val="bottom"/>
            <w:gridSpan w:val="11"/>
          </w:tcPr>
          <w:p>
            <w:pPr>
              <w:spacing w:after="0"/>
              <w:rPr>
                <w:sz w:val="20"/>
                <w:szCs w:val="20"/>
                <w:color w:val="auto"/>
              </w:rPr>
            </w:pPr>
            <w:r>
              <w:rPr>
                <w:rFonts w:ascii="Arial" w:cs="Arial" w:eastAsia="Arial" w:hAnsi="Arial"/>
                <w:sz w:val="18"/>
                <w:szCs w:val="18"/>
                <w:color w:val="auto"/>
              </w:rPr>
              <w:t>ARTICLE 9 THE ADMINISTRATIVE AGENT</w:t>
            </w:r>
          </w:p>
        </w:tc>
        <w:tc>
          <w:tcPr>
            <w:tcW w:w="320" w:type="dxa"/>
            <w:vAlign w:val="bottom"/>
            <w:gridSpan w:val="4"/>
          </w:tcPr>
          <w:p>
            <w:pPr>
              <w:ind w:left="20"/>
              <w:spacing w:after="0"/>
              <w:rPr>
                <w:sz w:val="20"/>
                <w:szCs w:val="20"/>
                <w:color w:val="auto"/>
              </w:rPr>
            </w:pPr>
            <w:r>
              <w:rPr>
                <w:rFonts w:ascii="Arial" w:cs="Arial" w:eastAsia="Arial" w:hAnsi="Arial"/>
                <w:sz w:val="18"/>
                <w:szCs w:val="18"/>
                <w:color w:val="FF0000"/>
                <w:strike w:val="1"/>
                <w:w w:val="93"/>
              </w:rPr>
              <w:t>109</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0000FF"/>
                <w:w w:val="70"/>
              </w:rPr>
              <w:t>111</w:t>
            </w: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9.1</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Appointment and Authority</w:t>
            </w:r>
          </w:p>
        </w:tc>
        <w:tc>
          <w:tcPr>
            <w:tcW w:w="300" w:type="dxa"/>
            <w:vAlign w:val="bottom"/>
            <w:gridSpan w:val="3"/>
            <w:vMerge w:val="restart"/>
          </w:tcPr>
          <w:p>
            <w:pPr>
              <w:ind w:left="20"/>
              <w:spacing w:after="0" w:line="196" w:lineRule="exact"/>
              <w:rPr>
                <w:sz w:val="20"/>
                <w:szCs w:val="20"/>
                <w:color w:val="auto"/>
              </w:rPr>
            </w:pPr>
            <w:r>
              <w:rPr>
                <w:rFonts w:ascii="Arial" w:cs="Arial" w:eastAsia="Arial" w:hAnsi="Arial"/>
                <w:sz w:val="18"/>
                <w:szCs w:val="18"/>
                <w:color w:val="FF0000"/>
                <w:strike w:val="1"/>
                <w:w w:val="86"/>
              </w:rPr>
              <w:t>109</w:t>
            </w:r>
          </w:p>
        </w:tc>
        <w:tc>
          <w:tcPr>
            <w:tcW w:w="20" w:type="dxa"/>
            <w:vAlign w:val="bottom"/>
            <w:vMerge w:val="restart"/>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9.2</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Rights as a Lender</w:t>
            </w:r>
          </w:p>
        </w:tc>
        <w:tc>
          <w:tcPr>
            <w:tcW w:w="300" w:type="dxa"/>
            <w:vAlign w:val="bottom"/>
            <w:gridSpan w:val="3"/>
            <w:vMerge w:val="restart"/>
          </w:tcPr>
          <w:p>
            <w:pPr>
              <w:ind w:left="20"/>
              <w:spacing w:after="0" w:line="196" w:lineRule="exact"/>
              <w:rPr>
                <w:sz w:val="20"/>
                <w:szCs w:val="20"/>
                <w:color w:val="auto"/>
              </w:rPr>
            </w:pPr>
            <w:r>
              <w:rPr>
                <w:rFonts w:ascii="Arial" w:cs="Arial" w:eastAsia="Arial" w:hAnsi="Arial"/>
                <w:sz w:val="18"/>
                <w:szCs w:val="18"/>
                <w:color w:val="FF0000"/>
                <w:strike w:val="1"/>
                <w:w w:val="86"/>
              </w:rPr>
              <w:t>109</w:t>
            </w: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9.3</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Exculpatory Provisions</w:t>
            </w:r>
          </w:p>
        </w:tc>
        <w:tc>
          <w:tcPr>
            <w:tcW w:w="300" w:type="dxa"/>
            <w:vAlign w:val="bottom"/>
            <w:gridSpan w:val="3"/>
            <w:vMerge w:val="restart"/>
          </w:tcPr>
          <w:p>
            <w:pPr>
              <w:spacing w:after="0" w:line="196" w:lineRule="exact"/>
              <w:rPr>
                <w:sz w:val="20"/>
                <w:szCs w:val="20"/>
                <w:color w:val="auto"/>
              </w:rPr>
            </w:pPr>
            <w:r>
              <w:rPr>
                <w:rFonts w:ascii="Arial" w:cs="Arial" w:eastAsia="Arial" w:hAnsi="Arial"/>
                <w:sz w:val="18"/>
                <w:szCs w:val="18"/>
                <w:color w:val="FF0000"/>
                <w:strike w:val="1"/>
                <w:w w:val="93"/>
              </w:rPr>
              <w:t>109</w:t>
            </w: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9.4</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Reliance by Administrative Agent</w:t>
            </w:r>
          </w:p>
        </w:tc>
        <w:tc>
          <w:tcPr>
            <w:tcW w:w="300" w:type="dxa"/>
            <w:vAlign w:val="bottom"/>
            <w:gridSpan w:val="3"/>
            <w:vMerge w:val="restart"/>
          </w:tcPr>
          <w:p>
            <w:pPr>
              <w:ind w:left="20"/>
              <w:spacing w:after="0" w:line="196" w:lineRule="exact"/>
              <w:rPr>
                <w:sz w:val="20"/>
                <w:szCs w:val="20"/>
                <w:color w:val="auto"/>
              </w:rPr>
            </w:pPr>
            <w:r>
              <w:rPr>
                <w:rFonts w:ascii="Arial" w:cs="Arial" w:eastAsia="Arial" w:hAnsi="Arial"/>
                <w:sz w:val="18"/>
                <w:szCs w:val="18"/>
                <w:color w:val="FF0000"/>
                <w:strike w:val="1"/>
                <w:w w:val="86"/>
              </w:rPr>
              <w:t>110</w:t>
            </w: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9.5</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Delegation of Duties</w:t>
            </w:r>
          </w:p>
        </w:tc>
        <w:tc>
          <w:tcPr>
            <w:tcW w:w="300" w:type="dxa"/>
            <w:vAlign w:val="bottom"/>
            <w:gridSpan w:val="3"/>
            <w:vMerge w:val="restart"/>
          </w:tcPr>
          <w:p>
            <w:pPr>
              <w:ind w:left="20"/>
              <w:spacing w:after="0" w:line="196" w:lineRule="exact"/>
              <w:rPr>
                <w:sz w:val="20"/>
                <w:szCs w:val="20"/>
                <w:color w:val="auto"/>
              </w:rPr>
            </w:pPr>
            <w:r>
              <w:rPr>
                <w:rFonts w:ascii="Arial" w:cs="Arial" w:eastAsia="Arial" w:hAnsi="Arial"/>
                <w:sz w:val="18"/>
                <w:szCs w:val="18"/>
                <w:color w:val="FF0000"/>
                <w:strike w:val="1"/>
                <w:w w:val="86"/>
              </w:rPr>
              <w:t>110</w:t>
            </w: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9.6</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Resignation of Administrative Agent</w:t>
            </w:r>
          </w:p>
        </w:tc>
        <w:tc>
          <w:tcPr>
            <w:tcW w:w="300" w:type="dxa"/>
            <w:vAlign w:val="bottom"/>
            <w:gridSpan w:val="3"/>
            <w:vMerge w:val="restart"/>
          </w:tcPr>
          <w:p>
            <w:pPr>
              <w:ind w:left="20"/>
              <w:spacing w:after="0" w:line="196" w:lineRule="exact"/>
              <w:rPr>
                <w:sz w:val="20"/>
                <w:szCs w:val="20"/>
                <w:color w:val="auto"/>
              </w:rPr>
            </w:pPr>
            <w:r>
              <w:rPr>
                <w:rFonts w:ascii="Arial" w:cs="Arial" w:eastAsia="Arial" w:hAnsi="Arial"/>
                <w:sz w:val="18"/>
                <w:szCs w:val="18"/>
                <w:color w:val="FF0000"/>
                <w:strike w:val="1"/>
                <w:w w:val="86"/>
              </w:rPr>
              <w:t>110</w:t>
            </w: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9.7</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Non-Reliance on Administrative Agent and Other Lenders</w:t>
            </w:r>
          </w:p>
        </w:tc>
        <w:tc>
          <w:tcPr>
            <w:tcW w:w="300" w:type="dxa"/>
            <w:vAlign w:val="bottom"/>
            <w:gridSpan w:val="3"/>
            <w:vMerge w:val="restart"/>
          </w:tcPr>
          <w:p>
            <w:pPr>
              <w:ind w:left="20"/>
              <w:spacing w:after="0" w:line="196" w:lineRule="exact"/>
              <w:rPr>
                <w:sz w:val="20"/>
                <w:szCs w:val="20"/>
                <w:color w:val="auto"/>
              </w:rPr>
            </w:pPr>
            <w:r>
              <w:rPr>
                <w:rFonts w:ascii="Arial" w:cs="Arial" w:eastAsia="Arial" w:hAnsi="Arial"/>
                <w:sz w:val="18"/>
                <w:szCs w:val="18"/>
                <w:color w:val="FF0000"/>
                <w:strike w:val="1"/>
                <w:w w:val="86"/>
              </w:rPr>
              <w:t>111</w:t>
            </w: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9.8</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No Other Duties, Etc</w:t>
            </w:r>
          </w:p>
        </w:tc>
        <w:tc>
          <w:tcPr>
            <w:tcW w:w="300" w:type="dxa"/>
            <w:vAlign w:val="bottom"/>
            <w:gridSpan w:val="3"/>
            <w:vMerge w:val="restart"/>
          </w:tcPr>
          <w:p>
            <w:pPr>
              <w:ind w:left="20"/>
              <w:spacing w:after="0" w:line="196" w:lineRule="exact"/>
              <w:rPr>
                <w:sz w:val="20"/>
                <w:szCs w:val="20"/>
                <w:color w:val="auto"/>
              </w:rPr>
            </w:pPr>
            <w:r>
              <w:rPr>
                <w:rFonts w:ascii="Arial" w:cs="Arial" w:eastAsia="Arial" w:hAnsi="Arial"/>
                <w:sz w:val="18"/>
                <w:szCs w:val="18"/>
                <w:color w:val="FF0000"/>
                <w:strike w:val="1"/>
                <w:w w:val="86"/>
              </w:rPr>
              <w:t>112</w:t>
            </w: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9.9</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Administrative Agent May File Proofs of Claim</w:t>
            </w:r>
          </w:p>
        </w:tc>
        <w:tc>
          <w:tcPr>
            <w:tcW w:w="300" w:type="dxa"/>
            <w:vAlign w:val="bottom"/>
            <w:gridSpan w:val="3"/>
            <w:vMerge w:val="restart"/>
          </w:tcPr>
          <w:p>
            <w:pPr>
              <w:ind w:left="20"/>
              <w:spacing w:after="0" w:line="196" w:lineRule="exact"/>
              <w:rPr>
                <w:sz w:val="20"/>
                <w:szCs w:val="20"/>
                <w:color w:val="auto"/>
              </w:rPr>
            </w:pPr>
            <w:r>
              <w:rPr>
                <w:rFonts w:ascii="Arial" w:cs="Arial" w:eastAsia="Arial" w:hAnsi="Arial"/>
                <w:sz w:val="18"/>
                <w:szCs w:val="18"/>
                <w:color w:val="FF0000"/>
                <w:strike w:val="1"/>
                <w:w w:val="86"/>
              </w:rPr>
              <w:t>112</w:t>
            </w: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9.10</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Collateral and Guarantee Matters</w:t>
            </w:r>
          </w:p>
        </w:tc>
        <w:tc>
          <w:tcPr>
            <w:tcW w:w="300" w:type="dxa"/>
            <w:vAlign w:val="bottom"/>
            <w:gridSpan w:val="3"/>
            <w:vMerge w:val="restart"/>
          </w:tcPr>
          <w:p>
            <w:pPr>
              <w:ind w:left="20"/>
              <w:spacing w:after="0" w:line="196" w:lineRule="exact"/>
              <w:rPr>
                <w:sz w:val="20"/>
                <w:szCs w:val="20"/>
                <w:color w:val="auto"/>
              </w:rPr>
            </w:pPr>
            <w:r>
              <w:rPr>
                <w:rFonts w:ascii="Arial" w:cs="Arial" w:eastAsia="Arial" w:hAnsi="Arial"/>
                <w:sz w:val="18"/>
                <w:szCs w:val="18"/>
                <w:color w:val="FF0000"/>
                <w:strike w:val="1"/>
                <w:w w:val="86"/>
              </w:rPr>
              <w:t>112</w:t>
            </w: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9.11</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Compliance with Flood Insurance Laws</w:t>
            </w:r>
          </w:p>
        </w:tc>
        <w:tc>
          <w:tcPr>
            <w:tcW w:w="300" w:type="dxa"/>
            <w:vAlign w:val="bottom"/>
            <w:gridSpan w:val="3"/>
            <w:vMerge w:val="restart"/>
          </w:tcPr>
          <w:p>
            <w:pPr>
              <w:ind w:left="20"/>
              <w:spacing w:after="0" w:line="196" w:lineRule="exact"/>
              <w:rPr>
                <w:sz w:val="20"/>
                <w:szCs w:val="20"/>
                <w:color w:val="auto"/>
              </w:rPr>
            </w:pPr>
            <w:r>
              <w:rPr>
                <w:rFonts w:ascii="Arial" w:cs="Arial" w:eastAsia="Arial" w:hAnsi="Arial"/>
                <w:sz w:val="18"/>
                <w:szCs w:val="18"/>
                <w:color w:val="FF0000"/>
                <w:strike w:val="1"/>
                <w:w w:val="86"/>
              </w:rPr>
              <w:t>113</w:t>
            </w: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9.12</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Cash Management Obligations and Swap Agreement Obligations</w:t>
            </w:r>
          </w:p>
        </w:tc>
        <w:tc>
          <w:tcPr>
            <w:tcW w:w="300" w:type="dxa"/>
            <w:vAlign w:val="bottom"/>
            <w:gridSpan w:val="3"/>
            <w:vMerge w:val="restart"/>
          </w:tcPr>
          <w:p>
            <w:pPr>
              <w:ind w:left="20"/>
              <w:spacing w:after="0" w:line="196" w:lineRule="exact"/>
              <w:rPr>
                <w:sz w:val="20"/>
                <w:szCs w:val="20"/>
                <w:color w:val="auto"/>
              </w:rPr>
            </w:pPr>
            <w:r>
              <w:rPr>
                <w:rFonts w:ascii="Arial" w:cs="Arial" w:eastAsia="Arial" w:hAnsi="Arial"/>
                <w:sz w:val="18"/>
                <w:szCs w:val="18"/>
                <w:color w:val="FF0000"/>
                <w:strike w:val="1"/>
                <w:w w:val="86"/>
              </w:rPr>
              <w:t>113</w:t>
            </w: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Section 9.13</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0000FF"/>
              </w:rPr>
              <w:t>Erroneous Payments</w:t>
            </w:r>
          </w:p>
        </w:tc>
        <w:tc>
          <w:tcPr>
            <w:tcW w:w="30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20" w:type="dxa"/>
            <w:vAlign w:val="bottom"/>
          </w:tcPr>
          <w:p>
            <w:pPr>
              <w:jc w:val="right"/>
              <w:spacing w:after="0" w:line="156" w:lineRule="exact"/>
              <w:rPr>
                <w:sz w:val="20"/>
                <w:szCs w:val="20"/>
                <w:color w:val="auto"/>
              </w:rPr>
            </w:pPr>
            <w:r>
              <w:rPr>
                <w:rFonts w:ascii="Arial" w:cs="Arial" w:eastAsia="Arial" w:hAnsi="Arial"/>
                <w:sz w:val="17"/>
                <w:szCs w:val="17"/>
                <w:color w:val="0000FF"/>
                <w:w w:val="70"/>
              </w:rPr>
              <w:t>116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00" w:type="dxa"/>
            <w:vAlign w:val="bottom"/>
            <w:gridSpan w:val="11"/>
          </w:tcPr>
          <w:p>
            <w:pPr>
              <w:spacing w:after="0"/>
              <w:rPr>
                <w:sz w:val="20"/>
                <w:szCs w:val="20"/>
                <w:color w:val="auto"/>
              </w:rPr>
            </w:pPr>
            <w:r>
              <w:rPr>
                <w:rFonts w:ascii="Arial" w:cs="Arial" w:eastAsia="Arial" w:hAnsi="Arial"/>
                <w:sz w:val="18"/>
                <w:szCs w:val="18"/>
                <w:color w:val="auto"/>
              </w:rPr>
              <w:t>ARTICLE 10 MISCELLANEOUS</w:t>
            </w:r>
          </w:p>
        </w:tc>
        <w:tc>
          <w:tcPr>
            <w:tcW w:w="300" w:type="dxa"/>
            <w:vAlign w:val="bottom"/>
            <w:gridSpan w:val="3"/>
          </w:tcPr>
          <w:p>
            <w:pPr>
              <w:ind w:left="20"/>
              <w:spacing w:after="0"/>
              <w:rPr>
                <w:sz w:val="20"/>
                <w:szCs w:val="20"/>
                <w:color w:val="auto"/>
              </w:rPr>
            </w:pPr>
            <w:r>
              <w:rPr>
                <w:rFonts w:ascii="Arial" w:cs="Arial" w:eastAsia="Arial" w:hAnsi="Arial"/>
                <w:sz w:val="18"/>
                <w:szCs w:val="18"/>
                <w:color w:val="FF0000"/>
                <w:strike w:val="1"/>
                <w:w w:val="86"/>
              </w:rPr>
              <w:t>113</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0000FF"/>
                <w:w w:val="73"/>
              </w:rPr>
              <w:t>119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10.1</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Notices</w:t>
            </w:r>
          </w:p>
        </w:tc>
        <w:tc>
          <w:tcPr>
            <w:tcW w:w="300" w:type="dxa"/>
            <w:vAlign w:val="bottom"/>
            <w:gridSpan w:val="3"/>
            <w:vMerge w:val="restart"/>
          </w:tcPr>
          <w:p>
            <w:pPr>
              <w:ind w:left="20"/>
              <w:spacing w:after="0" w:line="196" w:lineRule="exact"/>
              <w:rPr>
                <w:sz w:val="20"/>
                <w:szCs w:val="20"/>
                <w:color w:val="auto"/>
              </w:rPr>
            </w:pPr>
            <w:r>
              <w:rPr>
                <w:rFonts w:ascii="Arial" w:cs="Arial" w:eastAsia="Arial" w:hAnsi="Arial"/>
                <w:sz w:val="18"/>
                <w:szCs w:val="18"/>
                <w:color w:val="FF0000"/>
                <w:strike w:val="1"/>
                <w:w w:val="86"/>
              </w:rPr>
              <w:t>113</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10.2</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Waivers; Amendments</w:t>
            </w:r>
          </w:p>
        </w:tc>
        <w:tc>
          <w:tcPr>
            <w:tcW w:w="28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6"/>
              </w:rPr>
              <w:t>115</w:t>
            </w:r>
          </w:p>
        </w:tc>
        <w:tc>
          <w:tcPr>
            <w:tcW w:w="40" w:type="dxa"/>
            <w:vAlign w:val="bottom"/>
            <w:gridSpan w:val="2"/>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40" w:type="dxa"/>
            <w:vAlign w:val="bottom"/>
            <w:tcBorders>
              <w:bottom w:val="single" w:sz="8" w:color="0000FF"/>
            </w:tcBorders>
            <w:gridSpan w:val="2"/>
            <w:vMerge w:val="continue"/>
          </w:tcPr>
          <w:p>
            <w:pPr>
              <w:spacing w:after="0"/>
              <w:rPr>
                <w:sz w:val="13"/>
                <w:szCs w:val="13"/>
                <w:color w:val="auto"/>
              </w:rPr>
            </w:pPr>
          </w:p>
        </w:tc>
        <w:tc>
          <w:tcPr>
            <w:tcW w:w="22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0"/>
              </w:rPr>
              <w:t>120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10.3</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Expenses; Indemnity; Damage Waiver</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117</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color w:val="0000FF"/>
                <w:w w:val="79"/>
              </w:rPr>
              <w:t>122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3"/>
            <w:vMerge w:val="restart"/>
          </w:tcPr>
          <w:p>
            <w:pPr>
              <w:spacing w:after="0"/>
              <w:rPr>
                <w:sz w:val="20"/>
                <w:szCs w:val="20"/>
                <w:color w:val="auto"/>
              </w:rPr>
            </w:pPr>
            <w:r>
              <w:rPr>
                <w:rFonts w:ascii="Arial" w:cs="Arial" w:eastAsia="Arial" w:hAnsi="Arial"/>
                <w:sz w:val="18"/>
                <w:szCs w:val="18"/>
                <w:color w:val="auto"/>
              </w:rPr>
              <w:t>Section</w:t>
            </w: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9200" w:type="dxa"/>
            <w:vAlign w:val="bottom"/>
            <w:gridSpan w:val="7"/>
            <w:vMerge w:val="restart"/>
          </w:tcPr>
          <w:p>
            <w:pPr>
              <w:ind w:left="200"/>
              <w:spacing w:after="0"/>
              <w:rPr>
                <w:sz w:val="20"/>
                <w:szCs w:val="20"/>
                <w:color w:val="auto"/>
              </w:rPr>
            </w:pPr>
            <w:r>
              <w:rPr>
                <w:rFonts w:ascii="Arial" w:cs="Arial" w:eastAsia="Arial" w:hAnsi="Arial"/>
                <w:sz w:val="18"/>
                <w:szCs w:val="18"/>
                <w:color w:val="auto"/>
              </w:rPr>
              <w:t>Successors and Assigns</w:t>
            </w:r>
          </w:p>
        </w:tc>
        <w:tc>
          <w:tcPr>
            <w:tcW w:w="280" w:type="dxa"/>
            <w:vAlign w:val="bottom"/>
            <w:gridSpan w:val="2"/>
            <w:vMerge w:val="restart"/>
          </w:tcPr>
          <w:p>
            <w:pPr>
              <w:spacing w:after="0"/>
              <w:rPr>
                <w:sz w:val="20"/>
                <w:szCs w:val="20"/>
                <w:color w:val="auto"/>
              </w:rPr>
            </w:pPr>
            <w:r>
              <w:rPr>
                <w:rFonts w:ascii="Arial" w:cs="Arial" w:eastAsia="Arial" w:hAnsi="Arial"/>
                <w:sz w:val="18"/>
                <w:szCs w:val="18"/>
                <w:color w:val="FF0000"/>
                <w:strike w:val="1"/>
                <w:w w:val="86"/>
              </w:rPr>
              <w:t>119</w:t>
            </w:r>
          </w:p>
        </w:tc>
        <w:tc>
          <w:tcPr>
            <w:tcW w:w="2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w w:val="79"/>
              </w:rPr>
              <w:t>124</w:t>
            </w:r>
          </w:p>
        </w:tc>
        <w:tc>
          <w:tcPr>
            <w:tcW w:w="0" w:type="dxa"/>
            <w:vAlign w:val="bottom"/>
          </w:tcPr>
          <w:p>
            <w:pPr>
              <w:spacing w:after="0"/>
              <w:rPr>
                <w:sz w:val="1"/>
                <w:szCs w:val="1"/>
                <w:color w:val="auto"/>
              </w:rPr>
            </w:pPr>
          </w:p>
        </w:tc>
      </w:tr>
      <w:tr>
        <w:trPr>
          <w:trHeight w:val="81"/>
        </w:trPr>
        <w:tc>
          <w:tcPr>
            <w:tcW w:w="1040" w:type="dxa"/>
            <w:vAlign w:val="bottom"/>
            <w:gridSpan w:val="2"/>
            <w:vMerge w:val="restart"/>
          </w:tcPr>
          <w:p>
            <w:pPr>
              <w:ind w:left="34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0" w:type="dxa"/>
            <w:vAlign w:val="bottom"/>
            <w:gridSpan w:val="7"/>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2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continue"/>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104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rPr>
              <w:t>Section</w:t>
            </w:r>
          </w:p>
        </w:tc>
        <w:tc>
          <w:tcPr>
            <w:tcW w:w="9200" w:type="dxa"/>
            <w:vAlign w:val="bottom"/>
            <w:gridSpan w:val="7"/>
            <w:vMerge w:val="restart"/>
          </w:tcPr>
          <w:p>
            <w:pPr>
              <w:ind w:left="200"/>
              <w:spacing w:after="0"/>
              <w:rPr>
                <w:sz w:val="20"/>
                <w:szCs w:val="20"/>
                <w:color w:val="auto"/>
              </w:rPr>
            </w:pPr>
            <w:r>
              <w:rPr>
                <w:rFonts w:ascii="Arial" w:cs="Arial" w:eastAsia="Arial" w:hAnsi="Arial"/>
                <w:sz w:val="18"/>
                <w:szCs w:val="18"/>
                <w:color w:val="auto"/>
              </w:rPr>
              <w:t>Survival</w:t>
            </w:r>
          </w:p>
        </w:tc>
        <w:tc>
          <w:tcPr>
            <w:tcW w:w="280" w:type="dxa"/>
            <w:vAlign w:val="bottom"/>
            <w:gridSpan w:val="2"/>
            <w:vMerge w:val="restart"/>
          </w:tcPr>
          <w:p>
            <w:pPr>
              <w:spacing w:after="0"/>
              <w:rPr>
                <w:sz w:val="20"/>
                <w:szCs w:val="20"/>
                <w:color w:val="auto"/>
              </w:rPr>
            </w:pPr>
            <w:r>
              <w:rPr>
                <w:rFonts w:ascii="Arial" w:cs="Arial" w:eastAsia="Arial" w:hAnsi="Arial"/>
                <w:sz w:val="18"/>
                <w:szCs w:val="18"/>
                <w:color w:val="FF0000"/>
                <w:strike w:val="1"/>
                <w:w w:val="86"/>
              </w:rPr>
              <w:t>122</w:t>
            </w:r>
          </w:p>
        </w:tc>
        <w:tc>
          <w:tcPr>
            <w:tcW w:w="2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w w:val="79"/>
              </w:rPr>
              <w:t>127</w:t>
            </w:r>
          </w:p>
        </w:tc>
        <w:tc>
          <w:tcPr>
            <w:tcW w:w="0" w:type="dxa"/>
            <w:vAlign w:val="bottom"/>
          </w:tcPr>
          <w:p>
            <w:pPr>
              <w:spacing w:after="0"/>
              <w:rPr>
                <w:sz w:val="1"/>
                <w:szCs w:val="1"/>
                <w:color w:val="auto"/>
              </w:rPr>
            </w:pPr>
          </w:p>
        </w:tc>
      </w:tr>
      <w:tr>
        <w:trPr>
          <w:trHeight w:val="81"/>
        </w:trPr>
        <w:tc>
          <w:tcPr>
            <w:tcW w:w="1040" w:type="dxa"/>
            <w:vAlign w:val="bottom"/>
            <w:gridSpan w:val="2"/>
            <w:vMerge w:val="restart"/>
          </w:tcPr>
          <w:p>
            <w:pPr>
              <w:ind w:left="34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0" w:type="dxa"/>
            <w:vAlign w:val="bottom"/>
            <w:gridSpan w:val="7"/>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2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continue"/>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104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rPr>
              <w:t>Section</w:t>
            </w:r>
          </w:p>
        </w:tc>
        <w:tc>
          <w:tcPr>
            <w:tcW w:w="9200" w:type="dxa"/>
            <w:vAlign w:val="bottom"/>
            <w:gridSpan w:val="7"/>
            <w:vMerge w:val="restart"/>
          </w:tcPr>
          <w:p>
            <w:pPr>
              <w:ind w:left="200"/>
              <w:spacing w:after="0"/>
              <w:rPr>
                <w:sz w:val="20"/>
                <w:szCs w:val="20"/>
                <w:color w:val="auto"/>
              </w:rPr>
            </w:pPr>
            <w:r>
              <w:rPr>
                <w:rFonts w:ascii="Arial" w:cs="Arial" w:eastAsia="Arial" w:hAnsi="Arial"/>
                <w:sz w:val="18"/>
                <w:szCs w:val="18"/>
                <w:color w:val="auto"/>
              </w:rPr>
              <w:t>Counterparts; Integration; Effectiveness; Electronic Execution</w:t>
            </w:r>
          </w:p>
        </w:tc>
        <w:tc>
          <w:tcPr>
            <w:tcW w:w="280" w:type="dxa"/>
            <w:vAlign w:val="bottom"/>
            <w:gridSpan w:val="2"/>
            <w:vMerge w:val="restart"/>
          </w:tcPr>
          <w:p>
            <w:pPr>
              <w:spacing w:after="0"/>
              <w:rPr>
                <w:sz w:val="20"/>
                <w:szCs w:val="20"/>
                <w:color w:val="auto"/>
              </w:rPr>
            </w:pPr>
            <w:r>
              <w:rPr>
                <w:rFonts w:ascii="Arial" w:cs="Arial" w:eastAsia="Arial" w:hAnsi="Arial"/>
                <w:sz w:val="18"/>
                <w:szCs w:val="18"/>
                <w:color w:val="FF0000"/>
                <w:strike w:val="1"/>
                <w:w w:val="86"/>
              </w:rPr>
              <w:t>122</w:t>
            </w:r>
          </w:p>
        </w:tc>
        <w:tc>
          <w:tcPr>
            <w:tcW w:w="2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w w:val="79"/>
              </w:rPr>
              <w:t>128</w:t>
            </w:r>
          </w:p>
        </w:tc>
        <w:tc>
          <w:tcPr>
            <w:tcW w:w="0" w:type="dxa"/>
            <w:vAlign w:val="bottom"/>
          </w:tcPr>
          <w:p>
            <w:pPr>
              <w:spacing w:after="0"/>
              <w:rPr>
                <w:sz w:val="1"/>
                <w:szCs w:val="1"/>
                <w:color w:val="auto"/>
              </w:rPr>
            </w:pPr>
          </w:p>
        </w:tc>
      </w:tr>
      <w:tr>
        <w:trPr>
          <w:trHeight w:val="81"/>
        </w:trPr>
        <w:tc>
          <w:tcPr>
            <w:tcW w:w="1040" w:type="dxa"/>
            <w:vAlign w:val="bottom"/>
            <w:gridSpan w:val="2"/>
            <w:vMerge w:val="restart"/>
          </w:tcPr>
          <w:p>
            <w:pPr>
              <w:ind w:left="34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0" w:type="dxa"/>
            <w:vAlign w:val="bottom"/>
            <w:gridSpan w:val="7"/>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2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continue"/>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104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160" w:type="dxa"/>
            <w:vAlign w:val="bottom"/>
            <w:gridSpan w:val="3"/>
          </w:tcPr>
          <w:p>
            <w:pPr>
              <w:spacing w:after="0" w:line="190" w:lineRule="exact"/>
              <w:rPr>
                <w:sz w:val="20"/>
                <w:szCs w:val="20"/>
                <w:color w:val="auto"/>
              </w:rPr>
            </w:pPr>
            <w:r>
              <w:rPr>
                <w:rFonts w:ascii="Arial" w:cs="Arial" w:eastAsia="Arial" w:hAnsi="Arial"/>
                <w:sz w:val="18"/>
                <w:szCs w:val="18"/>
                <w:color w:val="auto"/>
              </w:rPr>
              <w:t>Section 10.7</w:t>
            </w:r>
          </w:p>
        </w:tc>
        <w:tc>
          <w:tcPr>
            <w:tcW w:w="9200" w:type="dxa"/>
            <w:vAlign w:val="bottom"/>
            <w:gridSpan w:val="7"/>
          </w:tcPr>
          <w:p>
            <w:pPr>
              <w:ind w:left="200"/>
              <w:spacing w:after="0" w:line="190" w:lineRule="exact"/>
              <w:rPr>
                <w:sz w:val="20"/>
                <w:szCs w:val="20"/>
                <w:color w:val="auto"/>
              </w:rPr>
            </w:pPr>
            <w:r>
              <w:rPr>
                <w:rFonts w:ascii="Arial" w:cs="Arial" w:eastAsia="Arial" w:hAnsi="Arial"/>
                <w:sz w:val="18"/>
                <w:szCs w:val="18"/>
                <w:color w:val="auto"/>
              </w:rPr>
              <w:t>Severability</w:t>
            </w:r>
          </w:p>
        </w:tc>
        <w:tc>
          <w:tcPr>
            <w:tcW w:w="280" w:type="dxa"/>
            <w:vAlign w:val="bottom"/>
            <w:gridSpan w:val="2"/>
          </w:tcPr>
          <w:p>
            <w:pPr>
              <w:spacing w:after="0" w:line="190" w:lineRule="exact"/>
              <w:rPr>
                <w:sz w:val="20"/>
                <w:szCs w:val="20"/>
                <w:color w:val="auto"/>
              </w:rPr>
            </w:pPr>
            <w:r>
              <w:rPr>
                <w:rFonts w:ascii="Arial" w:cs="Arial" w:eastAsia="Arial" w:hAnsi="Arial"/>
                <w:sz w:val="18"/>
                <w:szCs w:val="18"/>
                <w:color w:val="FF0000"/>
                <w:strike w:val="1"/>
                <w:w w:val="86"/>
              </w:rPr>
              <w:t>123</w:t>
            </w:r>
          </w:p>
        </w:tc>
        <w:tc>
          <w:tcPr>
            <w:tcW w:w="280" w:type="dxa"/>
            <w:vAlign w:val="bottom"/>
            <w:gridSpan w:val="4"/>
          </w:tcPr>
          <w:p>
            <w:pPr>
              <w:jc w:val="right"/>
              <w:ind w:right="20"/>
              <w:spacing w:after="0" w:line="190" w:lineRule="exact"/>
              <w:rPr>
                <w:sz w:val="20"/>
                <w:szCs w:val="20"/>
                <w:color w:val="auto"/>
              </w:rPr>
            </w:pPr>
            <w:r>
              <w:rPr>
                <w:rFonts w:ascii="Arial" w:cs="Arial" w:eastAsia="Arial" w:hAnsi="Arial"/>
                <w:sz w:val="18"/>
                <w:szCs w:val="18"/>
                <w:color w:val="0000FF"/>
                <w:w w:val="79"/>
              </w:rPr>
              <w:t>128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10.8</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Setoff</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123</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color w:val="0000FF"/>
                <w:w w:val="79"/>
              </w:rPr>
              <w:t>128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10.9</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Governing Law; Jurisdiction; Consent to Service of Process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123</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color w:val="0000FF"/>
                <w:w w:val="79"/>
              </w:rPr>
              <w:t>129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10.10</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WAIVER OF JURY TRIAL</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124</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color w:val="0000FF"/>
                <w:w w:val="79"/>
              </w:rPr>
              <w:t>129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10.11</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Payments Set Aside</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124</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color w:val="0000FF"/>
                <w:w w:val="79"/>
              </w:rPr>
              <w:t>130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10.12</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Headings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125</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color w:val="0000FF"/>
                <w:w w:val="79"/>
              </w:rPr>
              <w:t>130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10.13</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Interest Rate Limitation</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125</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color w:val="0000FF"/>
                <w:w w:val="79"/>
              </w:rPr>
              <w:t>130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10.14</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Confidentiality</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125</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color w:val="0000FF"/>
                <w:w w:val="79"/>
              </w:rPr>
              <w:t>130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10.15</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USA PATRIOT Act</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126</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color w:val="0000FF"/>
                <w:w w:val="79"/>
              </w:rPr>
              <w:t>131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10.16</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No Fiduciary Duty</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126</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color w:val="0000FF"/>
                <w:w w:val="79"/>
              </w:rPr>
              <w:t>132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10.17</w:t>
            </w:r>
          </w:p>
        </w:tc>
        <w:tc>
          <w:tcPr>
            <w:tcW w:w="3480" w:type="dxa"/>
            <w:vAlign w:val="bottom"/>
            <w:gridSpan w:val="3"/>
            <w:vMerge w:val="restart"/>
          </w:tcPr>
          <w:p>
            <w:pPr>
              <w:ind w:left="200"/>
              <w:spacing w:after="0" w:line="196" w:lineRule="exact"/>
              <w:rPr>
                <w:sz w:val="20"/>
                <w:szCs w:val="20"/>
                <w:color w:val="auto"/>
              </w:rPr>
            </w:pPr>
            <w:r>
              <w:rPr>
                <w:rFonts w:ascii="Arial" w:cs="Arial" w:eastAsia="Arial" w:hAnsi="Arial"/>
                <w:sz w:val="18"/>
                <w:szCs w:val="18"/>
                <w:color w:val="auto"/>
                <w:w w:val="93"/>
              </w:rPr>
              <w:t>Acknowledgement and Consent to Bail-In of</w:t>
            </w:r>
          </w:p>
        </w:tc>
        <w:tc>
          <w:tcPr>
            <w:tcW w:w="34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88"/>
              </w:rPr>
              <w:t>EEA</w:t>
            </w:r>
          </w:p>
        </w:tc>
        <w:tc>
          <w:tcPr>
            <w:tcW w:w="53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 xml:space="preserve">Affected </w:t>
            </w:r>
            <w:r>
              <w:rPr>
                <w:rFonts w:ascii="Arial" w:cs="Arial" w:eastAsia="Arial" w:hAnsi="Arial"/>
                <w:sz w:val="18"/>
                <w:szCs w:val="18"/>
                <w:color w:val="000000"/>
              </w:rPr>
              <w:t>Financial Institutions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126</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3480" w:type="dxa"/>
            <w:vAlign w:val="bottom"/>
            <w:gridSpan w:val="3"/>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5380" w:type="dxa"/>
            <w:vAlign w:val="bottom"/>
            <w:gridSpan w:val="3"/>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3"/>
          </w:tcPr>
          <w:p>
            <w:pPr>
              <w:jc w:val="right"/>
              <w:spacing w:after="0" w:line="156" w:lineRule="exact"/>
              <w:rPr>
                <w:sz w:val="20"/>
                <w:szCs w:val="20"/>
                <w:color w:val="auto"/>
              </w:rPr>
            </w:pPr>
            <w:r>
              <w:rPr>
                <w:rFonts w:ascii="Arial" w:cs="Arial" w:eastAsia="Arial" w:hAnsi="Arial"/>
                <w:sz w:val="18"/>
                <w:szCs w:val="18"/>
                <w:color w:val="0000FF"/>
                <w:w w:val="79"/>
              </w:rPr>
              <w:t>132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10.18</w:t>
            </w:r>
          </w:p>
        </w:tc>
        <w:tc>
          <w:tcPr>
            <w:tcW w:w="3820" w:type="dxa"/>
            <w:vAlign w:val="bottom"/>
            <w:gridSpan w:val="4"/>
            <w:vMerge w:val="restart"/>
          </w:tcPr>
          <w:p>
            <w:pPr>
              <w:ind w:left="200"/>
              <w:spacing w:after="0" w:line="196" w:lineRule="exact"/>
              <w:rPr>
                <w:sz w:val="20"/>
                <w:szCs w:val="20"/>
                <w:color w:val="auto"/>
              </w:rPr>
            </w:pPr>
            <w:r>
              <w:rPr>
                <w:rFonts w:ascii="Arial" w:cs="Arial" w:eastAsia="Arial" w:hAnsi="Arial"/>
                <w:sz w:val="18"/>
                <w:szCs w:val="18"/>
                <w:color w:val="auto"/>
              </w:rPr>
              <w:t>Certain ERISA Matters</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127</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3820" w:type="dxa"/>
            <w:vAlign w:val="bottom"/>
            <w:gridSpan w:val="4"/>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color w:val="0000FF"/>
                <w:w w:val="79"/>
              </w:rPr>
              <w:t>132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Section 10.19</w:t>
            </w:r>
          </w:p>
        </w:tc>
        <w:tc>
          <w:tcPr>
            <w:tcW w:w="9200" w:type="dxa"/>
            <w:vAlign w:val="bottom"/>
            <w:gridSpan w:val="7"/>
            <w:vMerge w:val="restart"/>
          </w:tcPr>
          <w:p>
            <w:pPr>
              <w:ind w:left="200"/>
              <w:spacing w:after="0" w:line="196" w:lineRule="exact"/>
              <w:rPr>
                <w:sz w:val="20"/>
                <w:szCs w:val="20"/>
                <w:color w:val="auto"/>
              </w:rPr>
            </w:pPr>
            <w:r>
              <w:rPr>
                <w:rFonts w:ascii="Arial" w:cs="Arial" w:eastAsia="Arial" w:hAnsi="Arial"/>
                <w:sz w:val="18"/>
                <w:szCs w:val="18"/>
                <w:color w:val="auto"/>
              </w:rPr>
              <w:t>Acknowledgement Regarding Any Supported QFCs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129</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200" w:type="dxa"/>
            <w:vAlign w:val="bottom"/>
            <w:gridSpan w:val="7"/>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color w:val="0000FF"/>
                <w:w w:val="79"/>
              </w:rPr>
              <w:t>133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gridSpan w:val="4"/>
            <w:vMerge w:val="restart"/>
          </w:tcPr>
          <w:p>
            <w:pPr>
              <w:spacing w:after="0"/>
              <w:rPr>
                <w:sz w:val="20"/>
                <w:szCs w:val="20"/>
                <w:color w:val="auto"/>
              </w:rPr>
            </w:pPr>
            <w:r>
              <w:rPr>
                <w:rFonts w:ascii="Arial" w:cs="Arial" w:eastAsia="Arial" w:hAnsi="Arial"/>
                <w:sz w:val="18"/>
                <w:szCs w:val="18"/>
                <w:color w:val="auto"/>
              </w:rPr>
              <w:t>SCHEDULES:</w:t>
            </w: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0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Schedule 2.1</w:t>
            </w:r>
          </w:p>
        </w:tc>
        <w:tc>
          <w:tcPr>
            <w:tcW w:w="460" w:type="dxa"/>
            <w:vAlign w:val="bottom"/>
            <w:gridSpan w:val="2"/>
          </w:tcPr>
          <w:p>
            <w:pPr>
              <w:spacing w:after="0"/>
              <w:rPr>
                <w:sz w:val="24"/>
                <w:szCs w:val="24"/>
                <w:color w:val="auto"/>
              </w:rPr>
            </w:pPr>
          </w:p>
        </w:tc>
        <w:tc>
          <w:tcPr>
            <w:tcW w:w="9200" w:type="dxa"/>
            <w:vAlign w:val="bottom"/>
            <w:gridSpan w:val="7"/>
          </w:tcPr>
          <w:p>
            <w:pPr>
              <w:ind w:left="200"/>
              <w:spacing w:after="0"/>
              <w:rPr>
                <w:sz w:val="20"/>
                <w:szCs w:val="20"/>
                <w:color w:val="auto"/>
              </w:rPr>
            </w:pPr>
            <w:r>
              <w:rPr>
                <w:rFonts w:ascii="Arial" w:cs="Arial" w:eastAsia="Arial" w:hAnsi="Arial"/>
                <w:sz w:val="18"/>
                <w:szCs w:val="18"/>
                <w:color w:val="auto"/>
              </w:rPr>
              <w:t>Commitments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00" w:type="dxa"/>
            <w:vAlign w:val="bottom"/>
            <w:gridSpan w:val="4"/>
          </w:tcPr>
          <w:p>
            <w:pPr>
              <w:spacing w:after="0"/>
              <w:rPr>
                <w:sz w:val="20"/>
                <w:szCs w:val="20"/>
                <w:color w:val="auto"/>
              </w:rPr>
            </w:pPr>
            <w:r>
              <w:rPr>
                <w:rFonts w:ascii="Arial" w:cs="Arial" w:eastAsia="Arial" w:hAnsi="Arial"/>
                <w:sz w:val="18"/>
                <w:szCs w:val="18"/>
                <w:color w:val="auto"/>
              </w:rPr>
              <w:t>Schedule 2.4</w:t>
            </w:r>
          </w:p>
        </w:tc>
        <w:tc>
          <w:tcPr>
            <w:tcW w:w="9200" w:type="dxa"/>
            <w:vAlign w:val="bottom"/>
            <w:gridSpan w:val="7"/>
          </w:tcPr>
          <w:p>
            <w:pPr>
              <w:ind w:left="200"/>
              <w:spacing w:after="0"/>
              <w:rPr>
                <w:sz w:val="20"/>
                <w:szCs w:val="20"/>
                <w:color w:val="auto"/>
              </w:rPr>
            </w:pPr>
            <w:r>
              <w:rPr>
                <w:rFonts w:ascii="Arial" w:cs="Arial" w:eastAsia="Arial" w:hAnsi="Arial"/>
                <w:sz w:val="18"/>
                <w:szCs w:val="18"/>
                <w:color w:val="auto"/>
              </w:rPr>
              <w:t>Existing Letters of Credit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gridSpan w:val="4"/>
          </w:tcPr>
          <w:p>
            <w:pPr>
              <w:spacing w:after="0"/>
              <w:rPr>
                <w:sz w:val="20"/>
                <w:szCs w:val="20"/>
                <w:color w:val="auto"/>
              </w:rPr>
            </w:pPr>
            <w:r>
              <w:rPr>
                <w:rFonts w:ascii="Arial" w:cs="Arial" w:eastAsia="Arial" w:hAnsi="Arial"/>
                <w:sz w:val="18"/>
                <w:szCs w:val="18"/>
                <w:color w:val="auto"/>
              </w:rPr>
              <w:t>Schedule 4.1(f)</w:t>
            </w:r>
          </w:p>
        </w:tc>
        <w:tc>
          <w:tcPr>
            <w:tcW w:w="9200" w:type="dxa"/>
            <w:vAlign w:val="bottom"/>
            <w:gridSpan w:val="7"/>
          </w:tcPr>
          <w:p>
            <w:pPr>
              <w:ind w:left="200"/>
              <w:spacing w:after="0"/>
              <w:rPr>
                <w:sz w:val="20"/>
                <w:szCs w:val="20"/>
                <w:color w:val="auto"/>
              </w:rPr>
            </w:pPr>
            <w:r>
              <w:rPr>
                <w:rFonts w:ascii="Arial" w:cs="Arial" w:eastAsia="Arial" w:hAnsi="Arial"/>
                <w:sz w:val="18"/>
                <w:szCs w:val="18"/>
                <w:color w:val="auto"/>
              </w:rPr>
              <w:t>Collateral Documents and Related Requirements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gridSpan w:val="4"/>
          </w:tcPr>
          <w:p>
            <w:pPr>
              <w:spacing w:after="0"/>
              <w:rPr>
                <w:sz w:val="20"/>
                <w:szCs w:val="20"/>
                <w:color w:val="auto"/>
              </w:rPr>
            </w:pPr>
            <w:r>
              <w:rPr>
                <w:rFonts w:ascii="Arial" w:cs="Arial" w:eastAsia="Arial" w:hAnsi="Arial"/>
                <w:sz w:val="18"/>
                <w:szCs w:val="18"/>
                <w:color w:val="auto"/>
              </w:rPr>
              <w:t>Schedule 5.6</w:t>
            </w:r>
          </w:p>
        </w:tc>
        <w:tc>
          <w:tcPr>
            <w:tcW w:w="9200" w:type="dxa"/>
            <w:vAlign w:val="bottom"/>
            <w:gridSpan w:val="7"/>
          </w:tcPr>
          <w:p>
            <w:pPr>
              <w:ind w:left="200"/>
              <w:spacing w:after="0"/>
              <w:rPr>
                <w:sz w:val="20"/>
                <w:szCs w:val="20"/>
                <w:color w:val="auto"/>
              </w:rPr>
            </w:pPr>
            <w:r>
              <w:rPr>
                <w:rFonts w:ascii="Arial" w:cs="Arial" w:eastAsia="Arial" w:hAnsi="Arial"/>
                <w:sz w:val="18"/>
                <w:szCs w:val="18"/>
                <w:color w:val="auto"/>
              </w:rPr>
              <w:t>Disclosed Matters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3"/>
              </w:rPr>
              <w:t>Schedule</w:t>
            </w:r>
          </w:p>
        </w:tc>
        <w:tc>
          <w:tcPr>
            <w:tcW w:w="740" w:type="dxa"/>
            <w:vAlign w:val="bottom"/>
            <w:gridSpan w:val="2"/>
          </w:tcPr>
          <w:p>
            <w:pPr>
              <w:spacing w:after="0"/>
              <w:rPr>
                <w:sz w:val="20"/>
                <w:szCs w:val="20"/>
                <w:color w:val="auto"/>
              </w:rPr>
            </w:pPr>
            <w:r>
              <w:rPr>
                <w:rFonts w:ascii="Arial" w:cs="Arial" w:eastAsia="Arial" w:hAnsi="Arial"/>
                <w:sz w:val="18"/>
                <w:szCs w:val="18"/>
                <w:color w:val="auto"/>
              </w:rPr>
              <w:t>5.13</w:t>
            </w:r>
          </w:p>
        </w:tc>
        <w:tc>
          <w:tcPr>
            <w:tcW w:w="9560" w:type="dxa"/>
            <w:vAlign w:val="bottom"/>
          </w:tcPr>
          <w:p>
            <w:pPr>
              <w:ind w:left="240"/>
              <w:spacing w:after="0"/>
              <w:rPr>
                <w:sz w:val="20"/>
                <w:szCs w:val="20"/>
                <w:color w:val="auto"/>
              </w:rPr>
            </w:pPr>
            <w:r>
              <w:rPr>
                <w:rFonts w:ascii="Arial" w:cs="Arial" w:eastAsia="Arial" w:hAnsi="Arial"/>
                <w:sz w:val="18"/>
                <w:szCs w:val="18"/>
                <w:color w:val="auto"/>
              </w:rPr>
              <w:t>Subsidiaries; Equity Interests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3"/>
              </w:rPr>
              <w:t>Schedule</w:t>
            </w:r>
          </w:p>
        </w:tc>
        <w:tc>
          <w:tcPr>
            <w:tcW w:w="740" w:type="dxa"/>
            <w:vAlign w:val="bottom"/>
            <w:gridSpan w:val="2"/>
          </w:tcPr>
          <w:p>
            <w:pPr>
              <w:spacing w:after="0"/>
              <w:rPr>
                <w:sz w:val="20"/>
                <w:szCs w:val="20"/>
                <w:color w:val="auto"/>
              </w:rPr>
            </w:pPr>
            <w:r>
              <w:rPr>
                <w:rFonts w:ascii="Arial" w:cs="Arial" w:eastAsia="Arial" w:hAnsi="Arial"/>
                <w:sz w:val="18"/>
                <w:szCs w:val="18"/>
                <w:color w:val="auto"/>
              </w:rPr>
              <w:t>5.14</w:t>
            </w:r>
          </w:p>
        </w:tc>
        <w:tc>
          <w:tcPr>
            <w:tcW w:w="9560" w:type="dxa"/>
            <w:vAlign w:val="bottom"/>
          </w:tcPr>
          <w:p>
            <w:pPr>
              <w:ind w:left="240"/>
              <w:spacing w:after="0"/>
              <w:rPr>
                <w:sz w:val="20"/>
                <w:szCs w:val="20"/>
                <w:color w:val="auto"/>
              </w:rPr>
            </w:pPr>
            <w:r>
              <w:rPr>
                <w:rFonts w:ascii="Arial" w:cs="Arial" w:eastAsia="Arial" w:hAnsi="Arial"/>
                <w:sz w:val="18"/>
                <w:szCs w:val="18"/>
                <w:color w:val="auto"/>
              </w:rPr>
              <w:t>Insurance</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3"/>
              </w:rPr>
              <w:t>Schedule</w:t>
            </w:r>
          </w:p>
        </w:tc>
        <w:tc>
          <w:tcPr>
            <w:tcW w:w="740" w:type="dxa"/>
            <w:vAlign w:val="bottom"/>
            <w:gridSpan w:val="2"/>
          </w:tcPr>
          <w:p>
            <w:pPr>
              <w:spacing w:after="0"/>
              <w:rPr>
                <w:sz w:val="20"/>
                <w:szCs w:val="20"/>
                <w:color w:val="auto"/>
              </w:rPr>
            </w:pPr>
            <w:r>
              <w:rPr>
                <w:rFonts w:ascii="Arial" w:cs="Arial" w:eastAsia="Arial" w:hAnsi="Arial"/>
                <w:sz w:val="18"/>
                <w:szCs w:val="18"/>
                <w:color w:val="auto"/>
              </w:rPr>
              <w:t>5.16(a)</w:t>
            </w:r>
          </w:p>
        </w:tc>
        <w:tc>
          <w:tcPr>
            <w:tcW w:w="9560" w:type="dxa"/>
            <w:vAlign w:val="bottom"/>
          </w:tcPr>
          <w:p>
            <w:pPr>
              <w:ind w:left="240"/>
              <w:spacing w:after="0"/>
              <w:rPr>
                <w:sz w:val="20"/>
                <w:szCs w:val="20"/>
                <w:color w:val="auto"/>
              </w:rPr>
            </w:pPr>
            <w:r>
              <w:rPr>
                <w:rFonts w:ascii="Arial" w:cs="Arial" w:eastAsia="Arial" w:hAnsi="Arial"/>
                <w:sz w:val="18"/>
                <w:szCs w:val="18"/>
                <w:color w:val="auto"/>
              </w:rPr>
              <w:t>UCC Filing Offices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3"/>
              </w:rPr>
              <w:t>Schedule</w:t>
            </w:r>
          </w:p>
        </w:tc>
        <w:tc>
          <w:tcPr>
            <w:tcW w:w="740" w:type="dxa"/>
            <w:vAlign w:val="bottom"/>
            <w:gridSpan w:val="2"/>
          </w:tcPr>
          <w:p>
            <w:pPr>
              <w:spacing w:after="0"/>
              <w:rPr>
                <w:sz w:val="20"/>
                <w:szCs w:val="20"/>
                <w:color w:val="auto"/>
              </w:rPr>
            </w:pPr>
            <w:r>
              <w:rPr>
                <w:rFonts w:ascii="Arial" w:cs="Arial" w:eastAsia="Arial" w:hAnsi="Arial"/>
                <w:sz w:val="18"/>
                <w:szCs w:val="18"/>
                <w:color w:val="auto"/>
              </w:rPr>
              <w:t>5.16(b)</w:t>
            </w:r>
          </w:p>
        </w:tc>
        <w:tc>
          <w:tcPr>
            <w:tcW w:w="9560" w:type="dxa"/>
            <w:vAlign w:val="bottom"/>
          </w:tcPr>
          <w:p>
            <w:pPr>
              <w:ind w:left="240"/>
              <w:spacing w:after="0"/>
              <w:rPr>
                <w:sz w:val="20"/>
                <w:szCs w:val="20"/>
                <w:color w:val="auto"/>
              </w:rPr>
            </w:pPr>
            <w:r>
              <w:rPr>
                <w:rFonts w:ascii="Arial" w:cs="Arial" w:eastAsia="Arial" w:hAnsi="Arial"/>
                <w:sz w:val="18"/>
                <w:szCs w:val="18"/>
                <w:color w:val="auto"/>
              </w:rPr>
              <w:t>Mortgage Filing Offices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3"/>
              </w:rPr>
              <w:t>Schedule</w:t>
            </w:r>
          </w:p>
        </w:tc>
        <w:tc>
          <w:tcPr>
            <w:tcW w:w="740" w:type="dxa"/>
            <w:vAlign w:val="bottom"/>
            <w:gridSpan w:val="2"/>
          </w:tcPr>
          <w:p>
            <w:pPr>
              <w:spacing w:after="0"/>
              <w:rPr>
                <w:sz w:val="20"/>
                <w:szCs w:val="20"/>
                <w:color w:val="auto"/>
              </w:rPr>
            </w:pPr>
            <w:r>
              <w:rPr>
                <w:rFonts w:ascii="Arial" w:cs="Arial" w:eastAsia="Arial" w:hAnsi="Arial"/>
                <w:sz w:val="18"/>
                <w:szCs w:val="18"/>
                <w:color w:val="auto"/>
              </w:rPr>
              <w:t>5.19</w:t>
            </w:r>
          </w:p>
        </w:tc>
        <w:tc>
          <w:tcPr>
            <w:tcW w:w="9560" w:type="dxa"/>
            <w:vAlign w:val="bottom"/>
          </w:tcPr>
          <w:p>
            <w:pPr>
              <w:ind w:left="240"/>
              <w:spacing w:after="0"/>
              <w:rPr>
                <w:sz w:val="20"/>
                <w:szCs w:val="20"/>
                <w:color w:val="auto"/>
              </w:rPr>
            </w:pPr>
            <w:r>
              <w:rPr>
                <w:rFonts w:ascii="Arial" w:cs="Arial" w:eastAsia="Arial" w:hAnsi="Arial"/>
                <w:sz w:val="18"/>
                <w:szCs w:val="18"/>
                <w:color w:val="auto"/>
              </w:rPr>
              <w:t>Owned Real Property</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3"/>
              </w:rPr>
              <w:t>Schedule</w:t>
            </w:r>
          </w:p>
        </w:tc>
        <w:tc>
          <w:tcPr>
            <w:tcW w:w="740" w:type="dxa"/>
            <w:vAlign w:val="bottom"/>
            <w:gridSpan w:val="2"/>
          </w:tcPr>
          <w:p>
            <w:pPr>
              <w:spacing w:after="0"/>
              <w:rPr>
                <w:sz w:val="20"/>
                <w:szCs w:val="20"/>
                <w:color w:val="auto"/>
              </w:rPr>
            </w:pPr>
            <w:r>
              <w:rPr>
                <w:rFonts w:ascii="Arial" w:cs="Arial" w:eastAsia="Arial" w:hAnsi="Arial"/>
                <w:sz w:val="18"/>
                <w:szCs w:val="18"/>
                <w:color w:val="auto"/>
              </w:rPr>
              <w:t>7.1</w:t>
            </w:r>
          </w:p>
        </w:tc>
        <w:tc>
          <w:tcPr>
            <w:tcW w:w="9560" w:type="dxa"/>
            <w:vAlign w:val="bottom"/>
          </w:tcPr>
          <w:p>
            <w:pPr>
              <w:ind w:left="240"/>
              <w:spacing w:after="0"/>
              <w:rPr>
                <w:sz w:val="20"/>
                <w:szCs w:val="20"/>
                <w:color w:val="auto"/>
              </w:rPr>
            </w:pPr>
            <w:r>
              <w:rPr>
                <w:rFonts w:ascii="Arial" w:cs="Arial" w:eastAsia="Arial" w:hAnsi="Arial"/>
                <w:sz w:val="18"/>
                <w:szCs w:val="18"/>
                <w:color w:val="auto"/>
              </w:rPr>
              <w:t>Existing Indebtedness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3"/>
              </w:rPr>
              <w:t>Schedule</w:t>
            </w:r>
          </w:p>
        </w:tc>
        <w:tc>
          <w:tcPr>
            <w:tcW w:w="740" w:type="dxa"/>
            <w:vAlign w:val="bottom"/>
            <w:gridSpan w:val="2"/>
          </w:tcPr>
          <w:p>
            <w:pPr>
              <w:spacing w:after="0"/>
              <w:rPr>
                <w:sz w:val="20"/>
                <w:szCs w:val="20"/>
                <w:color w:val="auto"/>
              </w:rPr>
            </w:pPr>
            <w:r>
              <w:rPr>
                <w:rFonts w:ascii="Arial" w:cs="Arial" w:eastAsia="Arial" w:hAnsi="Arial"/>
                <w:sz w:val="18"/>
                <w:szCs w:val="18"/>
                <w:color w:val="auto"/>
              </w:rPr>
              <w:t>7.2</w:t>
            </w:r>
          </w:p>
        </w:tc>
        <w:tc>
          <w:tcPr>
            <w:tcW w:w="9560" w:type="dxa"/>
            <w:vAlign w:val="bottom"/>
          </w:tcPr>
          <w:p>
            <w:pPr>
              <w:ind w:left="240"/>
              <w:spacing w:after="0"/>
              <w:rPr>
                <w:sz w:val="20"/>
                <w:szCs w:val="20"/>
                <w:color w:val="auto"/>
              </w:rPr>
            </w:pPr>
            <w:r>
              <w:rPr>
                <w:rFonts w:ascii="Arial" w:cs="Arial" w:eastAsia="Arial" w:hAnsi="Arial"/>
                <w:sz w:val="18"/>
                <w:szCs w:val="18"/>
                <w:color w:val="auto"/>
              </w:rPr>
              <w:t>Existing Liens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3"/>
              </w:rPr>
              <w:t>Schedule</w:t>
            </w:r>
          </w:p>
        </w:tc>
        <w:tc>
          <w:tcPr>
            <w:tcW w:w="740" w:type="dxa"/>
            <w:vAlign w:val="bottom"/>
            <w:gridSpan w:val="2"/>
          </w:tcPr>
          <w:p>
            <w:pPr>
              <w:spacing w:after="0"/>
              <w:rPr>
                <w:sz w:val="20"/>
                <w:szCs w:val="20"/>
                <w:color w:val="auto"/>
              </w:rPr>
            </w:pPr>
            <w:r>
              <w:rPr>
                <w:rFonts w:ascii="Arial" w:cs="Arial" w:eastAsia="Arial" w:hAnsi="Arial"/>
                <w:sz w:val="18"/>
                <w:szCs w:val="18"/>
                <w:color w:val="auto"/>
              </w:rPr>
              <w:t>7.4</w:t>
            </w:r>
          </w:p>
        </w:tc>
        <w:tc>
          <w:tcPr>
            <w:tcW w:w="9560" w:type="dxa"/>
            <w:vAlign w:val="bottom"/>
          </w:tcPr>
          <w:p>
            <w:pPr>
              <w:ind w:left="240"/>
              <w:spacing w:after="0"/>
              <w:rPr>
                <w:sz w:val="20"/>
                <w:szCs w:val="20"/>
                <w:color w:val="auto"/>
              </w:rPr>
            </w:pPr>
            <w:r>
              <w:rPr>
                <w:rFonts w:ascii="Arial" w:cs="Arial" w:eastAsia="Arial" w:hAnsi="Arial"/>
                <w:sz w:val="18"/>
                <w:szCs w:val="18"/>
                <w:color w:val="auto"/>
              </w:rPr>
              <w:t>Existing Investments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3"/>
              </w:rPr>
              <w:t>Schedule</w:t>
            </w:r>
          </w:p>
        </w:tc>
        <w:tc>
          <w:tcPr>
            <w:tcW w:w="740" w:type="dxa"/>
            <w:vAlign w:val="bottom"/>
            <w:gridSpan w:val="2"/>
          </w:tcPr>
          <w:p>
            <w:pPr>
              <w:spacing w:after="0"/>
              <w:rPr>
                <w:sz w:val="20"/>
                <w:szCs w:val="20"/>
                <w:color w:val="auto"/>
              </w:rPr>
            </w:pPr>
            <w:r>
              <w:rPr>
                <w:rFonts w:ascii="Arial" w:cs="Arial" w:eastAsia="Arial" w:hAnsi="Arial"/>
                <w:sz w:val="18"/>
                <w:szCs w:val="18"/>
                <w:color w:val="auto"/>
              </w:rPr>
              <w:t>7.10</w:t>
            </w:r>
          </w:p>
        </w:tc>
        <w:tc>
          <w:tcPr>
            <w:tcW w:w="9560" w:type="dxa"/>
            <w:vAlign w:val="bottom"/>
          </w:tcPr>
          <w:p>
            <w:pPr>
              <w:ind w:left="240"/>
              <w:spacing w:after="0"/>
              <w:rPr>
                <w:sz w:val="20"/>
                <w:szCs w:val="20"/>
                <w:color w:val="auto"/>
              </w:rPr>
            </w:pPr>
            <w:r>
              <w:rPr>
                <w:rFonts w:ascii="Arial" w:cs="Arial" w:eastAsia="Arial" w:hAnsi="Arial"/>
                <w:sz w:val="18"/>
                <w:szCs w:val="18"/>
                <w:color w:val="auto"/>
              </w:rPr>
              <w:t>Existing Restrictions</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w w:val="93"/>
              </w:rPr>
              <w:t>Schedule</w:t>
            </w:r>
          </w:p>
        </w:tc>
        <w:tc>
          <w:tcPr>
            <w:tcW w:w="740" w:type="dxa"/>
            <w:vAlign w:val="bottom"/>
            <w:gridSpan w:val="2"/>
          </w:tcPr>
          <w:p>
            <w:pPr>
              <w:spacing w:after="0"/>
              <w:rPr>
                <w:sz w:val="20"/>
                <w:szCs w:val="20"/>
                <w:color w:val="auto"/>
              </w:rPr>
            </w:pPr>
            <w:r>
              <w:rPr>
                <w:rFonts w:ascii="Arial" w:cs="Arial" w:eastAsia="Arial" w:hAnsi="Arial"/>
                <w:sz w:val="18"/>
                <w:szCs w:val="18"/>
                <w:color w:val="auto"/>
              </w:rPr>
              <w:t>10.1</w:t>
            </w:r>
          </w:p>
        </w:tc>
        <w:tc>
          <w:tcPr>
            <w:tcW w:w="9560" w:type="dxa"/>
            <w:vAlign w:val="bottom"/>
          </w:tcPr>
          <w:p>
            <w:pPr>
              <w:ind w:left="240"/>
              <w:spacing w:after="0"/>
              <w:rPr>
                <w:sz w:val="20"/>
                <w:szCs w:val="20"/>
                <w:color w:val="auto"/>
              </w:rPr>
            </w:pPr>
            <w:r>
              <w:rPr>
                <w:rFonts w:ascii="Arial" w:cs="Arial" w:eastAsia="Arial" w:hAnsi="Arial"/>
                <w:sz w:val="18"/>
                <w:szCs w:val="18"/>
                <w:color w:val="auto"/>
              </w:rPr>
              <w:t>Notice Information</w:t>
            </w:r>
          </w:p>
        </w:tc>
      </w:tr>
      <w:tr>
        <w:trPr>
          <w:trHeight w:val="392"/>
        </w:trPr>
        <w:tc>
          <w:tcPr>
            <w:tcW w:w="146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9560" w:type="dxa"/>
            <w:vAlign w:val="bottom"/>
          </w:tcPr>
          <w:p>
            <w:pPr>
              <w:spacing w:after="0"/>
              <w:rPr>
                <w:sz w:val="24"/>
                <w:szCs w:val="24"/>
                <w:color w:val="auto"/>
              </w:rPr>
            </w:pPr>
          </w:p>
        </w:tc>
      </w:tr>
      <w:tr>
        <w:trPr>
          <w:trHeight w:val="438"/>
        </w:trPr>
        <w:tc>
          <w:tcPr>
            <w:tcW w:w="8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Exhibit A</w:t>
            </w:r>
          </w:p>
        </w:tc>
        <w:tc>
          <w:tcPr>
            <w:tcW w:w="640" w:type="dxa"/>
            <w:vAlign w:val="bottom"/>
          </w:tcPr>
          <w:p>
            <w:pPr>
              <w:spacing w:after="0"/>
              <w:rPr>
                <w:sz w:val="24"/>
                <w:szCs w:val="24"/>
                <w:color w:val="auto"/>
              </w:rPr>
            </w:pPr>
          </w:p>
        </w:tc>
        <w:tc>
          <w:tcPr>
            <w:tcW w:w="9560" w:type="dxa"/>
            <w:vAlign w:val="bottom"/>
          </w:tcPr>
          <w:p>
            <w:pPr>
              <w:ind w:left="28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460" w:type="dxa"/>
            <w:vAlign w:val="bottom"/>
            <w:gridSpan w:val="3"/>
          </w:tcPr>
          <w:p>
            <w:pPr>
              <w:ind w:left="20"/>
              <w:spacing w:after="0"/>
              <w:rPr>
                <w:sz w:val="20"/>
                <w:szCs w:val="20"/>
                <w:color w:val="auto"/>
              </w:rPr>
            </w:pPr>
            <w:r>
              <w:rPr>
                <w:rFonts w:ascii="Arial" w:cs="Arial" w:eastAsia="Arial" w:hAnsi="Arial"/>
                <w:sz w:val="18"/>
                <w:szCs w:val="18"/>
                <w:color w:val="auto"/>
              </w:rPr>
              <w:t>Exhibit B-1</w:t>
            </w:r>
          </w:p>
        </w:tc>
        <w:tc>
          <w:tcPr>
            <w:tcW w:w="9560" w:type="dxa"/>
            <w:vAlign w:val="bottom"/>
          </w:tcPr>
          <w:p>
            <w:pPr>
              <w:ind w:left="280"/>
              <w:spacing w:after="0"/>
              <w:rPr>
                <w:sz w:val="20"/>
                <w:szCs w:val="20"/>
                <w:color w:val="auto"/>
              </w:rPr>
            </w:pPr>
            <w:r>
              <w:rPr>
                <w:rFonts w:ascii="Arial" w:cs="Arial" w:eastAsia="Arial" w:hAnsi="Arial"/>
                <w:sz w:val="18"/>
                <w:szCs w:val="18"/>
                <w:color w:val="auto"/>
              </w:rPr>
              <w:t>Form of Committed Loan Notice</w:t>
            </w:r>
          </w:p>
        </w:tc>
      </w:tr>
      <w:tr>
        <w:trPr>
          <w:trHeight w:val="216"/>
        </w:trPr>
        <w:tc>
          <w:tcPr>
            <w:tcW w:w="1460" w:type="dxa"/>
            <w:vAlign w:val="bottom"/>
            <w:gridSpan w:val="3"/>
          </w:tcPr>
          <w:p>
            <w:pPr>
              <w:ind w:left="20"/>
              <w:spacing w:after="0"/>
              <w:rPr>
                <w:sz w:val="20"/>
                <w:szCs w:val="20"/>
                <w:color w:val="auto"/>
              </w:rPr>
            </w:pPr>
            <w:r>
              <w:rPr>
                <w:rFonts w:ascii="Arial" w:cs="Arial" w:eastAsia="Arial" w:hAnsi="Arial"/>
                <w:sz w:val="18"/>
                <w:szCs w:val="18"/>
                <w:color w:val="auto"/>
              </w:rPr>
              <w:t>Exhibit B-2</w:t>
            </w:r>
          </w:p>
        </w:tc>
        <w:tc>
          <w:tcPr>
            <w:tcW w:w="9560" w:type="dxa"/>
            <w:vAlign w:val="bottom"/>
          </w:tcPr>
          <w:p>
            <w:pPr>
              <w:ind w:left="280"/>
              <w:spacing w:after="0"/>
              <w:rPr>
                <w:sz w:val="20"/>
                <w:szCs w:val="20"/>
                <w:color w:val="auto"/>
              </w:rPr>
            </w:pPr>
            <w:r>
              <w:rPr>
                <w:rFonts w:ascii="Arial" w:cs="Arial" w:eastAsia="Arial" w:hAnsi="Arial"/>
                <w:sz w:val="18"/>
                <w:szCs w:val="18"/>
                <w:color w:val="auto"/>
              </w:rPr>
              <w:t>Form of Swingline Loan Notice</w:t>
            </w:r>
          </w:p>
        </w:tc>
      </w:tr>
      <w:tr>
        <w:trPr>
          <w:trHeight w:val="216"/>
        </w:trPr>
        <w:tc>
          <w:tcPr>
            <w:tcW w:w="1460" w:type="dxa"/>
            <w:vAlign w:val="bottom"/>
            <w:gridSpan w:val="3"/>
          </w:tcPr>
          <w:p>
            <w:pPr>
              <w:ind w:left="20"/>
              <w:spacing w:after="0"/>
              <w:rPr>
                <w:sz w:val="20"/>
                <w:szCs w:val="20"/>
                <w:color w:val="auto"/>
              </w:rPr>
            </w:pPr>
            <w:r>
              <w:rPr>
                <w:rFonts w:ascii="Arial" w:cs="Arial" w:eastAsia="Arial" w:hAnsi="Arial"/>
                <w:sz w:val="18"/>
                <w:szCs w:val="18"/>
                <w:color w:val="auto"/>
              </w:rPr>
              <w:t>Exhibit C-1</w:t>
            </w:r>
          </w:p>
        </w:tc>
        <w:tc>
          <w:tcPr>
            <w:tcW w:w="9560" w:type="dxa"/>
            <w:vAlign w:val="bottom"/>
          </w:tcPr>
          <w:p>
            <w:pPr>
              <w:ind w:left="280"/>
              <w:spacing w:after="0"/>
              <w:rPr>
                <w:sz w:val="20"/>
                <w:szCs w:val="20"/>
                <w:color w:val="auto"/>
              </w:rPr>
            </w:pPr>
            <w:r>
              <w:rPr>
                <w:rFonts w:ascii="Arial" w:cs="Arial" w:eastAsia="Arial" w:hAnsi="Arial"/>
                <w:sz w:val="18"/>
                <w:szCs w:val="18"/>
                <w:color w:val="auto"/>
              </w:rPr>
              <w:t>Form of Revolving Loan Note</w:t>
            </w:r>
          </w:p>
        </w:tc>
      </w:tr>
      <w:tr>
        <w:trPr>
          <w:trHeight w:val="216"/>
        </w:trPr>
        <w:tc>
          <w:tcPr>
            <w:tcW w:w="1460" w:type="dxa"/>
            <w:vAlign w:val="bottom"/>
            <w:gridSpan w:val="3"/>
          </w:tcPr>
          <w:p>
            <w:pPr>
              <w:ind w:left="20"/>
              <w:spacing w:after="0"/>
              <w:rPr>
                <w:sz w:val="20"/>
                <w:szCs w:val="20"/>
                <w:color w:val="auto"/>
              </w:rPr>
            </w:pPr>
            <w:r>
              <w:rPr>
                <w:rFonts w:ascii="Arial" w:cs="Arial" w:eastAsia="Arial" w:hAnsi="Arial"/>
                <w:sz w:val="18"/>
                <w:szCs w:val="18"/>
                <w:color w:val="auto"/>
              </w:rPr>
              <w:t>Exhibit C-2</w:t>
            </w:r>
          </w:p>
        </w:tc>
        <w:tc>
          <w:tcPr>
            <w:tcW w:w="9560" w:type="dxa"/>
            <w:vAlign w:val="bottom"/>
          </w:tcPr>
          <w:p>
            <w:pPr>
              <w:ind w:left="280"/>
              <w:spacing w:after="0"/>
              <w:rPr>
                <w:sz w:val="20"/>
                <w:szCs w:val="20"/>
                <w:color w:val="auto"/>
              </w:rPr>
            </w:pPr>
            <w:r>
              <w:rPr>
                <w:rFonts w:ascii="Arial" w:cs="Arial" w:eastAsia="Arial" w:hAnsi="Arial"/>
                <w:sz w:val="18"/>
                <w:szCs w:val="18"/>
                <w:color w:val="auto"/>
              </w:rPr>
              <w:t>Form of Term Loan Note</w:t>
            </w:r>
          </w:p>
        </w:tc>
      </w:tr>
      <w:tr>
        <w:trPr>
          <w:trHeight w:val="216"/>
        </w:trPr>
        <w:tc>
          <w:tcPr>
            <w:tcW w:w="1460" w:type="dxa"/>
            <w:vAlign w:val="bottom"/>
            <w:gridSpan w:val="3"/>
          </w:tcPr>
          <w:p>
            <w:pPr>
              <w:ind w:left="20"/>
              <w:spacing w:after="0"/>
              <w:rPr>
                <w:sz w:val="20"/>
                <w:szCs w:val="20"/>
                <w:color w:val="auto"/>
              </w:rPr>
            </w:pPr>
            <w:r>
              <w:rPr>
                <w:rFonts w:ascii="Arial" w:cs="Arial" w:eastAsia="Arial" w:hAnsi="Arial"/>
                <w:sz w:val="18"/>
                <w:szCs w:val="18"/>
                <w:color w:val="auto"/>
              </w:rPr>
              <w:t>Exhibit C-3</w:t>
            </w:r>
          </w:p>
        </w:tc>
        <w:tc>
          <w:tcPr>
            <w:tcW w:w="9560" w:type="dxa"/>
            <w:vAlign w:val="bottom"/>
          </w:tcPr>
          <w:p>
            <w:pPr>
              <w:ind w:left="280"/>
              <w:spacing w:after="0"/>
              <w:rPr>
                <w:sz w:val="20"/>
                <w:szCs w:val="20"/>
                <w:color w:val="auto"/>
              </w:rPr>
            </w:pPr>
            <w:r>
              <w:rPr>
                <w:rFonts w:ascii="Arial" w:cs="Arial" w:eastAsia="Arial" w:hAnsi="Arial"/>
                <w:sz w:val="18"/>
                <w:szCs w:val="18"/>
                <w:color w:val="auto"/>
              </w:rPr>
              <w:t>Form of Swingline Loan Note</w:t>
            </w:r>
          </w:p>
        </w:tc>
      </w:tr>
      <w:tr>
        <w:trPr>
          <w:trHeight w:val="216"/>
        </w:trPr>
        <w:tc>
          <w:tcPr>
            <w:tcW w:w="1460" w:type="dxa"/>
            <w:vAlign w:val="bottom"/>
            <w:gridSpan w:val="3"/>
          </w:tcPr>
          <w:p>
            <w:pPr>
              <w:ind w:left="20"/>
              <w:spacing w:after="0"/>
              <w:rPr>
                <w:sz w:val="20"/>
                <w:szCs w:val="20"/>
                <w:color w:val="auto"/>
              </w:rPr>
            </w:pPr>
            <w:r>
              <w:rPr>
                <w:rFonts w:ascii="Arial" w:cs="Arial" w:eastAsia="Arial" w:hAnsi="Arial"/>
                <w:sz w:val="18"/>
                <w:szCs w:val="18"/>
                <w:color w:val="auto"/>
              </w:rPr>
              <w:t>Exhibit D</w:t>
            </w:r>
          </w:p>
        </w:tc>
        <w:tc>
          <w:tcPr>
            <w:tcW w:w="9560" w:type="dxa"/>
            <w:vAlign w:val="bottom"/>
          </w:tcPr>
          <w:p>
            <w:pPr>
              <w:ind w:left="28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720" w:type="dxa"/>
            <w:vAlign w:val="bottom"/>
          </w:tcPr>
          <w:p>
            <w:pPr>
              <w:ind w:left="20"/>
              <w:spacing w:after="0"/>
              <w:rPr>
                <w:sz w:val="20"/>
                <w:szCs w:val="20"/>
                <w:color w:val="auto"/>
              </w:rPr>
            </w:pPr>
            <w:r>
              <w:rPr>
                <w:rFonts w:ascii="Arial" w:cs="Arial" w:eastAsia="Arial" w:hAnsi="Arial"/>
                <w:sz w:val="18"/>
                <w:szCs w:val="18"/>
                <w:color w:val="auto"/>
                <w:w w:val="95"/>
              </w:rPr>
              <w:t>Exhibit 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60" w:type="dxa"/>
            <w:vAlign w:val="bottom"/>
          </w:tcPr>
          <w:p>
            <w:pPr>
              <w:ind w:left="280"/>
              <w:spacing w:after="0"/>
              <w:rPr>
                <w:sz w:val="20"/>
                <w:szCs w:val="20"/>
                <w:color w:val="auto"/>
              </w:rPr>
            </w:pPr>
            <w:r>
              <w:rPr>
                <w:rFonts w:ascii="Arial" w:cs="Arial" w:eastAsia="Arial" w:hAnsi="Arial"/>
                <w:sz w:val="18"/>
                <w:szCs w:val="18"/>
                <w:color w:val="auto"/>
              </w:rPr>
              <w:t>Form of Closing Certificate</w:t>
            </w:r>
          </w:p>
        </w:tc>
      </w:tr>
      <w:tr>
        <w:trPr>
          <w:trHeight w:val="216"/>
        </w:trPr>
        <w:tc>
          <w:tcPr>
            <w:tcW w:w="720" w:type="dxa"/>
            <w:vAlign w:val="bottom"/>
          </w:tcPr>
          <w:p>
            <w:pPr>
              <w:ind w:left="20"/>
              <w:spacing w:after="0"/>
              <w:rPr>
                <w:sz w:val="20"/>
                <w:szCs w:val="20"/>
                <w:color w:val="auto"/>
              </w:rPr>
            </w:pPr>
            <w:r>
              <w:rPr>
                <w:rFonts w:ascii="Arial" w:cs="Arial" w:eastAsia="Arial" w:hAnsi="Arial"/>
                <w:sz w:val="18"/>
                <w:szCs w:val="18"/>
                <w:color w:val="auto"/>
                <w:w w:val="97"/>
              </w:rPr>
              <w:t>Exhibit F</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60" w:type="dxa"/>
            <w:vAlign w:val="bottom"/>
          </w:tcPr>
          <w:p>
            <w:pPr>
              <w:ind w:left="280"/>
              <w:spacing w:after="0"/>
              <w:rPr>
                <w:sz w:val="20"/>
                <w:szCs w:val="20"/>
                <w:color w:val="auto"/>
              </w:rPr>
            </w:pPr>
            <w:r>
              <w:rPr>
                <w:rFonts w:ascii="Arial" w:cs="Arial" w:eastAsia="Arial" w:hAnsi="Arial"/>
                <w:sz w:val="18"/>
                <w:szCs w:val="18"/>
                <w:color w:val="auto"/>
              </w:rPr>
              <w:t>Form of Subsidiary Joinder Agreement</w:t>
            </w:r>
          </w:p>
        </w:tc>
      </w:tr>
      <w:tr>
        <w:trPr>
          <w:trHeight w:val="216"/>
        </w:trPr>
        <w:tc>
          <w:tcPr>
            <w:tcW w:w="1460" w:type="dxa"/>
            <w:vAlign w:val="bottom"/>
            <w:gridSpan w:val="3"/>
          </w:tcPr>
          <w:p>
            <w:pPr>
              <w:ind w:left="20"/>
              <w:spacing w:after="0"/>
              <w:rPr>
                <w:sz w:val="20"/>
                <w:szCs w:val="20"/>
                <w:color w:val="auto"/>
              </w:rPr>
            </w:pPr>
            <w:r>
              <w:rPr>
                <w:rFonts w:ascii="Arial" w:cs="Arial" w:eastAsia="Arial" w:hAnsi="Arial"/>
                <w:sz w:val="18"/>
                <w:szCs w:val="18"/>
                <w:color w:val="auto"/>
              </w:rPr>
              <w:t>Exhibit G-1</w:t>
            </w:r>
          </w:p>
        </w:tc>
        <w:tc>
          <w:tcPr>
            <w:tcW w:w="9560" w:type="dxa"/>
            <w:vAlign w:val="bottom"/>
          </w:tcPr>
          <w:p>
            <w:pPr>
              <w:ind w:left="280"/>
              <w:spacing w:after="0"/>
              <w:rPr>
                <w:sz w:val="20"/>
                <w:szCs w:val="20"/>
                <w:color w:val="auto"/>
              </w:rPr>
            </w:pPr>
            <w:r>
              <w:rPr>
                <w:rFonts w:ascii="Arial" w:cs="Arial" w:eastAsia="Arial" w:hAnsi="Arial"/>
                <w:sz w:val="18"/>
                <w:szCs w:val="18"/>
                <w:color w:val="auto"/>
                <w:w w:val="90"/>
              </w:rPr>
              <w:t>Form of U.S. Tax Compliance Certificate For Foreign Lenders That Are Not Partnerships For U.S. Federal Income Tax Purposes</w:t>
            </w:r>
          </w:p>
        </w:tc>
      </w:tr>
      <w:tr>
        <w:trPr>
          <w:trHeight w:val="216"/>
        </w:trPr>
        <w:tc>
          <w:tcPr>
            <w:tcW w:w="1460" w:type="dxa"/>
            <w:vAlign w:val="bottom"/>
            <w:gridSpan w:val="3"/>
          </w:tcPr>
          <w:p>
            <w:pPr>
              <w:ind w:left="20"/>
              <w:spacing w:after="0"/>
              <w:rPr>
                <w:sz w:val="20"/>
                <w:szCs w:val="20"/>
                <w:color w:val="auto"/>
              </w:rPr>
            </w:pPr>
            <w:r>
              <w:rPr>
                <w:rFonts w:ascii="Arial" w:cs="Arial" w:eastAsia="Arial" w:hAnsi="Arial"/>
                <w:sz w:val="18"/>
                <w:szCs w:val="18"/>
                <w:color w:val="auto"/>
              </w:rPr>
              <w:t>Exhibit G-2</w:t>
            </w:r>
          </w:p>
        </w:tc>
        <w:tc>
          <w:tcPr>
            <w:tcW w:w="9560" w:type="dxa"/>
            <w:vAlign w:val="bottom"/>
          </w:tcPr>
          <w:p>
            <w:pPr>
              <w:ind w:left="280"/>
              <w:spacing w:after="0"/>
              <w:rPr>
                <w:sz w:val="20"/>
                <w:szCs w:val="20"/>
                <w:color w:val="auto"/>
              </w:rPr>
            </w:pPr>
            <w:r>
              <w:rPr>
                <w:rFonts w:ascii="Arial" w:cs="Arial" w:eastAsia="Arial" w:hAnsi="Arial"/>
                <w:sz w:val="18"/>
                <w:szCs w:val="18"/>
                <w:color w:val="auto"/>
                <w:w w:val="95"/>
              </w:rPr>
              <w:t>Form of U.S. Tax Compliance Certificate For Foreign Participants That Are Not Partnerships For U.S. Federal Income Tax</w:t>
            </w: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60" w:type="dxa"/>
            <w:vAlign w:val="bottom"/>
          </w:tcPr>
          <w:p>
            <w:pPr>
              <w:ind w:left="260"/>
              <w:spacing w:after="0"/>
              <w:rPr>
                <w:sz w:val="20"/>
                <w:szCs w:val="20"/>
                <w:color w:val="auto"/>
              </w:rPr>
            </w:pPr>
            <w:r>
              <w:rPr>
                <w:rFonts w:ascii="Arial" w:cs="Arial" w:eastAsia="Arial" w:hAnsi="Arial"/>
                <w:sz w:val="18"/>
                <w:szCs w:val="18"/>
                <w:color w:val="auto"/>
              </w:rPr>
              <w:t>Purposes</w:t>
            </w:r>
          </w:p>
        </w:tc>
      </w:tr>
      <w:tr>
        <w:trPr>
          <w:trHeight w:val="216"/>
        </w:trPr>
        <w:tc>
          <w:tcPr>
            <w:tcW w:w="1460" w:type="dxa"/>
            <w:vAlign w:val="bottom"/>
            <w:gridSpan w:val="3"/>
          </w:tcPr>
          <w:p>
            <w:pPr>
              <w:ind w:left="20"/>
              <w:spacing w:after="0"/>
              <w:rPr>
                <w:sz w:val="20"/>
                <w:szCs w:val="20"/>
                <w:color w:val="auto"/>
              </w:rPr>
            </w:pPr>
            <w:r>
              <w:rPr>
                <w:rFonts w:ascii="Arial" w:cs="Arial" w:eastAsia="Arial" w:hAnsi="Arial"/>
                <w:sz w:val="18"/>
                <w:szCs w:val="18"/>
                <w:color w:val="auto"/>
              </w:rPr>
              <w:t>Exhibit G-3</w:t>
            </w:r>
          </w:p>
        </w:tc>
        <w:tc>
          <w:tcPr>
            <w:tcW w:w="9560" w:type="dxa"/>
            <w:vAlign w:val="bottom"/>
          </w:tcPr>
          <w:p>
            <w:pPr>
              <w:ind w:left="280"/>
              <w:spacing w:after="0"/>
              <w:rPr>
                <w:sz w:val="20"/>
                <w:szCs w:val="20"/>
                <w:color w:val="auto"/>
              </w:rPr>
            </w:pPr>
            <w:r>
              <w:rPr>
                <w:rFonts w:ascii="Arial" w:cs="Arial" w:eastAsia="Arial" w:hAnsi="Arial"/>
                <w:sz w:val="18"/>
                <w:szCs w:val="18"/>
                <w:color w:val="auto"/>
                <w:w w:val="90"/>
              </w:rPr>
              <w:t>Form of U.S. Tax Compliance Certificate For Foreign Participants That Are Partnerships For U.S. Federal Income Tax Purposes</w:t>
            </w:r>
          </w:p>
        </w:tc>
      </w:tr>
      <w:tr>
        <w:trPr>
          <w:trHeight w:val="216"/>
        </w:trPr>
        <w:tc>
          <w:tcPr>
            <w:tcW w:w="1460" w:type="dxa"/>
            <w:vAlign w:val="bottom"/>
            <w:gridSpan w:val="3"/>
          </w:tcPr>
          <w:p>
            <w:pPr>
              <w:ind w:left="20"/>
              <w:spacing w:after="0"/>
              <w:rPr>
                <w:sz w:val="20"/>
                <w:szCs w:val="20"/>
                <w:color w:val="auto"/>
              </w:rPr>
            </w:pPr>
            <w:r>
              <w:rPr>
                <w:rFonts w:ascii="Arial" w:cs="Arial" w:eastAsia="Arial" w:hAnsi="Arial"/>
                <w:sz w:val="18"/>
                <w:szCs w:val="18"/>
                <w:color w:val="auto"/>
              </w:rPr>
              <w:t>Exhibit G-4</w:t>
            </w:r>
          </w:p>
        </w:tc>
        <w:tc>
          <w:tcPr>
            <w:tcW w:w="9560" w:type="dxa"/>
            <w:vAlign w:val="bottom"/>
          </w:tcPr>
          <w:p>
            <w:pPr>
              <w:ind w:left="280"/>
              <w:spacing w:after="0"/>
              <w:rPr>
                <w:sz w:val="20"/>
                <w:szCs w:val="20"/>
                <w:color w:val="auto"/>
              </w:rPr>
            </w:pPr>
            <w:r>
              <w:rPr>
                <w:rFonts w:ascii="Arial" w:cs="Arial" w:eastAsia="Arial" w:hAnsi="Arial"/>
                <w:sz w:val="18"/>
                <w:szCs w:val="18"/>
                <w:color w:val="auto"/>
                <w:w w:val="93"/>
              </w:rPr>
              <w:t>Form of U.S. Tax Compliance Certificate For Foreign Lenders That Are Partnerships For U.S. Federal Income Tax Purposes</w:t>
            </w:r>
          </w:p>
        </w:tc>
      </w:tr>
      <w:tr>
        <w:trPr>
          <w:trHeight w:val="216"/>
        </w:trPr>
        <w:tc>
          <w:tcPr>
            <w:tcW w:w="1460" w:type="dxa"/>
            <w:vAlign w:val="bottom"/>
            <w:gridSpan w:val="3"/>
          </w:tcPr>
          <w:p>
            <w:pPr>
              <w:ind w:left="20"/>
              <w:spacing w:after="0"/>
              <w:rPr>
                <w:sz w:val="20"/>
                <w:szCs w:val="20"/>
                <w:color w:val="auto"/>
              </w:rPr>
            </w:pPr>
            <w:r>
              <w:rPr>
                <w:rFonts w:ascii="Arial" w:cs="Arial" w:eastAsia="Arial" w:hAnsi="Arial"/>
                <w:sz w:val="18"/>
                <w:szCs w:val="18"/>
                <w:color w:val="auto"/>
              </w:rPr>
              <w:t>Exhibit H</w:t>
            </w:r>
          </w:p>
        </w:tc>
        <w:tc>
          <w:tcPr>
            <w:tcW w:w="9560" w:type="dxa"/>
            <w:vAlign w:val="bottom"/>
          </w:tcPr>
          <w:p>
            <w:pPr>
              <w:ind w:left="280"/>
              <w:spacing w:after="0"/>
              <w:rPr>
                <w:sz w:val="20"/>
                <w:szCs w:val="20"/>
                <w:color w:val="auto"/>
              </w:rPr>
            </w:pPr>
            <w:r>
              <w:rPr>
                <w:rFonts w:ascii="Arial" w:cs="Arial" w:eastAsia="Arial" w:hAnsi="Arial"/>
                <w:sz w:val="18"/>
                <w:szCs w:val="18"/>
                <w:color w:val="auto"/>
              </w:rPr>
              <w:t>Form of Master Intercompany Note</w:t>
            </w:r>
          </w:p>
        </w:tc>
      </w:tr>
      <w:tr>
        <w:trPr>
          <w:trHeight w:val="216"/>
        </w:trPr>
        <w:tc>
          <w:tcPr>
            <w:tcW w:w="720" w:type="dxa"/>
            <w:vAlign w:val="bottom"/>
          </w:tcPr>
          <w:p>
            <w:pPr>
              <w:ind w:left="20"/>
              <w:spacing w:after="0"/>
              <w:rPr>
                <w:sz w:val="20"/>
                <w:szCs w:val="20"/>
                <w:color w:val="auto"/>
              </w:rPr>
            </w:pPr>
            <w:r>
              <w:rPr>
                <w:rFonts w:ascii="Arial" w:cs="Arial" w:eastAsia="Arial" w:hAnsi="Arial"/>
                <w:sz w:val="18"/>
                <w:szCs w:val="18"/>
                <w:color w:val="auto"/>
              </w:rPr>
              <w:t>Exhibit I</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60" w:type="dxa"/>
            <w:vAlign w:val="bottom"/>
          </w:tcPr>
          <w:p>
            <w:pPr>
              <w:ind w:left="280"/>
              <w:spacing w:after="0"/>
              <w:rPr>
                <w:sz w:val="20"/>
                <w:szCs w:val="20"/>
                <w:color w:val="auto"/>
              </w:rPr>
            </w:pPr>
            <w:r>
              <w:rPr>
                <w:rFonts w:ascii="Arial" w:cs="Arial" w:eastAsia="Arial" w:hAnsi="Arial"/>
                <w:sz w:val="18"/>
                <w:szCs w:val="18"/>
                <w:color w:val="auto"/>
              </w:rPr>
              <w:t>Form of Solvency Certificate</w:t>
            </w:r>
          </w:p>
        </w:tc>
      </w:tr>
      <w:tr>
        <w:trPr>
          <w:trHeight w:val="230"/>
        </w:trPr>
        <w:tc>
          <w:tcPr>
            <w:tcW w:w="720" w:type="dxa"/>
            <w:vAlign w:val="bottom"/>
          </w:tcPr>
          <w:p>
            <w:pPr>
              <w:ind w:left="20"/>
              <w:spacing w:after="0"/>
              <w:rPr>
                <w:sz w:val="20"/>
                <w:szCs w:val="20"/>
                <w:color w:val="auto"/>
              </w:rPr>
            </w:pPr>
            <w:r>
              <w:rPr>
                <w:rFonts w:ascii="Arial" w:cs="Arial" w:eastAsia="Arial" w:hAnsi="Arial"/>
                <w:sz w:val="18"/>
                <w:szCs w:val="18"/>
                <w:color w:val="auto"/>
                <w:w w:val="99"/>
              </w:rPr>
              <w:t>Exhibit J</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Arial" w:cs="Arial" w:eastAsia="Arial" w:hAnsi="Arial"/>
                <w:sz w:val="18"/>
                <w:szCs w:val="18"/>
                <w:color w:val="auto"/>
              </w:rPr>
              <w:t>Form of Secured Obligation Designation Notice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584" w:right="5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72" w:lineRule="exact"/>
        <w:rPr>
          <w:sz w:val="20"/>
          <w:szCs w:val="20"/>
          <w:color w:val="auto"/>
        </w:rPr>
      </w:pPr>
    </w:p>
    <w:p>
      <w:pPr>
        <w:ind w:right="280" w:firstLine="450"/>
        <w:spacing w:after="0" w:line="277" w:lineRule="auto"/>
        <w:rPr>
          <w:sz w:val="20"/>
          <w:szCs w:val="20"/>
          <w:color w:val="auto"/>
        </w:rPr>
      </w:pPr>
      <w:r>
        <w:rPr>
          <w:rFonts w:ascii="Arial" w:cs="Arial" w:eastAsia="Arial" w:hAnsi="Arial"/>
          <w:sz w:val="18"/>
          <w:szCs w:val="18"/>
          <w:color w:val="auto"/>
        </w:rPr>
        <w:t>CREDIT AGREEMENT, dated as of December 22, 2020, among HARVARD BIOSCIENCE,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hereto and CITIZENS BANK, N.A., as Administrative Agent.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1000" w:hanging="542"/>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Borrower has requested that the Lenders make loans and other financial accommodations to the Borrower as more fully set forth herein.</w:t>
      </w:r>
    </w:p>
    <w:p>
      <w:pPr>
        <w:spacing w:after="0" w:line="248" w:lineRule="exact"/>
        <w:rPr>
          <w:rFonts w:ascii="Arial" w:cs="Arial" w:eastAsia="Arial" w:hAnsi="Arial"/>
          <w:sz w:val="16"/>
          <w:szCs w:val="16"/>
          <w:color w:val="auto"/>
        </w:rPr>
      </w:pPr>
    </w:p>
    <w:p>
      <w:pPr>
        <w:ind w:right="180" w:firstLine="458"/>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Lenders have indicated their willingness to lend and the L/C Issuer has indicated its willingness to issue Letters of Credit, in each case, on the terms and subject to the conditions set forth herein.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RULES OF CONSTRUCTION</w:t>
      </w:r>
    </w:p>
    <w:p>
      <w:pPr>
        <w:spacing w:after="0" w:line="225"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Credit Agreement, the following terms have the meanings specified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Borrowing</w:t>
      </w:r>
      <w:r>
        <w:rPr>
          <w:rFonts w:ascii="Arial" w:cs="Arial" w:eastAsia="Arial" w:hAnsi="Arial"/>
          <w:sz w:val="18"/>
          <w:szCs w:val="18"/>
          <w:color w:val="auto"/>
        </w:rPr>
        <w:t>” means, as to any Borrowing, the ABR Loans comprising such Borrowing.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Loan</w:t>
      </w:r>
      <w:r>
        <w:rPr>
          <w:rFonts w:ascii="Arial" w:cs="Arial" w:eastAsia="Arial" w:hAnsi="Arial"/>
          <w:sz w:val="18"/>
          <w:szCs w:val="18"/>
          <w:color w:val="auto"/>
        </w:rPr>
        <w:t>” means a Loan (other than a Swingline Loan) bearing interest based on the Alternate Base Rate.</w:t>
      </w:r>
    </w:p>
    <w:p>
      <w:pPr>
        <w:spacing w:after="0" w:line="225"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EBITDA</w:t>
      </w:r>
      <w:r>
        <w:rPr>
          <w:rFonts w:ascii="Arial" w:cs="Arial" w:eastAsia="Arial" w:hAnsi="Arial"/>
          <w:sz w:val="18"/>
          <w:szCs w:val="18"/>
          <w:color w:val="auto"/>
        </w:rPr>
        <w:t xml:space="preserve">” means, with respect to any Acquired Entity or Business for any period, the historical Consolidated EBITDA of such Acquired Entity or Business for such period as certified by a Financial Officer of the Borrower, which historical Consolidated EBITDA shall be calculated in a manner consistent with the definition of Consolidated EBITDA herein and to be based on financial statements for such Acquired Entity or Business prepared in accordance with GAAP (subject to the absence of footnote disclosures and year-end audit adjustments with respect to financial statements that are not annual audited financial statements),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such Acquired EBITDA is included in Consolidated EBITDA it shall be on a Pro Forma Basis.</w:t>
      </w:r>
    </w:p>
    <w:p>
      <w:pPr>
        <w:spacing w:after="0" w:line="192"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Entity or Business</w:t>
      </w:r>
      <w:r>
        <w:rPr>
          <w:rFonts w:ascii="Arial" w:cs="Arial" w:eastAsia="Arial" w:hAnsi="Arial"/>
          <w:sz w:val="18"/>
          <w:szCs w:val="18"/>
          <w:color w:val="auto"/>
        </w:rPr>
        <w:t>” means, for any period, any Person, property, business or asset acquired by the Borrower or any of its Subsidiaries in a Permitted Acquisition, to the extent not subsequently sold, transferred or otherwise Disposed of during such period.</w:t>
      </w:r>
    </w:p>
    <w:p>
      <w:pPr>
        <w:spacing w:after="0" w:line="170" w:lineRule="exact"/>
        <w:rPr>
          <w:sz w:val="20"/>
          <w:szCs w:val="20"/>
          <w:color w:val="auto"/>
        </w:rPr>
      </w:pPr>
    </w:p>
    <w:p>
      <w:pPr>
        <w:jc w:val="both"/>
        <w:ind w:firstLine="45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means any transaction or series of related transactions resulting, directly or indirectly, in: (a) the acquisition by any Person of (i) all or substantially all of the assets of another Person or (ii) all or substantially all of any business line, unit or division of another Person, (b) the acquisition by any Person (i) of in excess of 50% of the Equity Interests of any other Person, or (ii) otherwise causing any other Person to become a subsidiary of such Person, or (c) a merger, amalgamation consolidation, or any other combination of any Person with another Person (other than a Person that is a Loan Party or a Subsidiary of a Loan Party) in which a Loan Party or any of its Subsidiaries is the surviving Person.</w:t>
      </w:r>
    </w:p>
    <w:p>
      <w:pPr>
        <w:spacing w:after="0" w:line="176" w:lineRule="exact"/>
        <w:rPr>
          <w:sz w:val="20"/>
          <w:szCs w:val="20"/>
          <w:color w:val="auto"/>
        </w:rPr>
      </w:pPr>
    </w:p>
    <w:p>
      <w:pPr>
        <w:jc w:val="both"/>
        <w:ind w:firstLine="450"/>
        <w:spacing w:after="0" w:line="342" w:lineRule="auto"/>
        <w:rPr>
          <w:sz w:val="20"/>
          <w:szCs w:val="20"/>
          <w:color w:val="auto"/>
        </w:rPr>
      </w:pPr>
      <w:r>
        <w:rPr>
          <w:rFonts w:ascii="Arial" w:cs="Arial" w:eastAsia="Arial" w:hAnsi="Arial"/>
          <w:sz w:val="16"/>
          <w:szCs w:val="16"/>
          <w:u w:val="single" w:color="auto"/>
          <w:color w:val="FF0000"/>
        </w:rPr>
        <w:t>“Adjusted LIBOR Rate</w:t>
      </w:r>
      <w:r>
        <w:rPr>
          <w:rFonts w:ascii="Arial" w:cs="Arial" w:eastAsia="Arial" w:hAnsi="Arial"/>
          <w:sz w:val="16"/>
          <w:szCs w:val="16"/>
          <w:color w:val="FF0000"/>
        </w:rPr>
        <w:t xml:space="preserve">” </w:t>
      </w:r>
      <w:r>
        <w:rPr>
          <w:rFonts w:ascii="Arial" w:cs="Arial" w:eastAsia="Arial" w:hAnsi="Arial"/>
          <w:sz w:val="16"/>
          <w:szCs w:val="16"/>
          <w:color w:val="FF0000"/>
          <w:strike w:val="1"/>
        </w:rPr>
        <w:t>means, with respect to any Interest Period, an interest rate per annum equal to the LIBOR Rate in effect for such Interest</w:t>
      </w:r>
      <w:r>
        <w:rPr>
          <w:rFonts w:ascii="Arial" w:cs="Arial" w:eastAsia="Arial" w:hAnsi="Arial"/>
          <w:sz w:val="16"/>
          <w:szCs w:val="16"/>
          <w:color w:val="FF0000"/>
        </w:rPr>
        <w:t xml:space="preserve"> </w:t>
      </w:r>
      <w:r>
        <w:rPr>
          <w:rFonts w:ascii="Arial" w:cs="Arial" w:eastAsia="Arial" w:hAnsi="Arial"/>
          <w:sz w:val="16"/>
          <w:szCs w:val="16"/>
          <w:color w:val="FF0000"/>
          <w:strike w:val="1"/>
        </w:rPr>
        <w:t xml:space="preserve">Period </w:t>
      </w:r>
      <w:r>
        <w:rPr>
          <w:rFonts w:ascii="Arial" w:cs="Arial" w:eastAsia="Arial" w:hAnsi="Arial"/>
          <w:sz w:val="16"/>
          <w:szCs w:val="16"/>
          <w:u w:val="single" w:color="auto"/>
          <w:color w:val="FF0000"/>
          <w:strike w:val="1"/>
        </w:rPr>
        <w:t>multiplied by</w:t>
      </w:r>
      <w:r>
        <w:rPr>
          <w:rFonts w:ascii="Arial" w:cs="Arial" w:eastAsia="Arial" w:hAnsi="Arial"/>
          <w:sz w:val="16"/>
          <w:szCs w:val="16"/>
          <w:color w:val="FF0000"/>
          <w:strike w:val="1"/>
        </w:rPr>
        <w:t xml:space="preserve"> the Statutory Reserve Rate; </w:t>
      </w:r>
      <w:r>
        <w:rPr>
          <w:rFonts w:ascii="Arial" w:cs="Arial" w:eastAsia="Arial" w:hAnsi="Arial"/>
          <w:sz w:val="16"/>
          <w:szCs w:val="16"/>
          <w:u w:val="single" w:color="auto"/>
          <w:color w:val="FF0000"/>
          <w:strike w:val="1"/>
        </w:rPr>
        <w:t>provided</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FF0000"/>
          <w:strike w:val="1"/>
        </w:rPr>
        <w:t>however</w:t>
      </w:r>
      <w:r>
        <w:rPr>
          <w:rFonts w:ascii="Arial" w:cs="Arial" w:eastAsia="Arial" w:hAnsi="Arial"/>
          <w:sz w:val="16"/>
          <w:szCs w:val="16"/>
          <w:color w:val="FF0000"/>
          <w:strike w:val="1"/>
        </w:rPr>
        <w:t>, that the Adjusted LIBOR Rate shall at no time be less than 0.50%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-263525</wp:posOffset>
            </wp:positionV>
            <wp:extent cx="10807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Citizens Bank, in its capacity as administrative agent for the Lenders or any successor thereto.</w:t>
      </w:r>
    </w:p>
    <w:p>
      <w:pPr>
        <w:spacing w:after="0" w:line="22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Payment Office</w:t>
      </w:r>
      <w:r>
        <w:rPr>
          <w:rFonts w:ascii="Arial" w:cs="Arial" w:eastAsia="Arial" w:hAnsi="Arial"/>
          <w:sz w:val="18"/>
          <w:szCs w:val="18"/>
          <w:color w:val="auto"/>
        </w:rPr>
        <w:t>” means the Administrative Agent’s office located at 28 State Street, Boston, MA 02109, or such other office as to which the Administrative Agent may from time to time notify the Borrower and the Lenders.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0000FF"/>
        </w:rPr>
        <w:t>“Affected Financial Institution” means (a) any EEA Financial Institution or (b)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wp:posOffset>
            </wp:positionV>
            <wp:extent cx="49803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205"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10.1(d)(iii)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Date</w:t>
      </w:r>
      <w:r>
        <w:rPr>
          <w:rFonts w:ascii="Arial" w:cs="Arial" w:eastAsia="Arial" w:hAnsi="Arial"/>
          <w:sz w:val="18"/>
          <w:szCs w:val="18"/>
          <w:color w:val="auto"/>
        </w:rPr>
        <w:t>” means the first date appearing in this Credit Agreement.</w:t>
      </w:r>
    </w:p>
    <w:p>
      <w:pPr>
        <w:spacing w:after="0" w:line="225" w:lineRule="exact"/>
        <w:rPr>
          <w:sz w:val="20"/>
          <w:szCs w:val="20"/>
          <w:color w:val="auto"/>
        </w:rPr>
      </w:pPr>
    </w:p>
    <w:p>
      <w:pPr>
        <w:jc w:val="both"/>
        <w:ind w:firstLine="45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xml:space="preserve">” means, for any day, a rate per annum equal to the greatest of (a) the Prime Rate in effect on such day, (b) the Federal Funds Effective Rate in effect on such day plus 0.50% per annum and (c) the Daily </w:t>
      </w:r>
      <w:r>
        <w:rPr>
          <w:rFonts w:ascii="Arial" w:cs="Arial" w:eastAsia="Arial" w:hAnsi="Arial"/>
          <w:sz w:val="17"/>
          <w:szCs w:val="17"/>
          <w:color w:val="FF0000"/>
          <w:strike w:val="1"/>
        </w:rPr>
        <w:t>LIBOR</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Rate on such day plus 1.00% per annum, provided that the Alternate Base Rate shall at no time be less than </w:t>
      </w:r>
      <w:r>
        <w:rPr>
          <w:rFonts w:ascii="Arial" w:cs="Arial" w:eastAsia="Arial" w:hAnsi="Arial"/>
          <w:sz w:val="17"/>
          <w:szCs w:val="17"/>
          <w:color w:val="FF0000"/>
          <w:strike w:val="1"/>
        </w:rPr>
        <w:t>1.00% per annum</w:t>
      </w:r>
      <w:r>
        <w:rPr>
          <w:rFonts w:ascii="Arial" w:cs="Arial" w:eastAsia="Arial" w:hAnsi="Arial"/>
          <w:sz w:val="17"/>
          <w:szCs w:val="17"/>
          <w:u w:val="single" w:color="auto"/>
          <w:color w:val="0000FF"/>
        </w:rPr>
        <w:t>the Floor</w:t>
      </w:r>
      <w:r>
        <w:rPr>
          <w:rFonts w:ascii="Arial" w:cs="Arial" w:eastAsia="Arial" w:hAnsi="Arial"/>
          <w:sz w:val="17"/>
          <w:szCs w:val="17"/>
          <w:color w:val="auto"/>
        </w:rPr>
        <w:t xml:space="preserve">. If the Administrative Agent shall have determined (which determination shall be conclusive absent clearly manifest error) that it is unable to ascertain the Federal Funds Effective Rate or the Daily </w:t>
      </w:r>
      <w:r>
        <w:rPr>
          <w:rFonts w:ascii="Arial" w:cs="Arial" w:eastAsia="Arial" w:hAnsi="Arial"/>
          <w:sz w:val="17"/>
          <w:szCs w:val="17"/>
          <w:color w:val="FF0000"/>
          <w:strike w:val="1"/>
        </w:rPr>
        <w:t>LIBOR</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Rate for any reason, including the inability or failure of the Administrative Agent to obtain sufficient quotations in accordance with the terms of the definition of the term Federal Funds Effective Rate, the Alternate Base Rate shall be determined without regard to clause (b) or (c), as applicable, of the preceding sentence until the circumstances giving rise to such inability no longer exist. Any change in the Alternate Base Rate due to a change in the Prime Rate, the Federal Funds Effective Rate or the Daily </w:t>
      </w:r>
      <w:r>
        <w:rPr>
          <w:rFonts w:ascii="Arial" w:cs="Arial" w:eastAsia="Arial" w:hAnsi="Arial"/>
          <w:sz w:val="17"/>
          <w:szCs w:val="17"/>
          <w:color w:val="FF0000"/>
          <w:strike w:val="1"/>
        </w:rPr>
        <w:t>LIBOR</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Rate</w:t>
      </w:r>
      <w:r>
        <w:rPr>
          <w:rFonts w:ascii="Arial" w:cs="Arial" w:eastAsia="Arial" w:hAnsi="Arial"/>
          <w:sz w:val="17"/>
          <w:szCs w:val="17"/>
          <w:u w:val="single" w:color="auto"/>
          <w:color w:val="auto"/>
        </w:rPr>
        <w:t>,</w:t>
      </w:r>
      <w:r>
        <w:rPr>
          <w:rFonts w:ascii="Arial" w:cs="Arial" w:eastAsia="Arial" w:hAnsi="Arial"/>
          <w:sz w:val="17"/>
          <w:szCs w:val="17"/>
          <w:color w:val="auto"/>
        </w:rPr>
        <w:t xml:space="preserve"> </w:t>
      </w:r>
      <w:r>
        <w:rPr>
          <w:rFonts w:ascii="Arial" w:cs="Arial" w:eastAsia="Arial" w:hAnsi="Arial"/>
          <w:sz w:val="17"/>
          <w:szCs w:val="17"/>
          <w:color w:val="0000FF"/>
        </w:rPr>
        <w:t>as applicable</w:t>
      </w:r>
      <w:r>
        <w:rPr>
          <w:rFonts w:ascii="Arial" w:cs="Arial" w:eastAsia="Arial" w:hAnsi="Arial"/>
          <w:sz w:val="17"/>
          <w:szCs w:val="17"/>
          <w:u w:val="single" w:color="auto"/>
          <w:color w:val="auto"/>
        </w:rPr>
        <w:t>,</w:t>
      </w:r>
      <w:r>
        <w:rPr>
          <w:rFonts w:ascii="Arial" w:cs="Arial" w:eastAsia="Arial" w:hAnsi="Arial"/>
          <w:sz w:val="17"/>
          <w:szCs w:val="17"/>
          <w:color w:val="auto"/>
        </w:rPr>
        <w:t xml:space="preserve"> shall be effective from and including the effective date of such change in the Prime Rate, the Federal Funds Effective Rate or the Daily </w:t>
      </w:r>
      <w:r>
        <w:rPr>
          <w:rFonts w:ascii="Arial" w:cs="Arial" w:eastAsia="Arial" w:hAnsi="Arial"/>
          <w:sz w:val="17"/>
          <w:szCs w:val="17"/>
          <w:color w:val="FF0000"/>
          <w:strike w:val="1"/>
        </w:rPr>
        <w:t>LIBOR</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Rate, </w:t>
      </w:r>
      <w:r>
        <w:rPr>
          <w:rFonts w:ascii="Arial" w:cs="Arial" w:eastAsia="Arial" w:hAnsi="Arial"/>
          <w:sz w:val="17"/>
          <w:szCs w:val="17"/>
          <w:u w:val="single" w:color="auto"/>
          <w:color w:val="0000FF"/>
        </w:rPr>
        <w:t>as applicable,</w:t>
      </w:r>
      <w:r>
        <w:rPr>
          <w:rFonts w:ascii="Arial" w:cs="Arial" w:eastAsia="Arial" w:hAnsi="Arial"/>
          <w:sz w:val="17"/>
          <w:szCs w:val="17"/>
          <w:color w:val="auto"/>
        </w:rPr>
        <w:t xml:space="preserv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-981075</wp:posOffset>
            </wp:positionV>
            <wp:extent cx="2914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-843915</wp:posOffset>
            </wp:positionV>
            <wp:extent cx="4114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-706755</wp:posOffset>
            </wp:positionV>
            <wp:extent cx="2832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-158115</wp:posOffset>
            </wp:positionV>
            <wp:extent cx="11741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74115"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-175260</wp:posOffset>
            </wp:positionV>
            <wp:extent cx="6216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1665"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-20955</wp:posOffset>
            </wp:positionV>
            <wp:extent cx="12255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161"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Loan Parties or their respective Subsidiaries from time to time concerning or relating to bribery or corruption.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Anti-Terrorism Laws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5.18(c)</w:t>
      </w:r>
      <w:r>
        <w:rPr>
          <w:rFonts w:ascii="Arial" w:cs="Arial" w:eastAsia="Arial" w:hAnsi="Arial"/>
          <w:sz w:val="18"/>
          <w:szCs w:val="18"/>
          <w:color w:val="auto"/>
        </w:rPr>
        <w:t>.</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xml:space="preserve">” means for any Lender, such Lender’s office, branch or affiliate designated for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ABR Loans, Swingline Loans or Letters of Credit or participations therein, as applicable, as notified to the Administrative Agent, any of which offices may be changed by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-294005</wp:posOffset>
            </wp:positionV>
            <wp:extent cx="2825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64"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means, with respect to the Term Loans, Revolving Loans, the Swingline Loans, L/C Participation Fees and Commitment Fees, during the applicable periods set forth below: in the case of (i) ABR Revolving Borrowings, the percentage set forth in the following table under the heading “ABR Margin”, (ii) Swingline Loans, the percentage set forth in the following table under the heading “ABR Margin”, (iii)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FF0000"/>
        </w:rPr>
        <w:t xml:space="preserve"> </w:t>
      </w:r>
      <w:r>
        <w:rPr>
          <w:rFonts w:ascii="Arial" w:cs="Arial" w:eastAsia="Arial" w:hAnsi="Arial"/>
          <w:sz w:val="18"/>
          <w:szCs w:val="18"/>
          <w:color w:val="000000"/>
        </w:rPr>
        <w:t>Revolving Borrowings and the L/C Participation Fees, the percentage set forth in the following table under the heading</w:t>
      </w:r>
      <w:r>
        <w:rPr>
          <w:rFonts w:ascii="Arial" w:cs="Arial" w:eastAsia="Arial" w:hAnsi="Arial"/>
          <w:sz w:val="18"/>
          <w:szCs w:val="18"/>
          <w:color w:val="FF0000"/>
        </w:rPr>
        <w:t xml:space="preserve"> </w:t>
      </w:r>
      <w:r>
        <w:rPr>
          <w:rFonts w:ascii="Arial" w:cs="Arial" w:eastAsia="Arial" w:hAnsi="Arial"/>
          <w:sz w:val="18"/>
          <w:szCs w:val="18"/>
          <w:color w:val="000000"/>
        </w:rPr>
        <w:t>“</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000000"/>
        </w:rPr>
        <w:t xml:space="preserve"> Margin and L/C Participation Fee”, and (iv) Commitment Fees, the percentage set forth in the following table under the heading “Commitment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-288290</wp:posOffset>
            </wp:positionV>
            <wp:extent cx="2832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-151130</wp:posOffset>
            </wp:positionV>
            <wp:extent cx="2825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56"/>
        </w:trPr>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c>
          <w:tcPr>
            <w:tcW w:w="1280" w:type="dxa"/>
            <w:vAlign w:val="bottom"/>
            <w:tcBorders>
              <w:top w:val="single" w:sz="8" w:color="auto"/>
              <w:bottom w:val="single" w:sz="8" w:color="E6E6E6"/>
              <w:right w:val="single" w:sz="8" w:color="auto"/>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1"/>
              </w:rPr>
              <w:t>Pricing</w:t>
            </w:r>
          </w:p>
        </w:tc>
        <w:tc>
          <w:tcPr>
            <w:tcW w:w="5120" w:type="dxa"/>
            <w:vAlign w:val="bottom"/>
            <w:tcBorders>
              <w:top w:val="single" w:sz="8" w:color="auto"/>
              <w:bottom w:val="single" w:sz="8" w:color="auto"/>
              <w:right w:val="single" w:sz="8" w:color="auto"/>
            </w:tcBorders>
            <w:vMerge w:val="restart"/>
            <w:shd w:val="clear" w:color="auto" w:fill="E6E6E6"/>
          </w:tcPr>
          <w:p>
            <w:pPr>
              <w:ind w:left="1280"/>
              <w:spacing w:after="0"/>
              <w:rPr>
                <w:sz w:val="20"/>
                <w:szCs w:val="20"/>
                <w:color w:val="auto"/>
              </w:rPr>
            </w:pPr>
            <w:r>
              <w:rPr>
                <w:rFonts w:ascii="Arial" w:cs="Arial" w:eastAsia="Arial" w:hAnsi="Arial"/>
                <w:sz w:val="18"/>
                <w:szCs w:val="18"/>
                <w:b w:val="1"/>
                <w:bCs w:val="1"/>
                <w:color w:val="auto"/>
              </w:rPr>
              <w:t>Consolidated Net Leverage Ratio</w:t>
            </w:r>
          </w:p>
        </w:tc>
        <w:tc>
          <w:tcPr>
            <w:tcW w:w="1540" w:type="dxa"/>
            <w:vAlign w:val="bottom"/>
            <w:tcBorders>
              <w:top w:val="single" w:sz="8" w:color="auto"/>
              <w:bottom w:val="single" w:sz="8" w:color="E6E6E6"/>
              <w:right w:val="single" w:sz="8" w:color="auto"/>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7"/>
              </w:rPr>
              <w:t>ABR</w:t>
            </w:r>
          </w:p>
        </w:tc>
        <w:tc>
          <w:tcPr>
            <w:tcW w:w="280" w:type="dxa"/>
            <w:vAlign w:val="bottom"/>
            <w:tcBorders>
              <w:top w:val="single" w:sz="8" w:color="auto"/>
              <w:bottom w:val="single" w:sz="8" w:color="E6E6E6"/>
            </w:tcBorders>
            <w:shd w:val="clear" w:color="auto" w:fill="E6E6E6"/>
          </w:tcPr>
          <w:p>
            <w:pPr>
              <w:spacing w:after="0"/>
              <w:rPr>
                <w:sz w:val="22"/>
                <w:szCs w:val="22"/>
                <w:color w:val="auto"/>
              </w:rPr>
            </w:pPr>
          </w:p>
        </w:tc>
        <w:tc>
          <w:tcPr>
            <w:tcW w:w="580" w:type="dxa"/>
            <w:vAlign w:val="bottom"/>
            <w:tcBorders>
              <w:top w:val="single" w:sz="8" w:color="auto"/>
              <w:bottom w:val="single" w:sz="8" w:color="E6E6E6"/>
            </w:tcBorders>
            <w:shd w:val="clear" w:color="auto" w:fill="E6E6E6"/>
          </w:tcPr>
          <w:p>
            <w:pPr>
              <w:spacing w:after="0"/>
              <w:rPr>
                <w:sz w:val="20"/>
                <w:szCs w:val="20"/>
                <w:color w:val="auto"/>
              </w:rPr>
            </w:pPr>
            <w:r>
              <w:rPr>
                <w:rFonts w:ascii="Arial" w:cs="Arial" w:eastAsia="Arial" w:hAnsi="Arial"/>
                <w:sz w:val="18"/>
                <w:szCs w:val="18"/>
                <w:b w:val="1"/>
                <w:bCs w:val="1"/>
                <w:color w:val="FF0000"/>
                <w:strike w:val="1"/>
                <w:w w:val="99"/>
              </w:rPr>
              <w:t>LIBOR</w:t>
            </w:r>
          </w:p>
        </w:tc>
        <w:tc>
          <w:tcPr>
            <w:tcW w:w="480" w:type="dxa"/>
            <w:vAlign w:val="bottom"/>
            <w:tcBorders>
              <w:top w:val="single" w:sz="8" w:color="auto"/>
              <w:bottom w:val="single" w:sz="8" w:color="auto"/>
            </w:tcBorders>
            <w:shd w:val="clear" w:color="auto" w:fill="E6E6E6"/>
          </w:tcPr>
          <w:p>
            <w:pPr>
              <w:spacing w:after="0"/>
              <w:rPr>
                <w:sz w:val="20"/>
                <w:szCs w:val="20"/>
                <w:color w:val="auto"/>
              </w:rPr>
            </w:pPr>
            <w:r>
              <w:rPr>
                <w:rFonts w:ascii="Arial" w:cs="Arial" w:eastAsia="Arial" w:hAnsi="Arial"/>
                <w:sz w:val="18"/>
                <w:szCs w:val="18"/>
                <w:b w:val="1"/>
                <w:bCs w:val="1"/>
                <w:color w:val="0000FF"/>
                <w:w w:val="91"/>
              </w:rPr>
              <w:t>SOFR</w:t>
            </w:r>
          </w:p>
        </w:tc>
        <w:tc>
          <w:tcPr>
            <w:tcW w:w="300" w:type="dxa"/>
            <w:vAlign w:val="bottom"/>
            <w:tcBorders>
              <w:top w:val="single" w:sz="8" w:color="auto"/>
              <w:bottom w:val="single" w:sz="8" w:color="E6E6E6"/>
              <w:right w:val="single" w:sz="8" w:color="auto"/>
            </w:tcBorders>
            <w:shd w:val="clear" w:color="auto" w:fill="E6E6E6"/>
          </w:tcPr>
          <w:p>
            <w:pPr>
              <w:spacing w:after="0"/>
              <w:rPr>
                <w:sz w:val="22"/>
                <w:szCs w:val="22"/>
                <w:color w:val="auto"/>
              </w:rPr>
            </w:pPr>
          </w:p>
        </w:tc>
        <w:tc>
          <w:tcPr>
            <w:tcW w:w="1620" w:type="dxa"/>
            <w:vAlign w:val="bottom"/>
            <w:tcBorders>
              <w:top w:val="single" w:sz="8" w:color="auto"/>
              <w:bottom w:val="single" w:sz="8" w:color="auto"/>
              <w:right w:val="single" w:sz="8" w:color="auto"/>
            </w:tcBorders>
            <w:vMerge w:val="restart"/>
            <w:shd w:val="clear" w:color="auto" w:fill="E6E6E6"/>
          </w:tcPr>
          <w:p>
            <w:pPr>
              <w:jc w:val="center"/>
              <w:spacing w:after="0"/>
              <w:rPr>
                <w:sz w:val="20"/>
                <w:szCs w:val="20"/>
                <w:color w:val="auto"/>
              </w:rPr>
            </w:pPr>
            <w:r>
              <w:rPr>
                <w:rFonts w:ascii="Arial" w:cs="Arial" w:eastAsia="Arial" w:hAnsi="Arial"/>
                <w:sz w:val="18"/>
                <w:szCs w:val="18"/>
                <w:b w:val="1"/>
                <w:bCs w:val="1"/>
                <w:color w:val="auto"/>
                <w:w w:val="90"/>
              </w:rPr>
              <w:t>Commitment Fees</w:t>
            </w:r>
          </w:p>
        </w:tc>
        <w:tc>
          <w:tcPr>
            <w:tcW w:w="0" w:type="dxa"/>
            <w:vAlign w:val="bottom"/>
          </w:tcPr>
          <w:p>
            <w:pPr>
              <w:spacing w:after="0"/>
              <w:rPr>
                <w:sz w:val="1"/>
                <w:szCs w:val="1"/>
                <w:color w:val="auto"/>
              </w:rPr>
            </w:pPr>
          </w:p>
        </w:tc>
      </w:tr>
      <w:tr>
        <w:trPr>
          <w:trHeight w:val="89"/>
        </w:trPr>
        <w:tc>
          <w:tcPr>
            <w:tcW w:w="40" w:type="dxa"/>
            <w:vAlign w:val="bottom"/>
            <w:tcBorders>
              <w:right w:val="single" w:sz="8" w:color="auto"/>
            </w:tcBorders>
            <w:shd w:val="clear" w:color="auto" w:fill="000000"/>
          </w:tcPr>
          <w:p>
            <w:pPr>
              <w:spacing w:after="0"/>
              <w:rPr>
                <w:sz w:val="7"/>
                <w:szCs w:val="7"/>
                <w:color w:val="auto"/>
              </w:rPr>
            </w:pPr>
          </w:p>
        </w:tc>
        <w:tc>
          <w:tcPr>
            <w:tcW w:w="1280" w:type="dxa"/>
            <w:vAlign w:val="bottom"/>
            <w:tcBorders>
              <w:right w:val="single" w:sz="8" w:color="auto"/>
            </w:tcBorders>
            <w:vMerge w:val="restart"/>
            <w:shd w:val="clear" w:color="auto" w:fill="E6E6E6"/>
          </w:tcPr>
          <w:p>
            <w:pPr>
              <w:jc w:val="center"/>
              <w:spacing w:after="0" w:line="196" w:lineRule="exact"/>
              <w:rPr>
                <w:sz w:val="20"/>
                <w:szCs w:val="20"/>
                <w:color w:val="auto"/>
              </w:rPr>
            </w:pPr>
            <w:r>
              <w:rPr>
                <w:rFonts w:ascii="Arial" w:cs="Arial" w:eastAsia="Arial" w:hAnsi="Arial"/>
                <w:sz w:val="18"/>
                <w:szCs w:val="18"/>
                <w:b w:val="1"/>
                <w:bCs w:val="1"/>
                <w:color w:val="auto"/>
                <w:w w:val="91"/>
              </w:rPr>
              <w:t>Level</w:t>
            </w:r>
          </w:p>
        </w:tc>
        <w:tc>
          <w:tcPr>
            <w:tcW w:w="5120" w:type="dxa"/>
            <w:vAlign w:val="bottom"/>
            <w:tcBorders>
              <w:right w:val="single" w:sz="8" w:color="auto"/>
            </w:tcBorders>
            <w:vMerge w:val="continue"/>
            <w:shd w:val="clear" w:color="auto" w:fill="E6E6E6"/>
          </w:tcPr>
          <w:p>
            <w:pPr>
              <w:spacing w:after="0"/>
              <w:rPr>
                <w:sz w:val="7"/>
                <w:szCs w:val="7"/>
                <w:color w:val="auto"/>
              </w:rPr>
            </w:pPr>
          </w:p>
        </w:tc>
        <w:tc>
          <w:tcPr>
            <w:tcW w:w="1540" w:type="dxa"/>
            <w:vAlign w:val="bottom"/>
            <w:tcBorders>
              <w:right w:val="single" w:sz="8" w:color="auto"/>
            </w:tcBorders>
            <w:vMerge w:val="restart"/>
            <w:shd w:val="clear" w:color="auto" w:fill="E6E6E6"/>
          </w:tcPr>
          <w:p>
            <w:pPr>
              <w:jc w:val="center"/>
              <w:spacing w:after="0" w:line="196" w:lineRule="exact"/>
              <w:rPr>
                <w:sz w:val="20"/>
                <w:szCs w:val="20"/>
                <w:color w:val="auto"/>
              </w:rPr>
            </w:pPr>
            <w:r>
              <w:rPr>
                <w:rFonts w:ascii="Arial" w:cs="Arial" w:eastAsia="Arial" w:hAnsi="Arial"/>
                <w:sz w:val="18"/>
                <w:szCs w:val="18"/>
                <w:b w:val="1"/>
                <w:bCs w:val="1"/>
                <w:color w:val="auto"/>
                <w:w w:val="98"/>
              </w:rPr>
              <w:t>Margin</w:t>
            </w:r>
          </w:p>
        </w:tc>
        <w:tc>
          <w:tcPr>
            <w:tcW w:w="280" w:type="dxa"/>
            <w:vAlign w:val="bottom"/>
            <w:shd w:val="clear" w:color="auto" w:fill="E6E6E6"/>
          </w:tcPr>
          <w:p>
            <w:pPr>
              <w:spacing w:after="0"/>
              <w:rPr>
                <w:sz w:val="7"/>
                <w:szCs w:val="7"/>
                <w:color w:val="auto"/>
              </w:rPr>
            </w:pPr>
          </w:p>
        </w:tc>
        <w:tc>
          <w:tcPr>
            <w:tcW w:w="1360" w:type="dxa"/>
            <w:vAlign w:val="bottom"/>
            <w:tcBorders>
              <w:right w:val="single" w:sz="8" w:color="auto"/>
            </w:tcBorders>
            <w:gridSpan w:val="3"/>
            <w:vMerge w:val="restart"/>
            <w:shd w:val="clear" w:color="auto" w:fill="E6E6E6"/>
          </w:tcPr>
          <w:p>
            <w:pPr>
              <w:jc w:val="center"/>
              <w:ind w:right="300"/>
              <w:spacing w:after="0" w:line="196" w:lineRule="exact"/>
              <w:rPr>
                <w:sz w:val="20"/>
                <w:szCs w:val="20"/>
                <w:color w:val="auto"/>
              </w:rPr>
            </w:pPr>
            <w:r>
              <w:rPr>
                <w:rFonts w:ascii="Arial" w:cs="Arial" w:eastAsia="Arial" w:hAnsi="Arial"/>
                <w:sz w:val="18"/>
                <w:szCs w:val="18"/>
                <w:b w:val="1"/>
                <w:bCs w:val="1"/>
                <w:color w:val="auto"/>
                <w:w w:val="98"/>
              </w:rPr>
              <w:t>Margin</w:t>
            </w:r>
          </w:p>
        </w:tc>
        <w:tc>
          <w:tcPr>
            <w:tcW w:w="1620" w:type="dxa"/>
            <w:vAlign w:val="bottom"/>
            <w:tcBorders>
              <w:right w:val="single" w:sz="8" w:color="auto"/>
            </w:tcBorders>
            <w:vMerge w:val="continue"/>
            <w:shd w:val="clear" w:color="auto" w:fill="E6E6E6"/>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0" w:type="dxa"/>
            <w:vAlign w:val="bottom"/>
            <w:tcBorders>
              <w:bottom w:val="single" w:sz="8" w:color="auto"/>
              <w:right w:val="single" w:sz="8" w:color="auto"/>
            </w:tcBorders>
            <w:shd w:val="clear" w:color="auto" w:fill="000000"/>
          </w:tcPr>
          <w:p>
            <w:pPr>
              <w:spacing w:after="0"/>
              <w:rPr>
                <w:sz w:val="9"/>
                <w:szCs w:val="9"/>
                <w:color w:val="auto"/>
              </w:rPr>
            </w:pPr>
          </w:p>
        </w:tc>
        <w:tc>
          <w:tcPr>
            <w:tcW w:w="1280" w:type="dxa"/>
            <w:vAlign w:val="bottom"/>
            <w:tcBorders>
              <w:bottom w:val="single" w:sz="8" w:color="auto"/>
              <w:right w:val="single" w:sz="8" w:color="auto"/>
            </w:tcBorders>
            <w:vMerge w:val="continue"/>
            <w:shd w:val="clear" w:color="auto" w:fill="E6E6E6"/>
          </w:tcPr>
          <w:p>
            <w:pPr>
              <w:spacing w:after="0"/>
              <w:rPr>
                <w:sz w:val="9"/>
                <w:szCs w:val="9"/>
                <w:color w:val="auto"/>
              </w:rPr>
            </w:pPr>
          </w:p>
        </w:tc>
        <w:tc>
          <w:tcPr>
            <w:tcW w:w="5120" w:type="dxa"/>
            <w:vAlign w:val="bottom"/>
            <w:tcBorders>
              <w:bottom w:val="single" w:sz="8" w:color="auto"/>
              <w:right w:val="single" w:sz="8" w:color="auto"/>
            </w:tcBorders>
            <w:shd w:val="clear" w:color="auto" w:fill="E6E6E6"/>
          </w:tcPr>
          <w:p>
            <w:pPr>
              <w:spacing w:after="0"/>
              <w:rPr>
                <w:sz w:val="9"/>
                <w:szCs w:val="9"/>
                <w:color w:val="auto"/>
              </w:rPr>
            </w:pPr>
          </w:p>
        </w:tc>
        <w:tc>
          <w:tcPr>
            <w:tcW w:w="1540" w:type="dxa"/>
            <w:vAlign w:val="bottom"/>
            <w:tcBorders>
              <w:bottom w:val="single" w:sz="8" w:color="auto"/>
              <w:right w:val="single" w:sz="8" w:color="auto"/>
            </w:tcBorders>
            <w:vMerge w:val="continue"/>
            <w:shd w:val="clear" w:color="auto" w:fill="E6E6E6"/>
          </w:tcPr>
          <w:p>
            <w:pPr>
              <w:spacing w:after="0"/>
              <w:rPr>
                <w:sz w:val="9"/>
                <w:szCs w:val="9"/>
                <w:color w:val="auto"/>
              </w:rPr>
            </w:pPr>
          </w:p>
        </w:tc>
        <w:tc>
          <w:tcPr>
            <w:tcW w:w="280" w:type="dxa"/>
            <w:vAlign w:val="bottom"/>
            <w:tcBorders>
              <w:bottom w:val="single" w:sz="8" w:color="auto"/>
            </w:tcBorders>
            <w:shd w:val="clear" w:color="auto" w:fill="E6E6E6"/>
          </w:tcPr>
          <w:p>
            <w:pPr>
              <w:spacing w:after="0"/>
              <w:rPr>
                <w:sz w:val="9"/>
                <w:szCs w:val="9"/>
                <w:color w:val="auto"/>
              </w:rPr>
            </w:pPr>
          </w:p>
        </w:tc>
        <w:tc>
          <w:tcPr>
            <w:tcW w:w="1360" w:type="dxa"/>
            <w:vAlign w:val="bottom"/>
            <w:tcBorders>
              <w:bottom w:val="single" w:sz="8" w:color="auto"/>
              <w:right w:val="single" w:sz="8" w:color="auto"/>
            </w:tcBorders>
            <w:gridSpan w:val="3"/>
            <w:vMerge w:val="continue"/>
            <w:shd w:val="clear" w:color="auto" w:fill="E6E6E6"/>
          </w:tcPr>
          <w:p>
            <w:pPr>
              <w:spacing w:after="0"/>
              <w:rPr>
                <w:sz w:val="9"/>
                <w:szCs w:val="9"/>
                <w:color w:val="auto"/>
              </w:rPr>
            </w:pPr>
          </w:p>
        </w:tc>
        <w:tc>
          <w:tcPr>
            <w:tcW w:w="1620" w:type="dxa"/>
            <w:vAlign w:val="bottom"/>
            <w:tcBorders>
              <w:bottom w:val="single" w:sz="8" w:color="auto"/>
              <w:right w:val="single" w:sz="8" w:color="auto"/>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51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Greater than 3.00:1.00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3.00%</w:t>
            </w:r>
          </w:p>
        </w:tc>
        <w:tc>
          <w:tcPr>
            <w:tcW w:w="134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0"/>
              </w:rPr>
              <w:t>3.25%</w:t>
            </w:r>
          </w:p>
        </w:tc>
        <w:tc>
          <w:tcPr>
            <w:tcW w:w="30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0.500%</w:t>
            </w:r>
          </w:p>
        </w:tc>
        <w:tc>
          <w:tcPr>
            <w:tcW w:w="0" w:type="dxa"/>
            <w:vAlign w:val="bottom"/>
          </w:tcPr>
          <w:p>
            <w:pPr>
              <w:spacing w:after="0"/>
              <w:rPr>
                <w:sz w:val="1"/>
                <w:szCs w:val="1"/>
                <w:color w:val="auto"/>
              </w:rPr>
            </w:pPr>
          </w:p>
        </w:tc>
      </w:tr>
      <w:tr>
        <w:trPr>
          <w:trHeight w:val="209"/>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51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Greater than 2.50:1.00 but less than or equal to 3.00:1.00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2.50%</w:t>
            </w:r>
          </w:p>
        </w:tc>
        <w:tc>
          <w:tcPr>
            <w:tcW w:w="134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0"/>
              </w:rPr>
              <w:t>2.75%</w:t>
            </w:r>
          </w:p>
        </w:tc>
        <w:tc>
          <w:tcPr>
            <w:tcW w:w="30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0.375%</w:t>
            </w:r>
          </w:p>
        </w:tc>
        <w:tc>
          <w:tcPr>
            <w:tcW w:w="0" w:type="dxa"/>
            <w:vAlign w:val="bottom"/>
          </w:tcPr>
          <w:p>
            <w:pPr>
              <w:spacing w:after="0"/>
              <w:rPr>
                <w:sz w:val="1"/>
                <w:szCs w:val="1"/>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51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Greater than 2.00:1.00 but less than or equal to 2.50:1.00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2.00%</w:t>
            </w:r>
          </w:p>
        </w:tc>
        <w:tc>
          <w:tcPr>
            <w:tcW w:w="134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0"/>
              </w:rPr>
              <w:t>2.50%</w:t>
            </w:r>
          </w:p>
        </w:tc>
        <w:tc>
          <w:tcPr>
            <w:tcW w:w="30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0.350%</w:t>
            </w:r>
          </w:p>
        </w:tc>
        <w:tc>
          <w:tcPr>
            <w:tcW w:w="0" w:type="dxa"/>
            <w:vAlign w:val="bottom"/>
          </w:tcPr>
          <w:p>
            <w:pPr>
              <w:spacing w:after="0"/>
              <w:rPr>
                <w:sz w:val="1"/>
                <w:szCs w:val="1"/>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IV</w:t>
            </w:r>
          </w:p>
        </w:tc>
        <w:tc>
          <w:tcPr>
            <w:tcW w:w="51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Greater than 1.50:1.00 but less than or equal to 2.00:1.00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1.75%</w:t>
            </w:r>
          </w:p>
        </w:tc>
        <w:tc>
          <w:tcPr>
            <w:tcW w:w="134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0"/>
              </w:rPr>
              <w:t>2.25%</w:t>
            </w:r>
          </w:p>
        </w:tc>
        <w:tc>
          <w:tcPr>
            <w:tcW w:w="30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0.300%</w:t>
            </w:r>
          </w:p>
        </w:tc>
        <w:tc>
          <w:tcPr>
            <w:tcW w:w="0" w:type="dxa"/>
            <w:vAlign w:val="bottom"/>
          </w:tcPr>
          <w:p>
            <w:pPr>
              <w:spacing w:after="0"/>
              <w:rPr>
                <w:sz w:val="1"/>
                <w:szCs w:val="1"/>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w:t>
            </w:r>
          </w:p>
        </w:tc>
        <w:tc>
          <w:tcPr>
            <w:tcW w:w="51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Less than or equal to 1.50:1.00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134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0"/>
              </w:rPr>
              <w:t>2.00%</w:t>
            </w:r>
          </w:p>
        </w:tc>
        <w:tc>
          <w:tcPr>
            <w:tcW w:w="30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0.250%</w:t>
            </w:r>
          </w:p>
        </w:tc>
        <w:tc>
          <w:tcPr>
            <w:tcW w:w="0" w:type="dxa"/>
            <w:vAlign w:val="bottom"/>
          </w:tcPr>
          <w:p>
            <w:pPr>
              <w:spacing w:after="0"/>
              <w:rPr>
                <w:sz w:val="1"/>
                <w:szCs w:val="1"/>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512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Applicable Margin shall be determined and adjusted quarterly on the date (each a “</w:t>
      </w:r>
      <w:r>
        <w:rPr>
          <w:rFonts w:ascii="Arial" w:cs="Arial" w:eastAsia="Arial" w:hAnsi="Arial"/>
          <w:sz w:val="16"/>
          <w:szCs w:val="16"/>
          <w:u w:val="single" w:color="auto"/>
          <w:color w:val="auto"/>
        </w:rPr>
        <w:t>Margin Determination Date</w:t>
      </w:r>
      <w:r>
        <w:rPr>
          <w:rFonts w:ascii="Arial" w:cs="Arial" w:eastAsia="Arial" w:hAnsi="Arial"/>
          <w:sz w:val="16"/>
          <w:szCs w:val="16"/>
          <w:color w:val="auto"/>
        </w:rPr>
        <w:t xml:space="preserve">”) that is five Business Days after receipt by the Administrative Agent of the Compliance Certificate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for the most recently ended fiscal quarter of the Borrower (but in any event, not later than the 45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the end of each of the first three quarterly periods of each Fiscal Year or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the end of each Fiscal Year,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Applicable Margin shall be based on Pricing Level II until the Margin Determination Date for the first fiscal quarter ending after the Closing Date, (b) if the Borrower fails to deliver the Compliance Certificate as required by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for the most recently ended fiscal quarter preceding the applicable Margin Determination Date, the Applicable Margin from such Margin Determination Date shall be based on Pricing Level II until the fifth Business Day after an appropriate Compliance Certificate is delivered, at which time the Pricing Level shall be determined by reference to the Consolidated Net Leverage Ratio as of the last day of the most recently ended fiscal quarter of the Borrower preceding such Margin Determination Date. The Applicable Margin shall be effective from one Margin Determination Date until the next Margin Determination Date. Any adjustment in the Applicable Margin shall be applicable to all Loans then existing or subsequently made during the applicable period for which the relevant Applicable Margin applies. Notwithstanding the foregoing, in the event that any financial statement delivered pursuant to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any Compliance Certificate delivered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is inaccurate (regardless of whether (i) this Credit Agreement is in effect, or (ii) any of the Commitments are in effect, or (iii) any Loans or Letters of Credit are outstanding when such inaccuracy is discovered or such financial statement or Compliance Certificate was delivered), and such inaccuracy, if corrected, would have led to the application of a higher Applicable Margin for any period (an “</w:t>
      </w:r>
      <w:r>
        <w:rPr>
          <w:rFonts w:ascii="Arial" w:cs="Arial" w:eastAsia="Arial" w:hAnsi="Arial"/>
          <w:sz w:val="16"/>
          <w:szCs w:val="16"/>
          <w:u w:val="single" w:color="auto"/>
          <w:color w:val="auto"/>
        </w:rPr>
        <w:t>Applicable Period</w:t>
      </w:r>
      <w:r>
        <w:rPr>
          <w:rFonts w:ascii="Arial" w:cs="Arial" w:eastAsia="Arial" w:hAnsi="Arial"/>
          <w:sz w:val="16"/>
          <w:szCs w:val="16"/>
          <w:color w:val="auto"/>
        </w:rPr>
        <w:t xml:space="preserve">”) than the Applicable Margin applied for such Applicable Period, then (A) the Borrower shall immediately deliver to the Administrative Agent a corrected Compliance Certificate for such Applicable Period, (B) the Applicable Margin for such Applicable Period shall be determined as if the Consolidated Net Leverage Ratio in the corrected Compliance Certificate were applicable for such Applicable Period, and (C) the Borrower shall immediately pay to the Administrative Agent the accrued additional interest and fees owing as a result of such increased Applicable Margin for such Applicable Period, which payment shall be promptly applied by the Administrative Agent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Nothing in this paragraph shall limit the rights of the Administrative Agent and Lenders with respect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8.1</w:t>
      </w:r>
      <w:r>
        <w:rPr>
          <w:rFonts w:ascii="Arial" w:cs="Arial" w:eastAsia="Arial" w:hAnsi="Arial"/>
          <w:sz w:val="16"/>
          <w:szCs w:val="16"/>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6" w:name="page47"/>
    <w:bookmarkEnd w:id="46"/>
    <w:p>
      <w:pPr>
        <w:jc w:val="both"/>
        <w:ind w:firstLine="45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means, at any time (a) with respect to any Lender with a Commitment of any Class, the percentage equal to a fraction the numerator of which is the amount of such Lender’s Commitment of such Class and the denominator of which is the aggregate amount of all Commitments of such Class of all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Commitments under the Revolving Facility have terminated or expired, the Applicable Percentages of the Lenders under the Revolving Facility shall be determined based upon the Revolving Exposure at such time of the determination pursuant to clause (b) below) and (b) with respect to the Loans of any Class, a percentage equal to a fraction the numerator of which is such Lender’s Outstanding Amount of the Loans of such Class and the denominator of which is the aggregate Outstanding Amount of all Loans of such Class.</w:t>
      </w:r>
    </w:p>
    <w:p>
      <w:pPr>
        <w:spacing w:after="0" w:line="178"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Appropriate Lenders</w:t>
      </w:r>
      <w:r>
        <w:rPr>
          <w:rFonts w:ascii="Arial" w:cs="Arial" w:eastAsia="Arial" w:hAnsi="Arial"/>
          <w:sz w:val="17"/>
          <w:szCs w:val="17"/>
          <w:color w:val="auto"/>
        </w:rPr>
        <w:t>” means, at any time, (a) with respect to the Revolving Facility, the Revolving Lenders, (b) with respect to any Letters of Credit, the L/C Issuer and the Revolving Lenders, (c) with respect to any Swingline Loans, the Swingline Lender and the Revolving Lenders, (d) with respect to the Term Facility, the Term Lenders, and (e) with respect to any Incremental Term Facility, the applicable Incremental Term Lenders.</w:t>
      </w:r>
    </w:p>
    <w:p>
      <w:pPr>
        <w:spacing w:after="0" w:line="165"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Line of Business</w:t>
      </w:r>
      <w:r>
        <w:rPr>
          <w:rFonts w:ascii="Arial" w:cs="Arial" w:eastAsia="Arial" w:hAnsi="Arial"/>
          <w:sz w:val="18"/>
          <w:szCs w:val="18"/>
          <w:color w:val="auto"/>
        </w:rPr>
        <w:t>” means, collectively, (a) those lines of business in which the Borrower and its Subsidiaries operate on the Closing Date (after giving effect to the Transactions occurring on the Closing Date) and (b) any business or activity that is the same, similar or otherwise reasonably related, ancillary, complementary or incidental thereto.</w:t>
      </w:r>
    </w:p>
    <w:p>
      <w:pPr>
        <w:spacing w:after="0" w:line="184"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approved by the Administrative Agent.</w:t>
      </w:r>
    </w:p>
    <w:p>
      <w:pPr>
        <w:spacing w:after="0" w:line="184"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Attorney Costs</w:t>
      </w:r>
      <w:r>
        <w:rPr>
          <w:rFonts w:ascii="Arial" w:cs="Arial" w:eastAsia="Arial" w:hAnsi="Arial"/>
          <w:sz w:val="18"/>
          <w:szCs w:val="18"/>
          <w:color w:val="auto"/>
        </w:rPr>
        <w:t>” means when referring to the Attorney Costs of (a) the Administrative Agent, all reasonable and documented fees and reasonable and documented out-of-pocket expenses, charges, disbursements and other charges of one law firm (and one local counsel in each relevant jurisdiction and one special or regulatory counsel for each relevant subject matter to the extent reasonably necessary) and (b) each Credit Party other than the Administrative Agent, all reasonable and documented fees and reasonable and documented out-of-pocket expenses, charges, disbursements and other charges of one counsel to each such Credit Party.</w:t>
      </w:r>
    </w:p>
    <w:p>
      <w:pPr>
        <w:spacing w:after="0" w:line="188" w:lineRule="exact"/>
        <w:rPr>
          <w:sz w:val="20"/>
          <w:szCs w:val="20"/>
          <w:color w:val="auto"/>
        </w:rPr>
      </w:pPr>
    </w:p>
    <w:p>
      <w:pPr>
        <w:jc w:val="both"/>
        <w:ind w:firstLine="45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Attributable Indebtedness</w:t>
      </w:r>
      <w:r>
        <w:rPr>
          <w:rFonts w:ascii="Arial" w:cs="Arial" w:eastAsia="Arial" w:hAnsi="Arial"/>
          <w:sz w:val="16"/>
          <w:szCs w:val="16"/>
          <w:color w:val="auto"/>
        </w:rPr>
        <w:t>” means, at any date, (a) in respect of any Finance Lease of any Person, the capitalized amount thereof that would appear on a balance sheet of such Person prepared as of such date in accordance with GAAP, (b) in respect of any Synthetic Lease Obligation of any Person, the capitalized or principal amount of the remaining lease payments under the relevant lease that would appear on a balance sheet of such Person prepared as of such date in accordance with GAAP if such lease or other agreement were accounted for as a Finance Lease, and (c) all Synthetic Debt of such Person.</w:t>
      </w:r>
    </w:p>
    <w:p>
      <w:pPr>
        <w:spacing w:after="0" w:line="157"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Form 10-K containing the audited consolidated balance sheet of the Borrower and its Subsidiaries as of the last day of each of the two most recent Fiscal Years ended at least 90 days prior to the Closing Date and the related audited consolidated statements of income, comprehensive income, cash flows and shareholders’ equity of the Borrower and its Subsidiaries for each of the two most recent Fiscal Years ended at least 90 days prior to the Closing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Auto-Renewal Letter of Credit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2.4(b)(iii)</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with respect to the Revolving Facility, the period from and including the Closing Date to but excluding the earlier of the Maturity Date with respect to the Revolving Facility and, if different, the date of the termination of the Revolving Commitments in accordance with the provisions of this Credit Agreement.</w:t>
      </w:r>
    </w:p>
    <w:p>
      <w:pPr>
        <w:spacing w:after="0" w:line="184"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u w:val="single" w:color="auto"/>
          <w:color w:val="0000FF"/>
        </w:rPr>
        <w:t>“Available Tenor” means, as of any date of determination and with respect to the then-current Benchmark, as applicable, (x) if such Benchmark is a term rate, any tenor for such Benchmark (or component thereof) that is or may be used for determining the length of an Interest Period pursuant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-144780</wp:posOffset>
            </wp:positionV>
            <wp:extent cx="68408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spacing w:after="0" w:line="281" w:lineRule="auto"/>
        <w:rPr>
          <w:sz w:val="20"/>
          <w:szCs w:val="20"/>
          <w:color w:val="auto"/>
        </w:rPr>
      </w:pPr>
      <w:r>
        <w:rPr>
          <w:rFonts w:ascii="Arial" w:cs="Arial" w:eastAsia="Arial" w:hAnsi="Arial"/>
          <w:sz w:val="16"/>
          <w:szCs w:val="16"/>
          <w:u w:val="single" w:color="auto"/>
          <w:color w:val="0000FF"/>
        </w:rPr>
        <w:t>Credit Agreement or (y) otherwise, any payment period for interest calculated with reference to such Benchmark (or component thereof), as applicable, that is or may be used for determining any frequency of making payments of interest calculated with reference to such Benchmark pursuant to this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234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spacing w:after="0" w:line="260" w:lineRule="auto"/>
        <w:rPr>
          <w:sz w:val="20"/>
          <w:szCs w:val="20"/>
          <w:color w:val="auto"/>
        </w:rPr>
      </w:pPr>
      <w:r>
        <w:rPr>
          <w:rFonts w:ascii="Arial" w:cs="Arial" w:eastAsia="Arial" w:hAnsi="Arial"/>
          <w:sz w:val="18"/>
          <w:szCs w:val="18"/>
          <w:u w:val="single" w:color="auto"/>
          <w:color w:val="0000FF"/>
        </w:rPr>
        <w:t>Agreement, in each case, as of such date and not including, for the avoidance of doubt, any tenor for such Benchmark that is then-removed from the definition of “Interest Period” pursuant to Section 3.8(d).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234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26142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5" w:lineRule="exact"/>
        <w:rPr>
          <w:sz w:val="20"/>
          <w:szCs w:val="20"/>
          <w:color w:val="auto"/>
        </w:rPr>
      </w:pPr>
    </w:p>
    <w:p>
      <w:pPr>
        <w:ind w:right="44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Back-to-Back Letter of Credit</w:t>
      </w:r>
      <w:r>
        <w:rPr>
          <w:rFonts w:ascii="Arial" w:cs="Arial" w:eastAsia="Arial" w:hAnsi="Arial"/>
          <w:sz w:val="18"/>
          <w:szCs w:val="18"/>
          <w:color w:val="auto"/>
        </w:rPr>
        <w:t>” means a letter of credit, in form and substance reasonably satisfactory to the L/C Issuer and issued by an issuer reasonably satisfactory to the L/C Issuer.</w:t>
      </w:r>
    </w:p>
    <w:p>
      <w:pPr>
        <w:spacing w:after="0" w:line="170" w:lineRule="exact"/>
        <w:rPr>
          <w:sz w:val="20"/>
          <w:szCs w:val="20"/>
          <w:color w:val="auto"/>
        </w:rPr>
      </w:pPr>
    </w:p>
    <w:p>
      <w:pPr>
        <w:jc w:val="both"/>
        <w:ind w:firstLine="450"/>
        <w:spacing w:after="0" w:line="219"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Backstopped</w:t>
      </w:r>
      <w:r>
        <w:rPr>
          <w:rFonts w:ascii="Arial" w:cs="Arial" w:eastAsia="Arial" w:hAnsi="Arial"/>
          <w:sz w:val="17"/>
          <w:szCs w:val="17"/>
          <w:color w:val="auto"/>
        </w:rPr>
        <w:t xml:space="preserve">” means, in respect of any Letter of Credit that remains outstanding on the applicable date, that the L/C Issuer shall have received (a) a Back-to-Back Letter of Credit and/or (b) cash or Cash Equivalents,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sum of the maximum drawable amount of such Back-to-Back Letter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amount of such cash and Cash Equivalents shall not be less than the Minimum Collateral Amount of the maximum drawable amount of such Letter of Credit, (ii) the arrangements with respect to such cash, Cash Equivalents and drawings on any Back-to</w:t>
      </w:r>
      <w:r>
        <w:rPr>
          <w:rFonts w:ascii="MS PGothic" w:cs="MS PGothic" w:eastAsia="MS PGothic" w:hAnsi="MS PGothic"/>
          <w:sz w:val="17"/>
          <w:szCs w:val="17"/>
          <w:color w:val="auto"/>
        </w:rPr>
        <w:t>‑</w:t>
      </w:r>
      <w:r>
        <w:rPr>
          <w:rFonts w:ascii="Arial" w:cs="Arial" w:eastAsia="Arial" w:hAnsi="Arial"/>
          <w:sz w:val="17"/>
          <w:szCs w:val="17"/>
          <w:color w:val="auto"/>
        </w:rPr>
        <w:t>Back Letter of Credit allow the L/C Issuer to apply the same to reimburse itself with respect to drawings on, and other sums owing with respect to, such Letter of Credit, and (iii) the requirements under clauses (i) and (ii) of this defined term are in all respects satisfactory to the L/C Issuer.</w:t>
      </w:r>
    </w:p>
    <w:p>
      <w:pPr>
        <w:spacing w:after="0" w:line="202" w:lineRule="exact"/>
        <w:rPr>
          <w:sz w:val="20"/>
          <w:szCs w:val="20"/>
          <w:color w:val="auto"/>
        </w:rPr>
      </w:pPr>
    </w:p>
    <w:p>
      <w:pPr>
        <w:ind w:right="50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xml:space="preserve">” means the exercise of any Write-Down and Conversion Powers by the applicable </w:t>
      </w:r>
      <w:r>
        <w:rPr>
          <w:rFonts w:ascii="Arial" w:cs="Arial" w:eastAsia="Arial" w:hAnsi="Arial"/>
          <w:sz w:val="18"/>
          <w:szCs w:val="18"/>
          <w:color w:val="FF0000"/>
          <w:strike w:val="1"/>
        </w:rPr>
        <w:t>EEA</w:t>
      </w:r>
      <w:r>
        <w:rPr>
          <w:rFonts w:ascii="Arial" w:cs="Arial" w:eastAsia="Arial" w:hAnsi="Arial"/>
          <w:sz w:val="18"/>
          <w:szCs w:val="18"/>
          <w:color w:val="auto"/>
        </w:rPr>
        <w:t xml:space="preserve"> Resolution Authority in respect of any liability of an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-27940</wp:posOffset>
            </wp:positionV>
            <wp:extent cx="3943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50" w:lineRule="exact"/>
        <w:rPr>
          <w:sz w:val="20"/>
          <w:szCs w:val="20"/>
          <w:color w:val="auto"/>
        </w:rPr>
      </w:pPr>
    </w:p>
    <w:p>
      <w:pPr>
        <w:jc w:val="both"/>
        <w:ind w:firstLine="45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means</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w:t>
      </w:r>
      <w:r>
        <w:rPr>
          <w:rFonts w:ascii="Arial" w:cs="Arial" w:eastAsia="Arial" w:hAnsi="Arial"/>
          <w:sz w:val="16"/>
          <w:szCs w:val="16"/>
          <w:color w:val="auto"/>
        </w:rPr>
        <w:t xml:space="preserve"> with respect to any EEA Member Country implementing Article 55 of Directive 2014/59/EU of the European Parliament and of the Council of the European Union, the implementing law</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regulation, rule or requirement</w:t>
      </w:r>
      <w:r>
        <w:rPr>
          <w:rFonts w:ascii="Arial" w:cs="Arial" w:eastAsia="Arial" w:hAnsi="Arial"/>
          <w:sz w:val="16"/>
          <w:szCs w:val="16"/>
          <w:color w:val="auto"/>
        </w:rPr>
        <w:t xml:space="preserve"> for such EEA Member Country from time to time that is described in the EU Bail-In Legislation Schedule</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 (b) with respect to the United Kingdom, Part I of the United Kingdom Banking Act 2009</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-582295</wp:posOffset>
            </wp:positionV>
            <wp:extent cx="1289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-445135</wp:posOffset>
            </wp:positionV>
            <wp:extent cx="1448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484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-307975</wp:posOffset>
            </wp:positionV>
            <wp:extent cx="42773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234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6943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xml:space="preserve">” means Title 11 of the United </w:t>
      </w:r>
      <w:r>
        <w:rPr>
          <w:rFonts w:ascii="Arial" w:cs="Arial" w:eastAsia="Arial" w:hAnsi="Arial"/>
          <w:sz w:val="18"/>
          <w:szCs w:val="18"/>
          <w:color w:val="FF0000"/>
          <w:strike w:val="1"/>
        </w:rPr>
        <w:t>State</w:t>
      </w:r>
      <w:r>
        <w:rPr>
          <w:rFonts w:ascii="Arial" w:cs="Arial" w:eastAsia="Arial" w:hAnsi="Arial"/>
          <w:sz w:val="18"/>
          <w:szCs w:val="18"/>
          <w:u w:val="single" w:color="auto"/>
          <w:color w:val="0000FF"/>
        </w:rPr>
        <w:t>States</w:t>
      </w:r>
      <w:r>
        <w:rPr>
          <w:rFonts w:ascii="Arial" w:cs="Arial" w:eastAsia="Arial" w:hAnsi="Arial"/>
          <w:sz w:val="18"/>
          <w:szCs w:val="18"/>
          <w:color w:val="auto"/>
        </w:rPr>
        <w:t xml:space="preserve"> Code or any similar federal or state law for the relief of debtors.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6350</wp:posOffset>
            </wp:positionV>
            <wp:extent cx="274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5"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u w:val="single" w:color="auto"/>
          <w:color w:val="0000FF"/>
        </w:rPr>
        <w:t>“Benchmark” means, initially, the Term SOFR Reference Rate; provided that if a Benchmark Transition Event and its related Benchmark Replacement Date have occurred with respect to the Term SOFR Reference Rate or the then-current Benchmark, then “Benchmark” means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-144780</wp:posOffset>
            </wp:positionV>
            <wp:extent cx="68491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0" w:lineRule="auto"/>
        <w:rPr>
          <w:sz w:val="20"/>
          <w:szCs w:val="20"/>
          <w:color w:val="auto"/>
        </w:rPr>
      </w:pPr>
      <w:r>
        <w:rPr>
          <w:rFonts w:ascii="Arial" w:cs="Arial" w:eastAsia="Arial" w:hAnsi="Arial"/>
          <w:sz w:val="18"/>
          <w:szCs w:val="18"/>
          <w:u w:val="single" w:color="auto"/>
          <w:color w:val="0000FF"/>
        </w:rPr>
        <w:t>Benchmark Replacement to the extent that such Benchmark Replacement has replaced such prior benchmark rate pursuant to Section 3.8(a). Any reference to “Benchmark” shall include, as applicable,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46462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646295" cy="8890"/>
                    </a:xfrm>
                    <a:prstGeom prst="rect">
                      <a:avLst/>
                    </a:prstGeom>
                    <a:noFill/>
                  </pic:spPr>
                </pic:pic>
              </a:graphicData>
            </a:graphic>
          </wp:anchor>
        </w:drawing>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FF"/>
        </w:rPr>
        <w:t>“Benchmark Replacement” means, for any Available Tenor, the first alternative set forth in the order below that can be determined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13335</wp:posOffset>
            </wp:positionV>
            <wp:extent cx="62750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Administrative Agent for the applicable Benchmark Replacement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2746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ind w:left="1020" w:hanging="562"/>
        <w:spacing w:after="0"/>
        <w:tabs>
          <w:tab w:leader="none" w:pos="1020" w:val="left"/>
        </w:tabs>
        <w:numPr>
          <w:ilvl w:val="0"/>
          <w:numId w:val="2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Daily Simple SOFR;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wp:posOffset>
            </wp:positionV>
            <wp:extent cx="14312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5"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u w:val="single" w:color="auto"/>
          <w:color w:val="FF0000"/>
        </w:rPr>
        <w:t>“Benchmark Replacement</w:t>
      </w:r>
      <w:r>
        <w:rPr>
          <w:rFonts w:ascii="Arial" w:cs="Arial" w:eastAsia="Arial" w:hAnsi="Arial"/>
          <w:sz w:val="18"/>
          <w:szCs w:val="18"/>
          <w:color w:val="FF0000"/>
        </w:rPr>
        <w:t xml:space="preserve">” </w:t>
      </w:r>
      <w:r>
        <w:rPr>
          <w:rFonts w:ascii="Arial" w:cs="Arial" w:eastAsia="Arial" w:hAnsi="Arial"/>
          <w:sz w:val="18"/>
          <w:szCs w:val="18"/>
          <w:color w:val="FF0000"/>
          <w:strike w:val="1"/>
        </w:rPr>
        <w:t>means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(b)</w:t>
      </w:r>
      <w:r>
        <w:rPr>
          <w:rFonts w:ascii="Arial" w:cs="Arial" w:eastAsia="Arial" w:hAnsi="Arial"/>
          <w:sz w:val="18"/>
          <w:szCs w:val="18"/>
          <w:color w:val="FF0000"/>
        </w:rPr>
        <w:t xml:space="preserve"> </w:t>
      </w:r>
      <w:r>
        <w:rPr>
          <w:rFonts w:ascii="Arial" w:cs="Arial" w:eastAsia="Arial" w:hAnsi="Arial"/>
          <w:sz w:val="18"/>
          <w:szCs w:val="18"/>
          <w:color w:val="000000"/>
        </w:rPr>
        <w:t>the sum of: (</w:t>
      </w:r>
      <w:r>
        <w:rPr>
          <w:rFonts w:ascii="Arial" w:cs="Arial" w:eastAsia="Arial" w:hAnsi="Arial"/>
          <w:sz w:val="18"/>
          <w:szCs w:val="18"/>
          <w:color w:val="FF0000"/>
          <w:strike w:val="1"/>
        </w:rPr>
        <w:t>a</w:t>
      </w:r>
      <w:r>
        <w:rPr>
          <w:rFonts w:ascii="Arial" w:cs="Arial" w:eastAsia="Arial" w:hAnsi="Arial"/>
          <w:sz w:val="18"/>
          <w:szCs w:val="18"/>
          <w:u w:val="single" w:color="auto"/>
          <w:color w:val="0000FF"/>
        </w:rPr>
        <w:t>i</w:t>
      </w:r>
      <w:r>
        <w:rPr>
          <w:rFonts w:ascii="Arial" w:cs="Arial" w:eastAsia="Arial" w:hAnsi="Arial"/>
          <w:sz w:val="18"/>
          <w:szCs w:val="18"/>
          <w:color w:val="000000"/>
        </w:rPr>
        <w:t>) the alternate benchmark rate</w:t>
      </w:r>
      <w:r>
        <w:rPr>
          <w:rFonts w:ascii="Arial" w:cs="Arial" w:eastAsia="Arial" w:hAnsi="Arial"/>
          <w:sz w:val="18"/>
          <w:szCs w:val="18"/>
          <w:color w:val="FF0000"/>
        </w:rPr>
        <w:t xml:space="preserve"> </w:t>
      </w:r>
      <w:r>
        <w:rPr>
          <w:rFonts w:ascii="Arial" w:cs="Arial" w:eastAsia="Arial" w:hAnsi="Arial"/>
          <w:sz w:val="18"/>
          <w:szCs w:val="18"/>
          <w:color w:val="FF0000"/>
          <w:strike w:val="1"/>
        </w:rPr>
        <w:t>(which may include Term SOFR or another rate based on</w:t>
      </w:r>
      <w:r>
        <w:rPr>
          <w:rFonts w:ascii="Arial" w:cs="Arial" w:eastAsia="Arial" w:hAnsi="Arial"/>
          <w:sz w:val="18"/>
          <w:szCs w:val="18"/>
          <w:color w:val="FF0000"/>
        </w:rPr>
        <w:t xml:space="preserve"> </w:t>
      </w:r>
      <w:r>
        <w:rPr>
          <w:rFonts w:ascii="Arial" w:cs="Arial" w:eastAsia="Arial" w:hAnsi="Arial"/>
          <w:sz w:val="18"/>
          <w:szCs w:val="18"/>
          <w:color w:val="FF0000"/>
          <w:strike w:val="1"/>
        </w:rPr>
        <w:t>SOFR)</w:t>
      </w:r>
      <w:r>
        <w:rPr>
          <w:rFonts w:ascii="Arial" w:cs="Arial" w:eastAsia="Arial" w:hAnsi="Arial"/>
          <w:sz w:val="18"/>
          <w:szCs w:val="18"/>
          <w:color w:val="FF0000"/>
        </w:rPr>
        <w:t xml:space="preserve"> </w:t>
      </w:r>
      <w:r>
        <w:rPr>
          <w:rFonts w:ascii="Arial" w:cs="Arial" w:eastAsia="Arial" w:hAnsi="Arial"/>
          <w:sz w:val="18"/>
          <w:szCs w:val="18"/>
          <w:color w:val="000000"/>
        </w:rPr>
        <w:t>that has been selected by the Administrative Agent and the Borrower giving due consideration to (</w:t>
      </w:r>
      <w:r>
        <w:rPr>
          <w:rFonts w:ascii="Arial" w:cs="Arial" w:eastAsia="Arial" w:hAnsi="Arial"/>
          <w:sz w:val="18"/>
          <w:szCs w:val="18"/>
          <w:color w:val="FF0000"/>
          <w:strike w:val="1"/>
        </w:rPr>
        <w:t>i</w:t>
      </w:r>
      <w:r>
        <w:rPr>
          <w:rFonts w:ascii="Arial" w:cs="Arial" w:eastAsia="Arial" w:hAnsi="Arial"/>
          <w:sz w:val="18"/>
          <w:szCs w:val="18"/>
          <w:u w:val="single" w:color="auto"/>
          <w:color w:val="0000FF"/>
        </w:rPr>
        <w:t>A</w:t>
      </w:r>
      <w:r>
        <w:rPr>
          <w:rFonts w:ascii="Arial" w:cs="Arial" w:eastAsia="Arial" w:hAnsi="Arial"/>
          <w:sz w:val="18"/>
          <w:szCs w:val="18"/>
          <w:color w:val="000000"/>
        </w:rPr>
        <w:t>) any selection or recommendation of a</w:t>
      </w:r>
      <w:r>
        <w:rPr>
          <w:rFonts w:ascii="Arial" w:cs="Arial" w:eastAsia="Arial" w:hAnsi="Arial"/>
          <w:sz w:val="18"/>
          <w:szCs w:val="18"/>
          <w:color w:val="FF0000"/>
        </w:rPr>
        <w:t xml:space="preserve"> </w:t>
      </w:r>
      <w:r>
        <w:rPr>
          <w:rFonts w:ascii="Arial" w:cs="Arial" w:eastAsia="Arial" w:hAnsi="Arial"/>
          <w:sz w:val="18"/>
          <w:szCs w:val="18"/>
          <w:color w:val="000000"/>
        </w:rPr>
        <w:t xml:space="preserve">replacement </w:t>
      </w:r>
      <w:r>
        <w:rPr>
          <w:rFonts w:ascii="Arial" w:cs="Arial" w:eastAsia="Arial" w:hAnsi="Arial"/>
          <w:sz w:val="18"/>
          <w:szCs w:val="18"/>
          <w:u w:val="single" w:color="auto"/>
          <w:color w:val="0000FF"/>
        </w:rPr>
        <w:t>benchmark</w:t>
      </w:r>
      <w:r>
        <w:rPr>
          <w:rFonts w:ascii="Arial" w:cs="Arial" w:eastAsia="Arial" w:hAnsi="Arial"/>
          <w:sz w:val="18"/>
          <w:szCs w:val="18"/>
          <w:color w:val="000000"/>
        </w:rPr>
        <w:t xml:space="preserve"> rate or the mechanism for determining such a rate by the Relevant Governmental Body or </w:t>
      </w:r>
      <w:r>
        <w:rPr>
          <w:rFonts w:ascii="Arial" w:cs="Arial" w:eastAsia="Arial" w:hAnsi="Arial"/>
          <w:sz w:val="18"/>
          <w:szCs w:val="18"/>
          <w:color w:val="FF0000"/>
        </w:rPr>
        <w:t>(</w:t>
      </w:r>
      <w:r>
        <w:rPr>
          <w:rFonts w:ascii="Arial" w:cs="Arial" w:eastAsia="Arial" w:hAnsi="Arial"/>
          <w:sz w:val="18"/>
          <w:szCs w:val="18"/>
          <w:color w:val="FF0000"/>
          <w:strike w:val="1"/>
        </w:rPr>
        <w:t>ii</w:t>
      </w:r>
      <w:r>
        <w:rPr>
          <w:rFonts w:ascii="Arial" w:cs="Arial" w:eastAsia="Arial" w:hAnsi="Arial"/>
          <w:sz w:val="18"/>
          <w:szCs w:val="18"/>
          <w:u w:val="single" w:color="auto"/>
          <w:color w:val="0000FF"/>
        </w:rPr>
        <w:t>B</w:t>
      </w:r>
      <w:r>
        <w:rPr>
          <w:rFonts w:ascii="Arial" w:cs="Arial" w:eastAsia="Arial" w:hAnsi="Arial"/>
          <w:sz w:val="18"/>
          <w:szCs w:val="18"/>
          <w:color w:val="000000"/>
        </w:rPr>
        <w:t xml:space="preserve">) any evolving or then-prevailing market convention for determining a </w:t>
      </w:r>
      <w:r>
        <w:rPr>
          <w:rFonts w:ascii="Arial" w:cs="Arial" w:eastAsia="Arial" w:hAnsi="Arial"/>
          <w:sz w:val="18"/>
          <w:szCs w:val="18"/>
          <w:u w:val="single" w:color="auto"/>
          <w:color w:val="0000FF"/>
        </w:rPr>
        <w:t>benchmark</w:t>
      </w:r>
      <w:r>
        <w:rPr>
          <w:rFonts w:ascii="Arial" w:cs="Arial" w:eastAsia="Arial" w:hAnsi="Arial"/>
          <w:sz w:val="18"/>
          <w:szCs w:val="18"/>
          <w:color w:val="000000"/>
        </w:rPr>
        <w:t xml:space="preserve"> rate </w:t>
      </w:r>
      <w:r>
        <w:rPr>
          <w:rFonts w:ascii="Arial" w:cs="Arial" w:eastAsia="Arial" w:hAnsi="Arial"/>
          <w:sz w:val="18"/>
          <w:szCs w:val="18"/>
          <w:color w:val="FF0000"/>
          <w:strike w:val="1"/>
        </w:rPr>
        <w:t>of interest</w:t>
      </w:r>
      <w:r>
        <w:rPr>
          <w:rFonts w:ascii="Arial" w:cs="Arial" w:eastAsia="Arial" w:hAnsi="Arial"/>
          <w:sz w:val="18"/>
          <w:szCs w:val="18"/>
          <w:u w:val="single" w:color="auto"/>
          <w:color w:val="0000FF"/>
        </w:rPr>
        <w:t>and an adjustment</w:t>
      </w:r>
      <w:r>
        <w:rPr>
          <w:rFonts w:ascii="Arial" w:cs="Arial" w:eastAsia="Arial" w:hAnsi="Arial"/>
          <w:sz w:val="18"/>
          <w:szCs w:val="18"/>
          <w:color w:val="000000"/>
        </w:rPr>
        <w:t xml:space="preserve"> as a replacement to the </w:t>
      </w:r>
      <w:r>
        <w:rPr>
          <w:rFonts w:ascii="Arial" w:cs="Arial" w:eastAsia="Arial" w:hAnsi="Arial"/>
          <w:sz w:val="18"/>
          <w:szCs w:val="18"/>
          <w:color w:val="FF0000"/>
          <w:strike w:val="1"/>
        </w:rPr>
        <w:t>LIBOR Rate for U.S. dollar-denominated</w:t>
      </w:r>
      <w:r>
        <w:rPr>
          <w:rFonts w:ascii="Arial" w:cs="Arial" w:eastAsia="Arial" w:hAnsi="Arial"/>
          <w:sz w:val="18"/>
          <w:szCs w:val="18"/>
          <w:u w:val="single" w:color="auto"/>
          <w:color w:val="0000FF"/>
        </w:rPr>
        <w:t>then-current Benchmark for Dollar-denominated</w:t>
      </w:r>
      <w:r>
        <w:rPr>
          <w:rFonts w:ascii="Arial" w:cs="Arial" w:eastAsia="Arial" w:hAnsi="Arial"/>
          <w:sz w:val="18"/>
          <w:szCs w:val="18"/>
          <w:color w:val="0000FF"/>
        </w:rPr>
        <w:t xml:space="preserve"> </w:t>
      </w:r>
      <w:r>
        <w:rPr>
          <w:rFonts w:ascii="Arial" w:cs="Arial" w:eastAsia="Arial" w:hAnsi="Arial"/>
          <w:sz w:val="18"/>
          <w:szCs w:val="18"/>
          <w:color w:val="000000"/>
        </w:rPr>
        <w:t>syndicated credit facilities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at such time</w:t>
      </w:r>
      <w:r>
        <w:rPr>
          <w:rFonts w:ascii="Arial" w:cs="Arial" w:eastAsia="Arial" w:hAnsi="Arial"/>
          <w:sz w:val="18"/>
          <w:szCs w:val="18"/>
          <w:color w:val="0000FF"/>
        </w:rPr>
        <w:t xml:space="preserve"> </w:t>
      </w:r>
      <w:r>
        <w:rPr>
          <w:rFonts w:ascii="Arial" w:cs="Arial" w:eastAsia="Arial" w:hAnsi="Arial"/>
          <w:sz w:val="18"/>
          <w:szCs w:val="18"/>
          <w:color w:val="000000"/>
        </w:rPr>
        <w:t>and (</w:t>
      </w:r>
      <w:r>
        <w:rPr>
          <w:rFonts w:ascii="Arial" w:cs="Arial" w:eastAsia="Arial" w:hAnsi="Arial"/>
          <w:sz w:val="18"/>
          <w:szCs w:val="18"/>
          <w:color w:val="FF0000"/>
          <w:strike w:val="1"/>
        </w:rPr>
        <w:t>b</w:t>
      </w:r>
      <w:r>
        <w:rPr>
          <w:rFonts w:ascii="Arial" w:cs="Arial" w:eastAsia="Arial" w:hAnsi="Arial"/>
          <w:sz w:val="18"/>
          <w:szCs w:val="18"/>
          <w:u w:val="single" w:color="auto"/>
          <w:color w:val="0000FF"/>
        </w:rPr>
        <w:t>ii</w:t>
      </w:r>
      <w:r>
        <w:rPr>
          <w:rFonts w:ascii="Arial" w:cs="Arial" w:eastAsia="Arial" w:hAnsi="Arial"/>
          <w:sz w:val="18"/>
          <w:szCs w:val="18"/>
          <w:color w:val="000000"/>
        </w:rPr>
        <w:t>) the</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related</w:t>
      </w:r>
      <w:r>
        <w:rPr>
          <w:rFonts w:ascii="Arial" w:cs="Arial" w:eastAsia="Arial" w:hAnsi="Arial"/>
          <w:sz w:val="18"/>
          <w:szCs w:val="18"/>
          <w:color w:val="0000FF"/>
        </w:rPr>
        <w:t xml:space="preserve"> </w:t>
      </w:r>
      <w:r>
        <w:rPr>
          <w:rFonts w:ascii="Arial" w:cs="Arial" w:eastAsia="Arial" w:hAnsi="Arial"/>
          <w:sz w:val="18"/>
          <w:szCs w:val="18"/>
          <w:color w:val="000000"/>
        </w:rPr>
        <w:t>Benchmark Replacement Adjustment;</w:t>
      </w:r>
      <w:r>
        <w:rPr>
          <w:rFonts w:ascii="Arial" w:cs="Arial" w:eastAsia="Arial" w:hAnsi="Arial"/>
          <w:sz w:val="18"/>
          <w:szCs w:val="18"/>
          <w:color w:val="0000FF"/>
        </w:rPr>
        <w:t xml:space="preserve"> </w:t>
      </w:r>
      <w:r>
        <w:rPr>
          <w:rFonts w:ascii="Arial" w:cs="Arial" w:eastAsia="Arial" w:hAnsi="Arial"/>
          <w:sz w:val="18"/>
          <w:szCs w:val="18"/>
          <w:u w:val="single" w:color="auto"/>
          <w:color w:val="FF0000"/>
          <w:strike w:val="1"/>
        </w:rPr>
        <w:t>provided</w:t>
      </w:r>
      <w:r>
        <w:rPr>
          <w:rFonts w:ascii="Arial" w:cs="Arial" w:eastAsia="Arial" w:hAnsi="Arial"/>
          <w:sz w:val="18"/>
          <w:szCs w:val="18"/>
          <w:color w:val="0000FF"/>
        </w:rPr>
        <w:t xml:space="preserve"> </w:t>
      </w:r>
      <w:r>
        <w:rPr>
          <w:rFonts w:ascii="Arial" w:cs="Arial" w:eastAsia="Arial" w:hAnsi="Arial"/>
          <w:sz w:val="18"/>
          <w:szCs w:val="18"/>
          <w:color w:val="FF0000"/>
          <w:strike w:val="1"/>
        </w:rPr>
        <w:t>that,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-768350</wp:posOffset>
            </wp:positionV>
            <wp:extent cx="16275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27505"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-699770</wp:posOffset>
            </wp:positionV>
            <wp:extent cx="137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-699770</wp:posOffset>
            </wp:positionV>
            <wp:extent cx="260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-562610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-425450</wp:posOffset>
            </wp:positionV>
            <wp:extent cx="5486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-425450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-288290</wp:posOffset>
            </wp:positionV>
            <wp:extent cx="5397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-288290</wp:posOffset>
            </wp:positionV>
            <wp:extent cx="8483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-288290</wp:posOffset>
            </wp:positionV>
            <wp:extent cx="2317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20231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2311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-151130</wp:posOffset>
            </wp:positionV>
            <wp:extent cx="6172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-151130</wp:posOffset>
            </wp:positionV>
            <wp:extent cx="596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provided, that any such Benchmark Replacement shall be administratively feasible as determined by the Administrative Agent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7551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pacing w:after="0" w:line="2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0000FF"/>
        </w:rPr>
        <w:t>If</w:t>
      </w:r>
      <w:r>
        <w:rPr>
          <w:rFonts w:ascii="Arial" w:cs="Arial" w:eastAsia="Arial" w:hAnsi="Arial"/>
          <w:sz w:val="18"/>
          <w:szCs w:val="18"/>
          <w:color w:val="0000FF"/>
        </w:rPr>
        <w:t xml:space="preserve"> </w:t>
      </w:r>
      <w:r>
        <w:rPr>
          <w:rFonts w:ascii="Arial" w:cs="Arial" w:eastAsia="Arial" w:hAnsi="Arial"/>
          <w:sz w:val="18"/>
          <w:szCs w:val="18"/>
          <w:color w:val="000000"/>
        </w:rPr>
        <w:t>the Benchmark Replacement as</w:t>
      </w:r>
      <w:r>
        <w:rPr>
          <w:rFonts w:ascii="Arial" w:cs="Arial" w:eastAsia="Arial" w:hAnsi="Arial"/>
          <w:sz w:val="18"/>
          <w:szCs w:val="18"/>
          <w:color w:val="0000FF"/>
        </w:rPr>
        <w:t xml:space="preserve"> </w:t>
      </w:r>
      <w:r>
        <w:rPr>
          <w:rFonts w:ascii="Arial" w:cs="Arial" w:eastAsia="Arial" w:hAnsi="Arial"/>
          <w:sz w:val="18"/>
          <w:szCs w:val="18"/>
          <w:color w:val="FF0000"/>
          <w:strike w:val="1"/>
        </w:rPr>
        <w:t>so</w:t>
      </w:r>
      <w:r>
        <w:rPr>
          <w:rFonts w:ascii="Arial" w:cs="Arial" w:eastAsia="Arial" w:hAnsi="Arial"/>
          <w:sz w:val="18"/>
          <w:szCs w:val="18"/>
          <w:color w:val="0000FF"/>
        </w:rPr>
        <w:t xml:space="preserve"> </w:t>
      </w:r>
      <w:r>
        <w:rPr>
          <w:rFonts w:ascii="Arial" w:cs="Arial" w:eastAsia="Arial" w:hAnsi="Arial"/>
          <w:sz w:val="18"/>
          <w:szCs w:val="18"/>
          <w:color w:val="000000"/>
        </w:rPr>
        <w:t>determined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pursuant to clause (a) or (b) above</w:t>
      </w:r>
      <w:r>
        <w:rPr>
          <w:rFonts w:ascii="Arial" w:cs="Arial" w:eastAsia="Arial" w:hAnsi="Arial"/>
          <w:sz w:val="18"/>
          <w:szCs w:val="18"/>
          <w:color w:val="0000FF"/>
        </w:rPr>
        <w:t xml:space="preserve"> </w:t>
      </w:r>
      <w:r>
        <w:rPr>
          <w:rFonts w:ascii="Arial" w:cs="Arial" w:eastAsia="Arial" w:hAnsi="Arial"/>
          <w:sz w:val="18"/>
          <w:szCs w:val="18"/>
          <w:color w:val="000000"/>
        </w:rPr>
        <w:t>would be less than</w:t>
      </w:r>
      <w:r>
        <w:rPr>
          <w:rFonts w:ascii="Arial" w:cs="Arial" w:eastAsia="Arial" w:hAnsi="Arial"/>
          <w:sz w:val="18"/>
          <w:szCs w:val="18"/>
          <w:color w:val="0000FF"/>
        </w:rPr>
        <w:t xml:space="preserve"> </w:t>
      </w:r>
      <w:r>
        <w:rPr>
          <w:rFonts w:ascii="Arial" w:cs="Arial" w:eastAsia="Arial" w:hAnsi="Arial"/>
          <w:sz w:val="18"/>
          <w:szCs w:val="18"/>
          <w:color w:val="FF0000"/>
          <w:strike w:val="1"/>
        </w:rPr>
        <w:t>zero,</w:t>
      </w:r>
      <w:r>
        <w:rPr>
          <w:rFonts w:ascii="Arial" w:cs="Arial" w:eastAsia="Arial" w:hAnsi="Arial"/>
          <w:sz w:val="18"/>
          <w:szCs w:val="18"/>
          <w:color w:val="0000FF"/>
        </w:rPr>
        <w:t xml:space="preserve"> </w:t>
      </w:r>
      <w:r>
        <w:rPr>
          <w:rFonts w:ascii="Arial" w:cs="Arial" w:eastAsia="Arial" w:hAnsi="Arial"/>
          <w:sz w:val="18"/>
          <w:szCs w:val="18"/>
          <w:color w:val="000000"/>
        </w:rPr>
        <w:t>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Floor, such</w:t>
      </w:r>
      <w:r>
        <w:rPr>
          <w:rFonts w:ascii="Arial" w:cs="Arial" w:eastAsia="Arial" w:hAnsi="Arial"/>
          <w:sz w:val="18"/>
          <w:szCs w:val="18"/>
          <w:color w:val="0000FF"/>
        </w:rPr>
        <w:t xml:space="preserve"> </w:t>
      </w:r>
      <w:r>
        <w:rPr>
          <w:rFonts w:ascii="Arial" w:cs="Arial" w:eastAsia="Arial" w:hAnsi="Arial"/>
          <w:sz w:val="18"/>
          <w:szCs w:val="18"/>
          <w:color w:val="000000"/>
        </w:rPr>
        <w:t>Benchmark Replacement will</w:t>
      </w:r>
      <w:r>
        <w:rPr>
          <w:rFonts w:ascii="Arial" w:cs="Arial" w:eastAsia="Arial" w:hAnsi="Arial"/>
          <w:sz w:val="18"/>
          <w:szCs w:val="18"/>
          <w:color w:val="0000FF"/>
        </w:rPr>
        <w:t xml:space="preserve"> </w:t>
      </w:r>
      <w:r>
        <w:rPr>
          <w:rFonts w:ascii="Arial" w:cs="Arial" w:eastAsia="Arial" w:hAnsi="Arial"/>
          <w:sz w:val="18"/>
          <w:szCs w:val="18"/>
          <w:color w:val="000000"/>
        </w:rPr>
        <w:t xml:space="preserve">be deemed to be </w:t>
      </w:r>
      <w:r>
        <w:rPr>
          <w:rFonts w:ascii="Arial" w:cs="Arial" w:eastAsia="Arial" w:hAnsi="Arial"/>
          <w:sz w:val="18"/>
          <w:szCs w:val="18"/>
          <w:color w:val="FF0000"/>
          <w:strike w:val="1"/>
        </w:rPr>
        <w:t>zero</w:t>
      </w:r>
      <w:r>
        <w:rPr>
          <w:rFonts w:ascii="Arial" w:cs="Arial" w:eastAsia="Arial" w:hAnsi="Arial"/>
          <w:sz w:val="18"/>
          <w:szCs w:val="18"/>
          <w:u w:val="single" w:color="auto"/>
          <w:color w:val="0000FF"/>
        </w:rPr>
        <w:t>the Floor</w:t>
      </w:r>
      <w:r>
        <w:rPr>
          <w:rFonts w:ascii="Arial" w:cs="Arial" w:eastAsia="Arial" w:hAnsi="Arial"/>
          <w:sz w:val="18"/>
          <w:szCs w:val="18"/>
          <w:color w:val="000000"/>
        </w:rPr>
        <w:t xml:space="preserve"> for the purposes of this Credit Agreement </w:t>
      </w:r>
      <w:r>
        <w:rPr>
          <w:rFonts w:ascii="Arial" w:cs="Arial" w:eastAsia="Arial" w:hAnsi="Arial"/>
          <w:sz w:val="18"/>
          <w:szCs w:val="18"/>
          <w:color w:val="0000FF"/>
        </w:rPr>
        <w:t>and the other Loan Documents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028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-165100</wp:posOffset>
            </wp:positionV>
            <wp:extent cx="15684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68450"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-182245</wp:posOffset>
            </wp:positionV>
            <wp:extent cx="285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-165100</wp:posOffset>
            </wp:positionV>
            <wp:extent cx="5397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3975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-27940</wp:posOffset>
            </wp:positionV>
            <wp:extent cx="4197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-27940</wp:posOffset>
            </wp:positionV>
            <wp:extent cx="14401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40180" cy="825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-45085</wp:posOffset>
            </wp:positionV>
            <wp:extent cx="14370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150"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Adjustment</w:t>
      </w:r>
      <w:r>
        <w:rPr>
          <w:rFonts w:ascii="Arial" w:cs="Arial" w:eastAsia="Arial" w:hAnsi="Arial"/>
          <w:sz w:val="18"/>
          <w:szCs w:val="18"/>
          <w:color w:val="auto"/>
        </w:rPr>
        <w:t xml:space="preserve">” means, with respect to any replacement of the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then-current Benchmark</w:t>
      </w:r>
      <w:r>
        <w:rPr>
          <w:rFonts w:ascii="Arial" w:cs="Arial" w:eastAsia="Arial" w:hAnsi="Arial"/>
          <w:sz w:val="18"/>
          <w:szCs w:val="18"/>
          <w:color w:val="auto"/>
        </w:rPr>
        <w:t xml:space="preserve"> with an Unadjusted Benchmark Replacement </w:t>
      </w:r>
      <w:r>
        <w:rPr>
          <w:rFonts w:ascii="Arial" w:cs="Arial" w:eastAsia="Arial" w:hAnsi="Arial"/>
          <w:sz w:val="18"/>
          <w:szCs w:val="18"/>
          <w:color w:val="FF0000"/>
        </w:rPr>
        <w:t>for each applicable Interest Period</w:t>
      </w:r>
      <w:r>
        <w:rPr>
          <w:rFonts w:ascii="Arial" w:cs="Arial" w:eastAsia="Arial" w:hAnsi="Arial"/>
          <w:sz w:val="18"/>
          <w:szCs w:val="18"/>
          <w:color w:val="auto"/>
        </w:rPr>
        <w:t>, the spread adjustment, or method for calculating or determining such spread adjustment</w:t>
      </w:r>
      <w:r>
        <w:rPr>
          <w:rFonts w:ascii="Arial" w:cs="Arial" w:eastAsia="Arial" w:hAnsi="Arial"/>
          <w:sz w:val="18"/>
          <w:szCs w:val="18"/>
          <w:color w:val="FF0000"/>
          <w:strike w:val="1"/>
        </w:rPr>
        <w:t>,</w:t>
      </w:r>
      <w:r>
        <w:rPr>
          <w:rFonts w:ascii="Arial" w:cs="Arial" w:eastAsia="Arial" w:hAnsi="Arial"/>
          <w:sz w:val="18"/>
          <w:szCs w:val="18"/>
          <w:color w:val="auto"/>
        </w:rPr>
        <w:t xml:space="preserve"> (which may be a positive or negative value or zero) that has been selected by the Administrative Agent and the Borrower giving due consideration to</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color w:val="FF0000"/>
          <w:strike w:val="1"/>
        </w:rPr>
        <w:t>i</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any selection or recommendation of a spread adjustment, or method for calculating or determining such spread adjustment, for the replacement of </w:t>
      </w:r>
      <w:r>
        <w:rPr>
          <w:rFonts w:ascii="Arial" w:cs="Arial" w:eastAsia="Arial" w:hAnsi="Arial"/>
          <w:sz w:val="18"/>
          <w:szCs w:val="18"/>
          <w:color w:val="FF0000"/>
          <w:strike w:val="1"/>
        </w:rPr>
        <w:t>the</w:t>
      </w:r>
      <w:r>
        <w:rPr>
          <w:rFonts w:ascii="Arial" w:cs="Arial" w:eastAsia="Arial" w:hAnsi="Arial"/>
          <w:sz w:val="18"/>
          <w:szCs w:val="18"/>
          <w:color w:val="auto"/>
        </w:rPr>
        <w:t xml:space="preserve">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such Benchmark</w:t>
      </w:r>
      <w:r>
        <w:rPr>
          <w:rFonts w:ascii="Arial" w:cs="Arial" w:eastAsia="Arial" w:hAnsi="Arial"/>
          <w:sz w:val="18"/>
          <w:szCs w:val="18"/>
          <w:color w:val="FF0000"/>
        </w:rPr>
        <w:t xml:space="preserve"> </w:t>
      </w:r>
      <w:r>
        <w:rPr>
          <w:rFonts w:ascii="Arial" w:cs="Arial" w:eastAsia="Arial" w:hAnsi="Arial"/>
          <w:sz w:val="18"/>
          <w:szCs w:val="18"/>
          <w:color w:val="000000"/>
        </w:rPr>
        <w:t>with the applicable Unadjusted Benchmark Replacement by the Relevant Governmental Body or (</w:t>
      </w:r>
      <w:r>
        <w:rPr>
          <w:rFonts w:ascii="Arial" w:cs="Arial" w:eastAsia="Arial" w:hAnsi="Arial"/>
          <w:sz w:val="18"/>
          <w:szCs w:val="18"/>
          <w:color w:val="FF0000"/>
          <w:strike w:val="1"/>
        </w:rPr>
        <w:t>ii</w:t>
      </w:r>
      <w:r>
        <w:rPr>
          <w:rFonts w:ascii="Arial" w:cs="Arial" w:eastAsia="Arial" w:hAnsi="Arial"/>
          <w:sz w:val="18"/>
          <w:szCs w:val="18"/>
          <w:u w:val="single" w:color="auto"/>
          <w:color w:val="0000FF"/>
        </w:rPr>
        <w:t>b</w:t>
      </w:r>
      <w:r>
        <w:rPr>
          <w:rFonts w:ascii="Arial" w:cs="Arial" w:eastAsia="Arial" w:hAnsi="Arial"/>
          <w:sz w:val="18"/>
          <w:szCs w:val="18"/>
          <w:color w:val="000000"/>
        </w:rPr>
        <w:t xml:space="preserve">) any evolving or then-prevailing market convention for determining a spread adjustment, or method for calculating or determining such spread adjustment, for the replacement of </w:t>
      </w:r>
      <w:r>
        <w:rPr>
          <w:rFonts w:ascii="Arial" w:cs="Arial" w:eastAsia="Arial" w:hAnsi="Arial"/>
          <w:sz w:val="18"/>
          <w:szCs w:val="18"/>
          <w:color w:val="FF0000"/>
          <w:strike w:val="1"/>
        </w:rPr>
        <w:t>the LIBOR Rate</w:t>
      </w:r>
      <w:r>
        <w:rPr>
          <w:rFonts w:ascii="Arial" w:cs="Arial" w:eastAsia="Arial" w:hAnsi="Arial"/>
          <w:sz w:val="18"/>
          <w:szCs w:val="18"/>
          <w:u w:val="single" w:color="auto"/>
          <w:color w:val="0000FF"/>
        </w:rPr>
        <w:t>such Benchmark</w:t>
      </w:r>
      <w:r>
        <w:rPr>
          <w:rFonts w:ascii="Arial" w:cs="Arial" w:eastAsia="Arial" w:hAnsi="Arial"/>
          <w:sz w:val="18"/>
          <w:szCs w:val="18"/>
          <w:color w:val="FF0000"/>
        </w:rPr>
        <w:t xml:space="preserve"> </w:t>
      </w:r>
      <w:r>
        <w:rPr>
          <w:rFonts w:ascii="Arial" w:cs="Arial" w:eastAsia="Arial" w:hAnsi="Arial"/>
          <w:sz w:val="18"/>
          <w:szCs w:val="18"/>
          <w:color w:val="000000"/>
        </w:rPr>
        <w:t>with the applicable Unadjusted Benchmark Replacement for</w:t>
      </w:r>
      <w:r>
        <w:rPr>
          <w:rFonts w:ascii="Arial" w:cs="Arial" w:eastAsia="Arial" w:hAnsi="Arial"/>
          <w:sz w:val="18"/>
          <w:szCs w:val="18"/>
          <w:color w:val="FF0000"/>
        </w:rPr>
        <w:t xml:space="preserve"> </w:t>
      </w:r>
      <w:r>
        <w:rPr>
          <w:rFonts w:ascii="Arial" w:cs="Arial" w:eastAsia="Arial" w:hAnsi="Arial"/>
          <w:sz w:val="18"/>
          <w:szCs w:val="18"/>
          <w:color w:val="FF0000"/>
          <w:strike w:val="1"/>
        </w:rPr>
        <w:t>U.S. dollar-denominated</w:t>
      </w:r>
      <w:r>
        <w:rPr>
          <w:rFonts w:ascii="Arial" w:cs="Arial" w:eastAsia="Arial" w:hAnsi="Arial"/>
          <w:sz w:val="18"/>
          <w:szCs w:val="18"/>
          <w:u w:val="single" w:color="auto"/>
          <w:color w:val="0000FF"/>
        </w:rPr>
        <w:t>Dollar-denominated</w:t>
      </w:r>
      <w:r>
        <w:rPr>
          <w:rFonts w:ascii="Arial" w:cs="Arial" w:eastAsia="Arial" w:hAnsi="Arial"/>
          <w:sz w:val="18"/>
          <w:szCs w:val="18"/>
          <w:color w:val="FF0000"/>
        </w:rPr>
        <w:t xml:space="preserve"> </w:t>
      </w:r>
      <w:r>
        <w:rPr>
          <w:rFonts w:ascii="Arial" w:cs="Arial" w:eastAsia="Arial" w:hAnsi="Arial"/>
          <w:sz w:val="18"/>
          <w:szCs w:val="18"/>
          <w:color w:val="000000"/>
        </w:rPr>
        <w:t>syndicated</w:t>
      </w:r>
      <w:r>
        <w:rPr>
          <w:rFonts w:ascii="Arial" w:cs="Arial" w:eastAsia="Arial" w:hAnsi="Arial"/>
          <w:sz w:val="18"/>
          <w:szCs w:val="18"/>
          <w:color w:val="FF0000"/>
        </w:rPr>
        <w:t xml:space="preserve"> </w:t>
      </w:r>
      <w:r>
        <w:rPr>
          <w:rFonts w:ascii="Arial" w:cs="Arial" w:eastAsia="Arial" w:hAnsi="Arial"/>
          <w:sz w:val="18"/>
          <w:szCs w:val="18"/>
          <w:color w:val="000000"/>
        </w:rPr>
        <w:t xml:space="preserve">credit facilities </w:t>
      </w:r>
      <w:r>
        <w:rPr>
          <w:rFonts w:ascii="Arial" w:cs="Arial" w:eastAsia="Arial" w:hAnsi="Arial"/>
          <w:sz w:val="18"/>
          <w:szCs w:val="18"/>
          <w:color w:val="FF0000"/>
        </w:rPr>
        <w:t>at such time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-974725</wp:posOffset>
            </wp:positionV>
            <wp:extent cx="11315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1165225</wp:posOffset>
            </wp:positionH>
            <wp:positionV relativeFrom="paragraph">
              <wp:posOffset>-906145</wp:posOffset>
            </wp:positionV>
            <wp:extent cx="16725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-700405</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-426085</wp:posOffset>
            </wp:positionV>
            <wp:extent cx="7626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-426085</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-151765</wp:posOffset>
            </wp:positionV>
            <wp:extent cx="7886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-151765</wp:posOffset>
            </wp:positionV>
            <wp:extent cx="9169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687070</wp:posOffset>
            </wp:positionH>
            <wp:positionV relativeFrom="paragraph">
              <wp:posOffset>-83185</wp:posOffset>
            </wp:positionV>
            <wp:extent cx="5803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0390" cy="8255"/>
                    </a:xfrm>
                    <a:prstGeom prst="rect">
                      <a:avLst/>
                    </a:prstGeom>
                    <a:noFill/>
                  </pic:spPr>
                </pic:pic>
              </a:graphicData>
            </a:graphic>
          </wp:anchor>
        </w:drawing>
      </w:r>
    </w:p>
    <w:p>
      <w:pPr>
        <w:spacing w:after="0" w:line="172"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color w:val="FF0000"/>
          <w:strike w:val="1"/>
        </w:rPr>
        <w:t>“Benchmark Replacement Conforming Changes</w:t>
      </w:r>
      <w:r>
        <w:rPr>
          <w:rFonts w:ascii="Arial" w:cs="Arial" w:eastAsia="Arial" w:hAnsi="Arial"/>
          <w:sz w:val="16"/>
          <w:szCs w:val="16"/>
          <w:color w:val="FF0000"/>
        </w:rPr>
        <w:t xml:space="preserve">” </w:t>
      </w:r>
      <w:r>
        <w:rPr>
          <w:rFonts w:ascii="Arial" w:cs="Arial" w:eastAsia="Arial" w:hAnsi="Arial"/>
          <w:sz w:val="16"/>
          <w:szCs w:val="16"/>
          <w:color w:val="FF0000"/>
          <w:strike w:val="1"/>
        </w:rPr>
        <w:t>means, with respect to any Benchmark Replacement, any technical, administrative or operational</w:t>
      </w:r>
      <w:r>
        <w:rPr>
          <w:rFonts w:ascii="Arial" w:cs="Arial" w:eastAsia="Arial" w:hAnsi="Arial"/>
          <w:sz w:val="16"/>
          <w:szCs w:val="16"/>
          <w:color w:val="FF0000"/>
        </w:rPr>
        <w:t xml:space="preserve"> </w:t>
      </w:r>
      <w:r>
        <w:rPr>
          <w:rFonts w:ascii="Arial" w:cs="Arial" w:eastAsia="Arial" w:hAnsi="Arial"/>
          <w:sz w:val="16"/>
          <w:szCs w:val="16"/>
          <w:color w:val="FF0000"/>
          <w:strike w:val="1"/>
        </w:rPr>
        <w:t>changes (including changes to the definition of</w:t>
      </w:r>
      <w:r>
        <w:rPr>
          <w:rFonts w:ascii="Arial" w:cs="Arial" w:eastAsia="Arial" w:hAnsi="Arial"/>
          <w:sz w:val="16"/>
          <w:szCs w:val="16"/>
          <w:color w:val="FF0000"/>
        </w:rPr>
        <w:t xml:space="preserve"> “</w:t>
      </w:r>
      <w:r>
        <w:rPr>
          <w:rFonts w:ascii="Arial" w:cs="Arial" w:eastAsia="Arial" w:hAnsi="Arial"/>
          <w:sz w:val="16"/>
          <w:szCs w:val="16"/>
          <w:color w:val="FF0000"/>
          <w:strike w:val="1"/>
        </w:rPr>
        <w:t>Alternate Base Rate,</w:t>
      </w:r>
      <w:r>
        <w:rPr>
          <w:rFonts w:ascii="Arial" w:cs="Arial" w:eastAsia="Arial" w:hAnsi="Arial"/>
          <w:sz w:val="16"/>
          <w:szCs w:val="16"/>
          <w:color w:val="FF0000"/>
        </w:rPr>
        <w:t>” the definition of “</w:t>
      </w:r>
      <w:r>
        <w:rPr>
          <w:rFonts w:ascii="Arial" w:cs="Arial" w:eastAsia="Arial" w:hAnsi="Arial"/>
          <w:sz w:val="16"/>
          <w:szCs w:val="16"/>
          <w:color w:val="FF0000"/>
          <w:strike w:val="1"/>
        </w:rPr>
        <w:t>Interest Period,</w:t>
      </w:r>
      <w:r>
        <w:rPr>
          <w:rFonts w:ascii="Arial" w:cs="Arial" w:eastAsia="Arial" w:hAnsi="Arial"/>
          <w:sz w:val="16"/>
          <w:szCs w:val="16"/>
          <w:color w:val="FF0000"/>
        </w:rPr>
        <w:t xml:space="preserve">” </w:t>
      </w:r>
      <w:r>
        <w:rPr>
          <w:rFonts w:ascii="Arial" w:cs="Arial" w:eastAsia="Arial" w:hAnsi="Arial"/>
          <w:sz w:val="16"/>
          <w:szCs w:val="16"/>
          <w:color w:val="FF0000"/>
          <w:strike w:val="1"/>
        </w:rPr>
        <w:t>timing and frequency of determining rates and</w:t>
      </w:r>
      <w:r>
        <w:rPr>
          <w:rFonts w:ascii="Arial" w:cs="Arial" w:eastAsia="Arial" w:hAnsi="Arial"/>
          <w:sz w:val="16"/>
          <w:szCs w:val="16"/>
          <w:color w:val="FF0000"/>
        </w:rPr>
        <w:t xml:space="preserve"> </w:t>
      </w:r>
      <w:r>
        <w:rPr>
          <w:rFonts w:ascii="Arial" w:cs="Arial" w:eastAsia="Arial" w:hAnsi="Arial"/>
          <w:sz w:val="16"/>
          <w:szCs w:val="16"/>
          <w:color w:val="FF0000"/>
          <w:strike w:val="1"/>
        </w:rPr>
        <w:t>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-870585</wp:posOffset>
            </wp:positionV>
            <wp:extent cx="22288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228850" cy="8255"/>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-784860</wp:posOffset>
            </wp:positionV>
            <wp:extent cx="8274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7405" cy="8255"/>
                    </a:xfrm>
                    <a:prstGeom prst="rect">
                      <a:avLst/>
                    </a:prstGeom>
                    <a:noFill/>
                  </pic:spPr>
                </pic:pic>
              </a:graphicData>
            </a:graphic>
          </wp:anchor>
        </w:drawing>
      </w:r>
    </w:p>
    <w:p>
      <w:pPr>
        <w:spacing w:after="0" w:line="146" w:lineRule="exact"/>
        <w:rPr>
          <w:sz w:val="20"/>
          <w:szCs w:val="20"/>
          <w:color w:val="auto"/>
        </w:rPr>
      </w:pPr>
    </w:p>
    <w:p>
      <w:pPr>
        <w:ind w:right="68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xml:space="preserve">” means </w:t>
      </w:r>
      <w:r>
        <w:rPr>
          <w:rFonts w:ascii="Arial" w:cs="Arial" w:eastAsia="Arial" w:hAnsi="Arial"/>
          <w:sz w:val="18"/>
          <w:szCs w:val="18"/>
          <w:color w:val="FF0000"/>
          <w:strike w:val="1"/>
        </w:rPr>
        <w:t>the earlier</w:t>
      </w:r>
      <w:r>
        <w:rPr>
          <w:rFonts w:ascii="Arial" w:cs="Arial" w:eastAsia="Arial" w:hAnsi="Arial"/>
          <w:sz w:val="18"/>
          <w:szCs w:val="18"/>
          <w:u w:val="single" w:color="auto"/>
          <w:color w:val="0000FF"/>
        </w:rPr>
        <w:t>a date and time determined by Administrative Agent, which date shall be no later than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earliest</w:t>
      </w:r>
      <w:r>
        <w:rPr>
          <w:rFonts w:ascii="Arial" w:cs="Arial" w:eastAsia="Arial" w:hAnsi="Arial"/>
          <w:sz w:val="18"/>
          <w:szCs w:val="18"/>
          <w:color w:val="0000FF"/>
        </w:rPr>
        <w:t xml:space="preserve"> </w:t>
      </w:r>
      <w:r>
        <w:rPr>
          <w:rFonts w:ascii="Arial" w:cs="Arial" w:eastAsia="Arial" w:hAnsi="Arial"/>
          <w:sz w:val="18"/>
          <w:szCs w:val="18"/>
          <w:color w:val="000000"/>
        </w:rPr>
        <w:t>to occur of the following events with respect to the</w:t>
      </w:r>
      <w:r>
        <w:rPr>
          <w:rFonts w:ascii="Arial" w:cs="Arial" w:eastAsia="Arial" w:hAnsi="Arial"/>
          <w:sz w:val="18"/>
          <w:szCs w:val="18"/>
          <w:color w:val="0000FF"/>
        </w:rPr>
        <w:t xml:space="preserve">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then-current Benchmark</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-165100</wp:posOffset>
            </wp:positionV>
            <wp:extent cx="41059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3257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-27940</wp:posOffset>
            </wp:positionV>
            <wp:extent cx="11144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150" w:lineRule="exact"/>
        <w:rPr>
          <w:sz w:val="20"/>
          <w:szCs w:val="20"/>
          <w:color w:val="auto"/>
        </w:rPr>
      </w:pPr>
    </w:p>
    <w:p>
      <w:pPr>
        <w:jc w:val="both"/>
        <w:ind w:firstLine="9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w:t>
      </w:r>
      <w:r>
        <w:rPr>
          <w:rFonts w:ascii="Arial" w:cs="Arial" w:eastAsia="Arial" w:hAnsi="Arial"/>
          <w:sz w:val="18"/>
          <w:szCs w:val="18"/>
          <w:u w:val="single" w:color="auto"/>
          <w:color w:val="0000FF"/>
        </w:rPr>
        <w:t>a</w:t>
      </w:r>
      <w:r>
        <w:rPr>
          <w:rFonts w:ascii="Arial" w:cs="Arial" w:eastAsia="Arial" w:hAnsi="Arial"/>
          <w:sz w:val="18"/>
          <w:szCs w:val="18"/>
          <w:color w:val="auto"/>
        </w:rPr>
        <w:t>) in the case of clause (</w:t>
      </w:r>
      <w:r>
        <w:rPr>
          <w:rFonts w:ascii="Arial" w:cs="Arial" w:eastAsia="Arial" w:hAnsi="Arial"/>
          <w:sz w:val="18"/>
          <w:szCs w:val="18"/>
          <w:color w:val="FF0000"/>
          <w:strike w:val="1"/>
        </w:rPr>
        <w:t>1</w:t>
      </w:r>
      <w:r>
        <w:rPr>
          <w:rFonts w:ascii="Arial" w:cs="Arial" w:eastAsia="Arial" w:hAnsi="Arial"/>
          <w:sz w:val="18"/>
          <w:szCs w:val="18"/>
          <w:u w:val="single" w:color="auto"/>
          <w:color w:val="0000FF"/>
        </w:rPr>
        <w:t>a</w:t>
      </w:r>
      <w:r>
        <w:rPr>
          <w:rFonts w:ascii="Arial" w:cs="Arial" w:eastAsia="Arial" w:hAnsi="Arial"/>
          <w:sz w:val="18"/>
          <w:szCs w:val="18"/>
          <w:color w:val="auto"/>
        </w:rPr>
        <w:t>) or (</w:t>
      </w:r>
      <w:r>
        <w:rPr>
          <w:rFonts w:ascii="Arial" w:cs="Arial" w:eastAsia="Arial" w:hAnsi="Arial"/>
          <w:sz w:val="18"/>
          <w:szCs w:val="18"/>
          <w:color w:val="FF0000"/>
          <w:strike w:val="1"/>
        </w:rPr>
        <w:t>2</w:t>
      </w:r>
      <w:r>
        <w:rPr>
          <w:rFonts w:ascii="Arial" w:cs="Arial" w:eastAsia="Arial" w:hAnsi="Arial"/>
          <w:sz w:val="18"/>
          <w:szCs w:val="18"/>
          <w:u w:val="single" w:color="auto"/>
          <w:color w:val="0000FF"/>
        </w:rPr>
        <w:t>b</w:t>
      </w:r>
      <w:r>
        <w:rPr>
          <w:rFonts w:ascii="Arial" w:cs="Arial" w:eastAsia="Arial" w:hAnsi="Arial"/>
          <w:sz w:val="18"/>
          <w:szCs w:val="18"/>
          <w:color w:val="auto"/>
        </w:rPr>
        <w:t>) of the definition of “Benchmark Transition Event</w:t>
      </w:r>
      <w:r>
        <w:rPr>
          <w:rFonts w:ascii="Arial" w:cs="Arial" w:eastAsia="Arial" w:hAnsi="Arial"/>
          <w:sz w:val="18"/>
          <w:szCs w:val="18"/>
          <w:color w:val="auto"/>
          <w:strike w:val="1"/>
        </w:rPr>
        <w:t>,</w:t>
      </w: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the later of (</w:t>
      </w:r>
      <w:r>
        <w:rPr>
          <w:rFonts w:ascii="Arial" w:cs="Arial" w:eastAsia="Arial" w:hAnsi="Arial"/>
          <w:sz w:val="18"/>
          <w:szCs w:val="18"/>
          <w:color w:val="FF0000"/>
          <w:strike w:val="1"/>
        </w:rPr>
        <w:t>a</w:t>
      </w:r>
      <w:r>
        <w:rPr>
          <w:rFonts w:ascii="Arial" w:cs="Arial" w:eastAsia="Arial" w:hAnsi="Arial"/>
          <w:sz w:val="18"/>
          <w:szCs w:val="18"/>
          <w:u w:val="single" w:color="auto"/>
          <w:color w:val="0000FF"/>
        </w:rPr>
        <w:t>i</w:t>
      </w:r>
      <w:r>
        <w:rPr>
          <w:rFonts w:ascii="Arial" w:cs="Arial" w:eastAsia="Arial" w:hAnsi="Arial"/>
          <w:sz w:val="18"/>
          <w:szCs w:val="18"/>
          <w:color w:val="auto"/>
        </w:rPr>
        <w:t>) the date of the public statement or publication of information referenced therein and (</w:t>
      </w:r>
      <w:r>
        <w:rPr>
          <w:rFonts w:ascii="Arial" w:cs="Arial" w:eastAsia="Arial" w:hAnsi="Arial"/>
          <w:sz w:val="18"/>
          <w:szCs w:val="18"/>
          <w:color w:val="FF0000"/>
          <w:strike w:val="1"/>
        </w:rPr>
        <w:t>b</w:t>
      </w:r>
      <w:r>
        <w:rPr>
          <w:rFonts w:ascii="Arial" w:cs="Arial" w:eastAsia="Arial" w:hAnsi="Arial"/>
          <w:sz w:val="18"/>
          <w:szCs w:val="18"/>
          <w:u w:val="single" w:color="auto"/>
          <w:color w:val="0000FF"/>
        </w:rPr>
        <w:t>ii</w:t>
      </w:r>
      <w:r>
        <w:rPr>
          <w:rFonts w:ascii="Arial" w:cs="Arial" w:eastAsia="Arial" w:hAnsi="Arial"/>
          <w:sz w:val="18"/>
          <w:szCs w:val="18"/>
          <w:color w:val="auto"/>
        </w:rPr>
        <w:t xml:space="preserve">) the date on which the administrator of </w:t>
      </w:r>
      <w:r>
        <w:rPr>
          <w:rFonts w:ascii="Arial" w:cs="Arial" w:eastAsia="Arial" w:hAnsi="Arial"/>
          <w:sz w:val="18"/>
          <w:szCs w:val="18"/>
          <w:color w:val="FF0000"/>
          <w:strike w:val="1"/>
        </w:rPr>
        <w:t>the LIBOR Rate</w:t>
      </w:r>
      <w:r>
        <w:rPr>
          <w:rFonts w:ascii="Arial" w:cs="Arial" w:eastAsia="Arial" w:hAnsi="Arial"/>
          <w:sz w:val="18"/>
          <w:szCs w:val="18"/>
          <w:u w:val="single" w:color="auto"/>
          <w:color w:val="0000FF"/>
        </w:rPr>
        <w:t>such Benchmark (or the published component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used in the calculation thereof)</w:t>
      </w:r>
      <w:r>
        <w:rPr>
          <w:rFonts w:ascii="Arial" w:cs="Arial" w:eastAsia="Arial" w:hAnsi="Arial"/>
          <w:sz w:val="18"/>
          <w:szCs w:val="18"/>
          <w:color w:val="0000FF"/>
        </w:rPr>
        <w:t xml:space="preserve"> </w:t>
      </w:r>
      <w:r>
        <w:rPr>
          <w:rFonts w:ascii="Arial" w:cs="Arial" w:eastAsia="Arial" w:hAnsi="Arial"/>
          <w:sz w:val="18"/>
          <w:szCs w:val="18"/>
          <w:color w:val="000000"/>
        </w:rPr>
        <w:t>permanently or indefinitely ceases to provide</w:t>
      </w:r>
      <w:r>
        <w:rPr>
          <w:rFonts w:ascii="Arial" w:cs="Arial" w:eastAsia="Arial" w:hAnsi="Arial"/>
          <w:sz w:val="18"/>
          <w:szCs w:val="18"/>
          <w:color w:val="0000FF"/>
        </w:rPr>
        <w:t xml:space="preserve"> </w:t>
      </w:r>
      <w:r>
        <w:rPr>
          <w:rFonts w:ascii="Arial" w:cs="Arial" w:eastAsia="Arial" w:hAnsi="Arial"/>
          <w:sz w:val="18"/>
          <w:szCs w:val="18"/>
          <w:color w:val="FF0000"/>
          <w:strike w:val="1"/>
        </w:rPr>
        <w:t>the LIBOR Rate</w:t>
      </w:r>
      <w:r>
        <w:rPr>
          <w:rFonts w:ascii="Arial" w:cs="Arial" w:eastAsia="Arial" w:hAnsi="Arial"/>
          <w:sz w:val="18"/>
          <w:szCs w:val="18"/>
          <w:u w:val="single" w:color="auto"/>
          <w:color w:val="0000FF"/>
        </w:rPr>
        <w:t>all Available Tenors of such Benchmark (or such component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thereof)</w:t>
      </w:r>
      <w:r>
        <w:rPr>
          <w:rFonts w:ascii="Arial" w:cs="Arial" w:eastAsia="Arial" w:hAnsi="Arial"/>
          <w:sz w:val="18"/>
          <w:szCs w:val="18"/>
          <w:color w:val="000000"/>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-429260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-429260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-429260</wp:posOffset>
            </wp:positionV>
            <wp:extent cx="260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-292100</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-292100</wp:posOffset>
            </wp:positionV>
            <wp:extent cx="21088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08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14230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-154940</wp:posOffset>
            </wp:positionV>
            <wp:extent cx="28035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035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3600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left="160" w:right="320" w:firstLine="640"/>
        <w:spacing w:after="0" w:line="277" w:lineRule="auto"/>
        <w:tabs>
          <w:tab w:leader="none" w:pos="1063" w:val="left"/>
        </w:tabs>
        <w:numPr>
          <w:ilvl w:val="0"/>
          <w:numId w:val="22"/>
        </w:numPr>
        <w:rPr>
          <w:rFonts w:ascii="Arial" w:cs="Arial" w:eastAsia="Arial" w:hAnsi="Arial"/>
          <w:sz w:val="18"/>
          <w:szCs w:val="18"/>
          <w:color w:val="FF0000"/>
          <w:strike w:val="1"/>
        </w:rPr>
      </w:pPr>
      <w:r>
        <w:rPr>
          <w:rFonts w:ascii="Arial" w:cs="Arial" w:eastAsia="Arial" w:hAnsi="Arial"/>
          <w:sz w:val="18"/>
          <w:szCs w:val="18"/>
          <w:color w:val="FF0000"/>
          <w:strike w:val="1"/>
        </w:rPr>
        <w:t>in the case of clause (3) of the definition of</w:t>
      </w:r>
      <w:r>
        <w:rPr>
          <w:rFonts w:ascii="Arial" w:cs="Arial" w:eastAsia="Arial" w:hAnsi="Arial"/>
          <w:sz w:val="18"/>
          <w:szCs w:val="18"/>
          <w:color w:val="FF0000"/>
        </w:rPr>
        <w:t xml:space="preserve"> “</w:t>
      </w:r>
      <w:r>
        <w:rPr>
          <w:rFonts w:ascii="Arial" w:cs="Arial" w:eastAsia="Arial" w:hAnsi="Arial"/>
          <w:sz w:val="18"/>
          <w:szCs w:val="18"/>
          <w:color w:val="FF0000"/>
          <w:strike w:val="1"/>
        </w:rPr>
        <w:t>Benchmark Transition Event,</w:t>
      </w:r>
      <w:r>
        <w:rPr>
          <w:rFonts w:ascii="Arial" w:cs="Arial" w:eastAsia="Arial" w:hAnsi="Arial"/>
          <w:sz w:val="18"/>
          <w:szCs w:val="18"/>
          <w:color w:val="FF0000"/>
        </w:rPr>
        <w:t xml:space="preserve">” the date of the public statement or publication of information </w:t>
      </w:r>
      <w:r>
        <w:rPr>
          <w:rFonts w:ascii="Arial" w:cs="Arial" w:eastAsia="Arial" w:hAnsi="Arial"/>
          <w:sz w:val="18"/>
          <w:szCs w:val="18"/>
          <w:color w:val="FF0000"/>
          <w:strike w:val="1"/>
        </w:rPr>
        <w:t>referenced therein.</w:t>
      </w:r>
    </w:p>
    <w:p>
      <w:pPr>
        <w:spacing w:after="0" w:line="170" w:lineRule="exact"/>
        <w:rPr>
          <w:rFonts w:ascii="Arial" w:cs="Arial" w:eastAsia="Arial" w:hAnsi="Arial"/>
          <w:sz w:val="18"/>
          <w:szCs w:val="18"/>
          <w:color w:val="FF0000"/>
          <w:strike w:val="1"/>
        </w:rPr>
      </w:pPr>
    </w:p>
    <w:p>
      <w:pPr>
        <w:jc w:val="both"/>
        <w:ind w:firstLine="908"/>
        <w:spacing w:after="0" w:line="275" w:lineRule="auto"/>
        <w:tabs>
          <w:tab w:leader="none" w:pos="1510" w:val="left"/>
        </w:tabs>
        <w:numPr>
          <w:ilvl w:val="1"/>
          <w:numId w:val="22"/>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4114165</wp:posOffset>
            </wp:positionH>
            <wp:positionV relativeFrom="paragraph">
              <wp:posOffset>-1052830</wp:posOffset>
            </wp:positionV>
            <wp:extent cx="28174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1749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-572770</wp:posOffset>
            </wp:positionV>
            <wp:extent cx="65576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1234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wp:posOffset>
            </wp:positionV>
            <wp:extent cx="47574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757420"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For the avoidance of doubt, the “Benchmark Replacement Date” will be deemed to have occurred in the case of clause (a) or (b) with respect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Benchmark upon the occurrence of the applicable event or events set forth therein with respect to all then-current Available Tenors of such Benchmark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62318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xml:space="preserve">” means the occurrence of one or more of the following events with respect to the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then-current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6350</wp:posOffset>
            </wp:positionV>
            <wp:extent cx="5568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Benchmark</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226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91" w:lineRule="exact"/>
        <w:rPr>
          <w:sz w:val="20"/>
          <w:szCs w:val="20"/>
          <w:color w:val="auto"/>
        </w:rPr>
      </w:pPr>
    </w:p>
    <w:p>
      <w:pPr>
        <w:jc w:val="both"/>
        <w:ind w:firstLine="90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color w:val="FF0000"/>
          <w:strike w:val="1"/>
        </w:rPr>
        <w:t>1</w:t>
      </w:r>
      <w:r>
        <w:rPr>
          <w:rFonts w:ascii="Arial" w:cs="Arial" w:eastAsia="Arial" w:hAnsi="Arial"/>
          <w:sz w:val="16"/>
          <w:szCs w:val="16"/>
          <w:u w:val="single" w:color="auto"/>
          <w:color w:val="0000FF"/>
        </w:rPr>
        <w:t>a</w:t>
      </w:r>
      <w:r>
        <w:rPr>
          <w:rFonts w:ascii="Arial" w:cs="Arial" w:eastAsia="Arial" w:hAnsi="Arial"/>
          <w:sz w:val="16"/>
          <w:szCs w:val="16"/>
          <w:color w:val="auto"/>
        </w:rPr>
        <w:t xml:space="preserve">) a public statement or publication of information by or on behalf of the administrator of </w:t>
      </w:r>
      <w:r>
        <w:rPr>
          <w:rFonts w:ascii="Arial" w:cs="Arial" w:eastAsia="Arial" w:hAnsi="Arial"/>
          <w:sz w:val="16"/>
          <w:szCs w:val="16"/>
          <w:color w:val="FF0000"/>
          <w:strike w:val="1"/>
        </w:rPr>
        <w:t>the LIBOR Rate</w:t>
      </w:r>
      <w:r>
        <w:rPr>
          <w:rFonts w:ascii="Arial" w:cs="Arial" w:eastAsia="Arial" w:hAnsi="Arial"/>
          <w:sz w:val="16"/>
          <w:szCs w:val="16"/>
          <w:u w:val="single" w:color="auto"/>
          <w:color w:val="0000FF"/>
        </w:rPr>
        <w:t>such Benchmark (or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published component used in the calculation thereof)</w:t>
      </w:r>
      <w:r>
        <w:rPr>
          <w:rFonts w:ascii="Arial" w:cs="Arial" w:eastAsia="Arial" w:hAnsi="Arial"/>
          <w:sz w:val="16"/>
          <w:szCs w:val="16"/>
          <w:color w:val="0000FF"/>
        </w:rPr>
        <w:t xml:space="preserve"> </w:t>
      </w:r>
      <w:r>
        <w:rPr>
          <w:rFonts w:ascii="Arial" w:cs="Arial" w:eastAsia="Arial" w:hAnsi="Arial"/>
          <w:sz w:val="16"/>
          <w:szCs w:val="16"/>
          <w:color w:val="000000"/>
        </w:rPr>
        <w:t>announcing that such administrator has ceased or will cease to provide</w:t>
      </w:r>
      <w:r>
        <w:rPr>
          <w:rFonts w:ascii="Arial" w:cs="Arial" w:eastAsia="Arial" w:hAnsi="Arial"/>
          <w:sz w:val="16"/>
          <w:szCs w:val="16"/>
          <w:color w:val="0000FF"/>
        </w:rPr>
        <w:t xml:space="preserve"> </w:t>
      </w:r>
      <w:r>
        <w:rPr>
          <w:rFonts w:ascii="Arial" w:cs="Arial" w:eastAsia="Arial" w:hAnsi="Arial"/>
          <w:sz w:val="16"/>
          <w:szCs w:val="16"/>
          <w:color w:val="FF0000"/>
          <w:strike w:val="1"/>
        </w:rPr>
        <w:t>the LIBOR Rate</w:t>
      </w:r>
      <w:r>
        <w:rPr>
          <w:rFonts w:ascii="Arial" w:cs="Arial" w:eastAsia="Arial" w:hAnsi="Arial"/>
          <w:sz w:val="16"/>
          <w:szCs w:val="16"/>
          <w:u w:val="single" w:color="auto"/>
          <w:color w:val="0000FF"/>
        </w:rPr>
        <w:t>all Available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Tenors of such Benchmark (or such component thereof)</w:t>
      </w:r>
      <w:r>
        <w:rPr>
          <w:rFonts w:ascii="Arial" w:cs="Arial" w:eastAsia="Arial" w:hAnsi="Arial"/>
          <w:sz w:val="16"/>
          <w:szCs w:val="16"/>
          <w:color w:val="000000"/>
        </w:rPr>
        <w:t>, permanently or indefinitely</w:t>
      </w:r>
      <w:r>
        <w:rPr>
          <w:rFonts w:ascii="Arial" w:cs="Arial" w:eastAsia="Arial" w:hAnsi="Arial"/>
          <w:sz w:val="16"/>
          <w:szCs w:val="16"/>
          <w:color w:val="FF0000"/>
          <w:strike w:val="1"/>
        </w:rPr>
        <w:t>,</w:t>
      </w:r>
      <w:r>
        <w:rPr>
          <w:rFonts w:ascii="Arial" w:cs="Arial" w:eastAsia="Arial" w:hAnsi="Arial"/>
          <w:sz w:val="16"/>
          <w:szCs w:val="16"/>
          <w:u w:val="single" w:color="auto"/>
          <w:color w:val="000000"/>
        </w:rPr>
        <w:t>; provided</w:t>
      </w:r>
      <w:r>
        <w:rPr>
          <w:rFonts w:ascii="Arial" w:cs="Arial" w:eastAsia="Arial" w:hAnsi="Arial"/>
          <w:sz w:val="16"/>
          <w:szCs w:val="16"/>
          <w:color w:val="0000FF"/>
        </w:rPr>
        <w:t xml:space="preserve"> </w:t>
      </w:r>
      <w:r>
        <w:rPr>
          <w:rFonts w:ascii="Arial" w:cs="Arial" w:eastAsia="Arial" w:hAnsi="Arial"/>
          <w:sz w:val="16"/>
          <w:szCs w:val="16"/>
          <w:color w:val="000000"/>
        </w:rPr>
        <w:t>that, at the time of such statement or publication, there is no</w:t>
      </w:r>
      <w:r>
        <w:rPr>
          <w:rFonts w:ascii="Arial" w:cs="Arial" w:eastAsia="Arial" w:hAnsi="Arial"/>
          <w:sz w:val="16"/>
          <w:szCs w:val="16"/>
          <w:color w:val="0000FF"/>
        </w:rPr>
        <w:t xml:space="preserve"> </w:t>
      </w:r>
      <w:r>
        <w:rPr>
          <w:rFonts w:ascii="Arial" w:cs="Arial" w:eastAsia="Arial" w:hAnsi="Arial"/>
          <w:sz w:val="16"/>
          <w:szCs w:val="16"/>
          <w:color w:val="000000"/>
        </w:rPr>
        <w:t xml:space="preserve">successor administrator that will continue to provide </w:t>
      </w:r>
      <w:r>
        <w:rPr>
          <w:rFonts w:ascii="Arial" w:cs="Arial" w:eastAsia="Arial" w:hAnsi="Arial"/>
          <w:sz w:val="16"/>
          <w:szCs w:val="16"/>
          <w:color w:val="FF0000"/>
          <w:strike w:val="1"/>
        </w:rPr>
        <w:t>the LIBOR Rate</w:t>
      </w:r>
      <w:r>
        <w:rPr>
          <w:rFonts w:ascii="Arial" w:cs="Arial" w:eastAsia="Arial" w:hAnsi="Arial"/>
          <w:sz w:val="16"/>
          <w:szCs w:val="16"/>
          <w:u w:val="single" w:color="auto"/>
          <w:color w:val="0000FF"/>
        </w:rPr>
        <w:t>any Available Tenor of such Benchmark (or such component thereof)</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-447675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-447675</wp:posOffset>
            </wp:positionV>
            <wp:extent cx="11398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24517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5173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-310515</wp:posOffset>
            </wp:positionV>
            <wp:extent cx="58293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255460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5460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-302260</wp:posOffset>
            </wp:positionV>
            <wp:extent cx="25400"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400" cy="12890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-36195</wp:posOffset>
            </wp:positionV>
            <wp:extent cx="31629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37" w:lineRule="exact"/>
        <w:rPr>
          <w:sz w:val="20"/>
          <w:szCs w:val="20"/>
          <w:color w:val="auto"/>
        </w:rPr>
      </w:pPr>
    </w:p>
    <w:p>
      <w:pPr>
        <w:jc w:val="both"/>
        <w:ind w:firstLine="90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2</w:t>
      </w:r>
      <w:r>
        <w:rPr>
          <w:rFonts w:ascii="Arial" w:cs="Arial" w:eastAsia="Arial" w:hAnsi="Arial"/>
          <w:sz w:val="17"/>
          <w:szCs w:val="17"/>
          <w:u w:val="single" w:color="auto"/>
          <w:color w:val="0000FF"/>
        </w:rPr>
        <w:t>b</w:t>
      </w:r>
      <w:r>
        <w:rPr>
          <w:rFonts w:ascii="Arial" w:cs="Arial" w:eastAsia="Arial" w:hAnsi="Arial"/>
          <w:sz w:val="17"/>
          <w:szCs w:val="17"/>
          <w:color w:val="auto"/>
        </w:rPr>
        <w:t xml:space="preserve">) a public statement or publication of information by the regulatory supervisor for the administrator of </w:t>
      </w:r>
      <w:r>
        <w:rPr>
          <w:rFonts w:ascii="Arial" w:cs="Arial" w:eastAsia="Arial" w:hAnsi="Arial"/>
          <w:sz w:val="17"/>
          <w:szCs w:val="17"/>
          <w:color w:val="FF0000"/>
          <w:strike w:val="1"/>
        </w:rPr>
        <w:t>the LIBOR Rate, the U.S.</w:t>
      </w:r>
      <w:r>
        <w:rPr>
          <w:rFonts w:ascii="Arial" w:cs="Arial" w:eastAsia="Arial" w:hAnsi="Arial"/>
          <w:sz w:val="17"/>
          <w:szCs w:val="17"/>
          <w:u w:val="single" w:color="auto"/>
          <w:color w:val="0000FF"/>
        </w:rPr>
        <w:t>such</w:t>
      </w:r>
      <w:r>
        <w:rPr>
          <w:rFonts w:ascii="Arial" w:cs="Arial" w:eastAsia="Arial" w:hAnsi="Arial"/>
          <w:sz w:val="17"/>
          <w:szCs w:val="17"/>
          <w:color w:val="auto"/>
        </w:rPr>
        <w:t xml:space="preserve"> </w:t>
      </w:r>
      <w:r>
        <w:rPr>
          <w:rFonts w:ascii="Arial" w:cs="Arial" w:eastAsia="Arial" w:hAnsi="Arial"/>
          <w:sz w:val="17"/>
          <w:szCs w:val="17"/>
          <w:u w:val="single" w:color="auto"/>
          <w:color w:val="0000FF"/>
        </w:rPr>
        <w:t>Benchmark (or the published component used in the calculation thereof), the</w:t>
      </w:r>
      <w:r>
        <w:rPr>
          <w:rFonts w:ascii="Arial" w:cs="Arial" w:eastAsia="Arial" w:hAnsi="Arial"/>
          <w:sz w:val="17"/>
          <w:szCs w:val="17"/>
          <w:color w:val="0000FF"/>
        </w:rPr>
        <w:t xml:space="preserve"> </w:t>
      </w:r>
      <w:r>
        <w:rPr>
          <w:rFonts w:ascii="Arial" w:cs="Arial" w:eastAsia="Arial" w:hAnsi="Arial"/>
          <w:sz w:val="17"/>
          <w:szCs w:val="17"/>
          <w:color w:val="000000"/>
        </w:rPr>
        <w:t>Federal Reserve</w:t>
      </w:r>
      <w:r>
        <w:rPr>
          <w:rFonts w:ascii="Arial" w:cs="Arial" w:eastAsia="Arial" w:hAnsi="Arial"/>
          <w:sz w:val="17"/>
          <w:szCs w:val="17"/>
          <w:color w:val="0000FF"/>
        </w:rPr>
        <w:t xml:space="preserve"> </w:t>
      </w:r>
      <w:r>
        <w:rPr>
          <w:rFonts w:ascii="Arial" w:cs="Arial" w:eastAsia="Arial" w:hAnsi="Arial"/>
          <w:sz w:val="17"/>
          <w:szCs w:val="17"/>
          <w:color w:val="FF0000"/>
          <w:strike w:val="1"/>
        </w:rPr>
        <w:t>System</w:t>
      </w:r>
      <w:r>
        <w:rPr>
          <w:rFonts w:ascii="Arial" w:cs="Arial" w:eastAsia="Arial" w:hAnsi="Arial"/>
          <w:sz w:val="17"/>
          <w:szCs w:val="17"/>
          <w:u w:val="single" w:color="auto"/>
          <w:color w:val="0000FF"/>
        </w:rPr>
        <w:t>Board, the Federal Reserve Bank of New York</w:t>
      </w:r>
      <w:r>
        <w:rPr>
          <w:rFonts w:ascii="Arial" w:cs="Arial" w:eastAsia="Arial" w:hAnsi="Arial"/>
          <w:sz w:val="17"/>
          <w:szCs w:val="17"/>
          <w:color w:val="000000"/>
        </w:rPr>
        <w:t>, an</w:t>
      </w:r>
      <w:r>
        <w:rPr>
          <w:rFonts w:ascii="Arial" w:cs="Arial" w:eastAsia="Arial" w:hAnsi="Arial"/>
          <w:sz w:val="17"/>
          <w:szCs w:val="17"/>
          <w:color w:val="0000FF"/>
        </w:rPr>
        <w:t xml:space="preserve"> </w:t>
      </w:r>
      <w:r>
        <w:rPr>
          <w:rFonts w:ascii="Arial" w:cs="Arial" w:eastAsia="Arial" w:hAnsi="Arial"/>
          <w:sz w:val="17"/>
          <w:szCs w:val="17"/>
          <w:color w:val="000000"/>
        </w:rPr>
        <w:t xml:space="preserve">insolvency official with jurisdiction over the administrator for </w:t>
      </w:r>
      <w:r>
        <w:rPr>
          <w:rFonts w:ascii="Arial" w:cs="Arial" w:eastAsia="Arial" w:hAnsi="Arial"/>
          <w:sz w:val="17"/>
          <w:szCs w:val="17"/>
          <w:color w:val="FF0000"/>
          <w:strike w:val="1"/>
        </w:rPr>
        <w:t>the LIBOR Rate</w:t>
      </w:r>
      <w:r>
        <w:rPr>
          <w:rFonts w:ascii="Arial" w:cs="Arial" w:eastAsia="Arial" w:hAnsi="Arial"/>
          <w:sz w:val="17"/>
          <w:szCs w:val="17"/>
          <w:u w:val="single" w:color="auto"/>
          <w:color w:val="0000FF"/>
        </w:rPr>
        <w:t>such Benchmark (or such component)</w:t>
      </w:r>
      <w:r>
        <w:rPr>
          <w:rFonts w:ascii="Arial" w:cs="Arial" w:eastAsia="Arial" w:hAnsi="Arial"/>
          <w:sz w:val="17"/>
          <w:szCs w:val="17"/>
          <w:color w:val="000000"/>
        </w:rPr>
        <w:t xml:space="preserve">, a resolution authority with jurisdiction over the administrator for </w:t>
      </w:r>
      <w:r>
        <w:rPr>
          <w:rFonts w:ascii="Arial" w:cs="Arial" w:eastAsia="Arial" w:hAnsi="Arial"/>
          <w:sz w:val="17"/>
          <w:szCs w:val="17"/>
          <w:color w:val="FF0000"/>
          <w:strike w:val="1"/>
        </w:rPr>
        <w:t>the LIBOR Rate</w:t>
      </w:r>
      <w:r>
        <w:rPr>
          <w:rFonts w:ascii="Arial" w:cs="Arial" w:eastAsia="Arial" w:hAnsi="Arial"/>
          <w:sz w:val="17"/>
          <w:szCs w:val="17"/>
          <w:u w:val="single" w:color="auto"/>
          <w:color w:val="0000FF"/>
        </w:rPr>
        <w:t>such Benchmark (or such component)</w:t>
      </w:r>
      <w:r>
        <w:rPr>
          <w:rFonts w:ascii="Arial" w:cs="Arial" w:eastAsia="Arial" w:hAnsi="Arial"/>
          <w:sz w:val="17"/>
          <w:szCs w:val="17"/>
          <w:color w:val="000000"/>
        </w:rPr>
        <w:t xml:space="preserve"> or a court or an entity with similar insolvency or resolution authority over the administrator for </w:t>
      </w:r>
      <w:r>
        <w:rPr>
          <w:rFonts w:ascii="Arial" w:cs="Arial" w:eastAsia="Arial" w:hAnsi="Arial"/>
          <w:sz w:val="17"/>
          <w:szCs w:val="17"/>
          <w:color w:val="FF0000"/>
          <w:strike w:val="1"/>
        </w:rPr>
        <w:t>the LIBOR Rate</w:t>
      </w:r>
      <w:r>
        <w:rPr>
          <w:rFonts w:ascii="Arial" w:cs="Arial" w:eastAsia="Arial" w:hAnsi="Arial"/>
          <w:sz w:val="17"/>
          <w:szCs w:val="17"/>
          <w:u w:val="single" w:color="auto"/>
          <w:color w:val="0000FF"/>
        </w:rPr>
        <w:t>such Benchmark (or such component)</w:t>
      </w:r>
      <w:r>
        <w:rPr>
          <w:rFonts w:ascii="Arial" w:cs="Arial" w:eastAsia="Arial" w:hAnsi="Arial"/>
          <w:sz w:val="17"/>
          <w:szCs w:val="17"/>
          <w:color w:val="000000"/>
        </w:rPr>
        <w:t xml:space="preserve">, which states that the administrator of </w:t>
      </w:r>
      <w:r>
        <w:rPr>
          <w:rFonts w:ascii="Arial" w:cs="Arial" w:eastAsia="Arial" w:hAnsi="Arial"/>
          <w:sz w:val="17"/>
          <w:szCs w:val="17"/>
          <w:color w:val="FF0000"/>
          <w:strike w:val="1"/>
        </w:rPr>
        <w:t>the LIBOR Rate</w:t>
      </w:r>
      <w:r>
        <w:rPr>
          <w:rFonts w:ascii="Arial" w:cs="Arial" w:eastAsia="Arial" w:hAnsi="Arial"/>
          <w:sz w:val="17"/>
          <w:szCs w:val="17"/>
          <w:u w:val="single" w:color="auto"/>
          <w:color w:val="0000FF"/>
        </w:rPr>
        <w:t>such</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Benchmark (or such component)</w:t>
      </w:r>
      <w:r>
        <w:rPr>
          <w:rFonts w:ascii="Arial" w:cs="Arial" w:eastAsia="Arial" w:hAnsi="Arial"/>
          <w:sz w:val="17"/>
          <w:szCs w:val="17"/>
          <w:color w:val="0000FF"/>
        </w:rPr>
        <w:t xml:space="preserve"> </w:t>
      </w:r>
      <w:r>
        <w:rPr>
          <w:rFonts w:ascii="Arial" w:cs="Arial" w:eastAsia="Arial" w:hAnsi="Arial"/>
          <w:sz w:val="17"/>
          <w:szCs w:val="17"/>
          <w:color w:val="000000"/>
        </w:rPr>
        <w:t>has ceased or will cease to provide</w:t>
      </w:r>
      <w:r>
        <w:rPr>
          <w:rFonts w:ascii="Arial" w:cs="Arial" w:eastAsia="Arial" w:hAnsi="Arial"/>
          <w:sz w:val="17"/>
          <w:szCs w:val="17"/>
          <w:color w:val="0000FF"/>
        </w:rPr>
        <w:t xml:space="preserve"> </w:t>
      </w:r>
      <w:r>
        <w:rPr>
          <w:rFonts w:ascii="Arial" w:cs="Arial" w:eastAsia="Arial" w:hAnsi="Arial"/>
          <w:sz w:val="17"/>
          <w:szCs w:val="17"/>
          <w:color w:val="FF0000"/>
          <w:strike w:val="1"/>
        </w:rPr>
        <w:t>the LIBOR Rate</w:t>
      </w:r>
      <w:r>
        <w:rPr>
          <w:rFonts w:ascii="Arial" w:cs="Arial" w:eastAsia="Arial" w:hAnsi="Arial"/>
          <w:sz w:val="17"/>
          <w:szCs w:val="17"/>
          <w:u w:val="single" w:color="auto"/>
          <w:color w:val="0000FF"/>
        </w:rPr>
        <w:t>all Available Tenors of such Benchmark (or such component thereof)</w:t>
      </w:r>
      <w:r>
        <w:rPr>
          <w:rFonts w:ascii="Arial" w:cs="Arial" w:eastAsia="Arial" w:hAnsi="Arial"/>
          <w:sz w:val="17"/>
          <w:szCs w:val="17"/>
          <w:color w:val="0000FF"/>
        </w:rPr>
        <w:t xml:space="preserve"> </w:t>
      </w:r>
      <w:r>
        <w:rPr>
          <w:rFonts w:ascii="Arial" w:cs="Arial" w:eastAsia="Arial" w:hAnsi="Arial"/>
          <w:sz w:val="17"/>
          <w:szCs w:val="17"/>
          <w:color w:val="000000"/>
        </w:rPr>
        <w:t>permanently or indefinitely</w:t>
      </w:r>
      <w:r>
        <w:rPr>
          <w:rFonts w:ascii="Arial" w:cs="Arial" w:eastAsia="Arial" w:hAnsi="Arial"/>
          <w:sz w:val="17"/>
          <w:szCs w:val="17"/>
          <w:color w:val="FF0000"/>
          <w:strike w:val="1"/>
        </w:rPr>
        <w:t>,</w:t>
      </w:r>
      <w:r>
        <w:rPr>
          <w:rFonts w:ascii="Arial" w:cs="Arial" w:eastAsia="Arial" w:hAnsi="Arial"/>
          <w:sz w:val="17"/>
          <w:szCs w:val="17"/>
          <w:u w:val="single" w:color="auto"/>
          <w:color w:val="0000FF"/>
        </w:rPr>
        <w:t>;</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at the time of such statement or publication, there is no successor administrator that will continue to provide </w:t>
      </w:r>
      <w:r>
        <w:rPr>
          <w:rFonts w:ascii="Arial" w:cs="Arial" w:eastAsia="Arial" w:hAnsi="Arial"/>
          <w:sz w:val="17"/>
          <w:szCs w:val="17"/>
          <w:color w:val="FF0000"/>
          <w:strike w:val="1"/>
        </w:rPr>
        <w:t>the</w:t>
      </w:r>
      <w:r>
        <w:rPr>
          <w:rFonts w:ascii="Arial" w:cs="Arial" w:eastAsia="Arial" w:hAnsi="Arial"/>
          <w:sz w:val="17"/>
          <w:szCs w:val="17"/>
          <w:color w:val="000000"/>
        </w:rPr>
        <w:t xml:space="preserve"> </w:t>
      </w:r>
      <w:r>
        <w:rPr>
          <w:rFonts w:ascii="Arial" w:cs="Arial" w:eastAsia="Arial" w:hAnsi="Arial"/>
          <w:sz w:val="17"/>
          <w:szCs w:val="17"/>
          <w:color w:val="FF0000"/>
          <w:strike w:val="1"/>
        </w:rPr>
        <w:t>LIBOR Rate</w:t>
      </w:r>
      <w:r>
        <w:rPr>
          <w:rFonts w:ascii="Arial" w:cs="Arial" w:eastAsia="Arial" w:hAnsi="Arial"/>
          <w:sz w:val="17"/>
          <w:szCs w:val="17"/>
          <w:u w:val="single" w:color="auto"/>
          <w:color w:val="0000FF"/>
        </w:rPr>
        <w:t>any Available Tenor of such Benchmark (or such component thereof)</w:t>
      </w:r>
      <w:r>
        <w:rPr>
          <w:rFonts w:ascii="Arial" w:cs="Arial" w:eastAsia="Arial" w:hAnsi="Arial"/>
          <w:sz w:val="17"/>
          <w:szCs w:val="17"/>
          <w:color w:val="000000"/>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-982980</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-982980</wp:posOffset>
            </wp:positionV>
            <wp:extent cx="2146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-845820</wp:posOffset>
            </wp:positionV>
            <wp:extent cx="69519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-708660</wp:posOffset>
            </wp:positionV>
            <wp:extent cx="185991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5991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-571500</wp:posOffset>
            </wp:positionV>
            <wp:extent cx="17659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65935"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-434340</wp:posOffset>
            </wp:positionV>
            <wp:extent cx="17913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9133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-434340</wp:posOffset>
            </wp:positionV>
            <wp:extent cx="21463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15087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0876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-297180</wp:posOffset>
            </wp:positionV>
            <wp:extent cx="32061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-160020</wp:posOffset>
            </wp:positionV>
            <wp:extent cx="342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-22860</wp:posOffset>
            </wp:positionV>
            <wp:extent cx="31629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58" w:lineRule="exact"/>
        <w:rPr>
          <w:sz w:val="20"/>
          <w:szCs w:val="20"/>
          <w:color w:val="auto"/>
        </w:rPr>
      </w:pPr>
    </w:p>
    <w:p>
      <w:pPr>
        <w:jc w:val="both"/>
        <w:ind w:firstLine="908"/>
        <w:spacing w:after="0" w:line="311" w:lineRule="auto"/>
        <w:tabs>
          <w:tab w:leader="none" w:pos="1500" w:val="left"/>
        </w:tabs>
        <w:numPr>
          <w:ilvl w:val="0"/>
          <w:numId w:val="2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-315595</wp:posOffset>
            </wp:positionV>
            <wp:extent cx="65493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12343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60432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0000FF"/>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234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14401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ind w:firstLine="908"/>
        <w:spacing w:after="0" w:line="308" w:lineRule="auto"/>
        <w:tabs>
          <w:tab w:leader="none" w:pos="1165" w:val="left"/>
        </w:tabs>
        <w:numPr>
          <w:ilvl w:val="0"/>
          <w:numId w:val="24"/>
        </w:numPr>
        <w:rPr>
          <w:rFonts w:ascii="Arial" w:cs="Arial" w:eastAsia="Arial" w:hAnsi="Arial"/>
          <w:sz w:val="17"/>
          <w:szCs w:val="17"/>
          <w:color w:val="FF0000"/>
          <w:strike w:val="1"/>
        </w:rPr>
      </w:pPr>
      <w:r>
        <w:rPr>
          <w:rFonts w:ascii="Arial" w:cs="Arial" w:eastAsia="Arial" w:hAnsi="Arial"/>
          <w:sz w:val="17"/>
          <w:szCs w:val="17"/>
          <w:color w:val="FF0000"/>
          <w:strike w:val="1"/>
        </w:rPr>
        <w:t>a public statement or publication of information by the regulatory supervisor for the administrator of the LIBOR Rate or a Governmental Authority having jurisdiction over the Administrative Agent in effect announcing that the LIBOR Rate is no longer representative.</w:t>
      </w:r>
    </w:p>
    <w:p>
      <w:pPr>
        <w:spacing w:after="0" w:line="146" w:lineRule="exact"/>
        <w:rPr>
          <w:sz w:val="20"/>
          <w:szCs w:val="20"/>
          <w:color w:val="auto"/>
        </w:rPr>
      </w:pPr>
    </w:p>
    <w:p>
      <w:pPr>
        <w:jc w:val="both"/>
        <w:ind w:firstLine="450"/>
        <w:spacing w:after="0" w:line="229" w:lineRule="auto"/>
        <w:rPr>
          <w:sz w:val="20"/>
          <w:szCs w:val="20"/>
          <w:color w:val="auto"/>
        </w:rPr>
      </w:pPr>
      <w:r>
        <w:rPr>
          <w:rFonts w:ascii="Arial" w:cs="Arial" w:eastAsia="Arial" w:hAnsi="Arial"/>
          <w:sz w:val="18"/>
          <w:szCs w:val="18"/>
          <w:u w:val="single" w:color="auto"/>
          <w:color w:val="FF0000"/>
        </w:rPr>
        <w:t>“Benchmark Transition Start Date</w:t>
      </w:r>
      <w:r>
        <w:rPr>
          <w:rFonts w:ascii="Arial" w:cs="Arial" w:eastAsia="Arial" w:hAnsi="Arial"/>
          <w:sz w:val="18"/>
          <w:szCs w:val="18"/>
          <w:color w:val="FF0000"/>
        </w:rPr>
        <w:t xml:space="preserve">” </w:t>
      </w:r>
      <w:r>
        <w:rPr>
          <w:rFonts w:ascii="Arial" w:cs="Arial" w:eastAsia="Arial" w:hAnsi="Arial"/>
          <w:sz w:val="18"/>
          <w:szCs w:val="18"/>
          <w:color w:val="FF0000"/>
          <w:strike w:val="1"/>
        </w:rPr>
        <w:t>means (a) in the case of a Benchmark Transition Event, the earlier of (i) the applicable Benchmark Replacement</w:t>
      </w:r>
      <w:r>
        <w:rPr>
          <w:rFonts w:ascii="Arial" w:cs="Arial" w:eastAsia="Arial" w:hAnsi="Arial"/>
          <w:sz w:val="18"/>
          <w:szCs w:val="18"/>
          <w:color w:val="FF0000"/>
        </w:rPr>
        <w:t xml:space="preserve"> </w:t>
      </w:r>
      <w:r>
        <w:rPr>
          <w:rFonts w:ascii="Arial" w:cs="Arial" w:eastAsia="Arial" w:hAnsi="Arial"/>
          <w:sz w:val="18"/>
          <w:szCs w:val="18"/>
          <w:color w:val="FF0000"/>
          <w:strike w:val="1"/>
        </w:rPr>
        <w:t>Date and (ii) if such Benchmark Transition Event is a public statement or publication of information of a prospective event, the 90</w:t>
      </w:r>
      <w:r>
        <w:rPr>
          <w:rFonts w:ascii="Arial" w:cs="Arial" w:eastAsia="Arial" w:hAnsi="Arial"/>
          <w:sz w:val="29"/>
          <w:szCs w:val="29"/>
          <w:color w:val="FF0000"/>
          <w:strike w:val="1"/>
          <w:vertAlign w:val="superscript"/>
        </w:rPr>
        <w:t>th</w:t>
      </w:r>
      <w:r>
        <w:rPr>
          <w:rFonts w:ascii="Arial" w:cs="Arial" w:eastAsia="Arial" w:hAnsi="Arial"/>
          <w:sz w:val="18"/>
          <w:szCs w:val="18"/>
          <w:color w:val="FF0000"/>
          <w:strike w:val="1"/>
        </w:rPr>
        <w:t xml:space="preserve">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Required Lenders, as applicable, by notice to the Borrower, the Administrative Agent (in the case of such notice by the Required Lenders)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-759460</wp:posOffset>
            </wp:positionV>
            <wp:extent cx="15684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6"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xml:space="preserve">” means, </w:t>
      </w:r>
      <w:r>
        <w:rPr>
          <w:rFonts w:ascii="Arial" w:cs="Arial" w:eastAsia="Arial" w:hAnsi="Arial"/>
          <w:sz w:val="18"/>
          <w:szCs w:val="18"/>
          <w:color w:val="FF0000"/>
          <w:strike w:val="1"/>
        </w:rPr>
        <w:t>if a Benchmark Transition Event and its related Benchmark Replacement Date have occurred with</w:t>
      </w:r>
      <w:r>
        <w:rPr>
          <w:rFonts w:ascii="Arial" w:cs="Arial" w:eastAsia="Arial" w:hAnsi="Arial"/>
          <w:sz w:val="18"/>
          <w:szCs w:val="18"/>
          <w:color w:val="auto"/>
        </w:rPr>
        <w:t xml:space="preserve"> </w:t>
      </w:r>
      <w:r>
        <w:rPr>
          <w:rFonts w:ascii="Arial" w:cs="Arial" w:eastAsia="Arial" w:hAnsi="Arial"/>
          <w:sz w:val="18"/>
          <w:szCs w:val="18"/>
          <w:color w:val="FF0000"/>
          <w:strike w:val="1"/>
        </w:rPr>
        <w:t>respect to the LIBOR Rate and solely to the extent that the LIBOR Rate has not been replaced with a Benchmark Replacement,</w:t>
      </w:r>
      <w:r>
        <w:rPr>
          <w:rFonts w:ascii="Arial" w:cs="Arial" w:eastAsia="Arial" w:hAnsi="Arial"/>
          <w:sz w:val="18"/>
          <w:szCs w:val="18"/>
          <w:color w:val="FF0000"/>
        </w:rPr>
        <w:t xml:space="preserve"> </w:t>
      </w:r>
      <w:r>
        <w:rPr>
          <w:rFonts w:ascii="Arial" w:cs="Arial" w:eastAsia="Arial" w:hAnsi="Arial"/>
          <w:sz w:val="18"/>
          <w:szCs w:val="18"/>
          <w:color w:val="000000"/>
        </w:rPr>
        <w:t>the period (</w:t>
      </w:r>
      <w:r>
        <w:rPr>
          <w:rFonts w:ascii="Arial" w:cs="Arial" w:eastAsia="Arial" w:hAnsi="Arial"/>
          <w:sz w:val="18"/>
          <w:szCs w:val="18"/>
          <w:color w:val="FF0000"/>
          <w:strike w:val="1"/>
        </w:rPr>
        <w:t>x</w:t>
      </w:r>
      <w:r>
        <w:rPr>
          <w:rFonts w:ascii="Arial" w:cs="Arial" w:eastAsia="Arial" w:hAnsi="Arial"/>
          <w:sz w:val="18"/>
          <w:szCs w:val="18"/>
          <w:u w:val="single" w:color="auto"/>
          <w:color w:val="0000FF"/>
        </w:rPr>
        <w:t>if any) (a)</w:t>
      </w:r>
      <w:r>
        <w:rPr>
          <w:rFonts w:ascii="Arial" w:cs="Arial" w:eastAsia="Arial" w:hAnsi="Arial"/>
          <w:sz w:val="18"/>
          <w:szCs w:val="18"/>
          <w:color w:val="FF0000"/>
        </w:rPr>
        <w:t xml:space="preserve"> </w:t>
      </w:r>
      <w:r>
        <w:rPr>
          <w:rFonts w:ascii="Arial" w:cs="Arial" w:eastAsia="Arial" w:hAnsi="Arial"/>
          <w:sz w:val="18"/>
          <w:szCs w:val="18"/>
          <w:color w:val="000000"/>
        </w:rPr>
        <w:t xml:space="preserve">beginning at the time that </w:t>
      </w:r>
      <w:r>
        <w:rPr>
          <w:rFonts w:ascii="Arial" w:cs="Arial" w:eastAsia="Arial" w:hAnsi="Arial"/>
          <w:sz w:val="18"/>
          <w:szCs w:val="18"/>
          <w:color w:val="FF0000"/>
          <w:strike w:val="1"/>
        </w:rPr>
        <w:t>such</w:t>
      </w:r>
      <w:r>
        <w:rPr>
          <w:rFonts w:ascii="Arial" w:cs="Arial" w:eastAsia="Arial" w:hAnsi="Arial"/>
          <w:sz w:val="18"/>
          <w:szCs w:val="18"/>
          <w:u w:val="single" w:color="auto"/>
          <w:color w:val="0000FF"/>
        </w:rPr>
        <w:t>a</w:t>
      </w:r>
      <w:r>
        <w:rPr>
          <w:rFonts w:ascii="Arial" w:cs="Arial" w:eastAsia="Arial" w:hAnsi="Arial"/>
          <w:sz w:val="18"/>
          <w:szCs w:val="18"/>
          <w:color w:val="000000"/>
        </w:rPr>
        <w:t xml:space="preserve"> Benchmark Replacement Date has occurred if, at such time, no Benchmark Replacement has replaced the </w:t>
      </w:r>
      <w:r>
        <w:rPr>
          <w:rFonts w:ascii="Arial" w:cs="Arial" w:eastAsia="Arial" w:hAnsi="Arial"/>
          <w:sz w:val="18"/>
          <w:szCs w:val="18"/>
          <w:color w:val="FF0000"/>
          <w:strike w:val="1"/>
        </w:rPr>
        <w:t>LIBOR</w:t>
      </w:r>
      <w:r>
        <w:rPr>
          <w:rFonts w:ascii="Arial" w:cs="Arial" w:eastAsia="Arial" w:hAnsi="Arial"/>
          <w:sz w:val="18"/>
          <w:szCs w:val="18"/>
          <w:color w:val="000000"/>
        </w:rPr>
        <w:t xml:space="preserve"> </w:t>
      </w:r>
      <w:r>
        <w:rPr>
          <w:rFonts w:ascii="Arial" w:cs="Arial" w:eastAsia="Arial" w:hAnsi="Arial"/>
          <w:sz w:val="18"/>
          <w:szCs w:val="18"/>
          <w:color w:val="FF0000"/>
          <w:strike w:val="1"/>
        </w:rPr>
        <w:t>Rate</w:t>
      </w:r>
      <w:r>
        <w:rPr>
          <w:rFonts w:ascii="Arial" w:cs="Arial" w:eastAsia="Arial" w:hAnsi="Arial"/>
          <w:sz w:val="18"/>
          <w:szCs w:val="18"/>
          <w:u w:val="single" w:color="auto"/>
          <w:color w:val="0000FF"/>
        </w:rPr>
        <w:t>then-current Benchmark</w:t>
      </w:r>
      <w:r>
        <w:rPr>
          <w:rFonts w:ascii="Arial" w:cs="Arial" w:eastAsia="Arial" w:hAnsi="Arial"/>
          <w:sz w:val="18"/>
          <w:szCs w:val="18"/>
          <w:color w:val="FF0000"/>
        </w:rPr>
        <w:t xml:space="preserve"> </w:t>
      </w:r>
      <w:r>
        <w:rPr>
          <w:rFonts w:ascii="Arial" w:cs="Arial" w:eastAsia="Arial" w:hAnsi="Arial"/>
          <w:sz w:val="18"/>
          <w:szCs w:val="18"/>
          <w:color w:val="000000"/>
        </w:rPr>
        <w:t>for all purposes hereunder</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and under any Loan Document</w:t>
      </w:r>
      <w:r>
        <w:rPr>
          <w:rFonts w:ascii="Arial" w:cs="Arial" w:eastAsia="Arial" w:hAnsi="Arial"/>
          <w:sz w:val="18"/>
          <w:szCs w:val="18"/>
          <w:color w:val="FF0000"/>
        </w:rPr>
        <w:t xml:space="preserve"> </w:t>
      </w:r>
      <w:r>
        <w:rPr>
          <w:rFonts w:ascii="Arial" w:cs="Arial" w:eastAsia="Arial" w:hAnsi="Arial"/>
          <w:sz w:val="18"/>
          <w:szCs w:val="18"/>
          <w:color w:val="000000"/>
        </w:rPr>
        <w:t>in accordance with</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Section</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3.3</w:t>
      </w:r>
      <w:r>
        <w:rPr>
          <w:rFonts w:ascii="Arial" w:cs="Arial" w:eastAsia="Arial" w:hAnsi="Arial"/>
          <w:sz w:val="18"/>
          <w:szCs w:val="18"/>
          <w:u w:val="single" w:color="auto"/>
          <w:color w:val="0000FF"/>
        </w:rPr>
        <w:t>3.8 and</w:t>
      </w:r>
      <w:r>
        <w:rPr>
          <w:rFonts w:ascii="Arial" w:cs="Arial" w:eastAsia="Arial" w:hAnsi="Arial"/>
          <w:sz w:val="18"/>
          <w:szCs w:val="18"/>
          <w:color w:val="FF0000"/>
        </w:rPr>
        <w:t xml:space="preserve"> </w:t>
      </w:r>
      <w:r>
        <w:rPr>
          <w:rFonts w:ascii="Arial" w:cs="Arial" w:eastAsia="Arial" w:hAnsi="Arial"/>
          <w:sz w:val="18"/>
          <w:szCs w:val="18"/>
          <w:color w:val="000000"/>
        </w:rPr>
        <w:t>(b)</w:t>
      </w:r>
      <w:r>
        <w:rPr>
          <w:rFonts w:ascii="Arial" w:cs="Arial" w:eastAsia="Arial" w:hAnsi="Arial"/>
          <w:sz w:val="18"/>
          <w:szCs w:val="18"/>
          <w:color w:val="FF0000"/>
        </w:rPr>
        <w:t xml:space="preserve"> </w:t>
      </w:r>
      <w:r>
        <w:rPr>
          <w:rFonts w:ascii="Arial" w:cs="Arial" w:eastAsia="Arial" w:hAnsi="Arial"/>
          <w:sz w:val="18"/>
          <w:szCs w:val="18"/>
          <w:color w:val="FF0000"/>
          <w:strike w:val="1"/>
        </w:rPr>
        <w:t>and (y)</w:t>
      </w:r>
      <w:r>
        <w:rPr>
          <w:rFonts w:ascii="Arial" w:cs="Arial" w:eastAsia="Arial" w:hAnsi="Arial"/>
          <w:sz w:val="18"/>
          <w:szCs w:val="18"/>
          <w:color w:val="FF0000"/>
        </w:rPr>
        <w:t xml:space="preserve"> </w:t>
      </w:r>
      <w:r>
        <w:rPr>
          <w:rFonts w:ascii="Arial" w:cs="Arial" w:eastAsia="Arial" w:hAnsi="Arial"/>
          <w:sz w:val="18"/>
          <w:szCs w:val="18"/>
          <w:color w:val="000000"/>
        </w:rPr>
        <w:t>ending at the time</w:t>
      </w:r>
      <w:r>
        <w:rPr>
          <w:rFonts w:ascii="Arial" w:cs="Arial" w:eastAsia="Arial" w:hAnsi="Arial"/>
          <w:sz w:val="18"/>
          <w:szCs w:val="18"/>
          <w:color w:val="FF0000"/>
        </w:rPr>
        <w:t xml:space="preserve"> </w:t>
      </w:r>
      <w:r>
        <w:rPr>
          <w:rFonts w:ascii="Arial" w:cs="Arial" w:eastAsia="Arial" w:hAnsi="Arial"/>
          <w:sz w:val="18"/>
          <w:szCs w:val="18"/>
          <w:color w:val="000000"/>
        </w:rPr>
        <w:t xml:space="preserve">that a Benchmark Replacement has replaced the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then-current Benchmark</w:t>
      </w:r>
      <w:r>
        <w:rPr>
          <w:rFonts w:ascii="Arial" w:cs="Arial" w:eastAsia="Arial" w:hAnsi="Arial"/>
          <w:sz w:val="18"/>
          <w:szCs w:val="18"/>
          <w:color w:val="000000"/>
        </w:rPr>
        <w:t xml:space="preserve"> for all purposes hereunder </w:t>
      </w:r>
      <w:r>
        <w:rPr>
          <w:rFonts w:ascii="Arial" w:cs="Arial" w:eastAsia="Arial" w:hAnsi="Arial"/>
          <w:sz w:val="18"/>
          <w:szCs w:val="18"/>
          <w:u w:val="single" w:color="auto"/>
          <w:color w:val="0000FF"/>
          <w:strike w:val="1"/>
        </w:rPr>
        <w:t>pursuant</w:t>
      </w:r>
      <w:r>
        <w:rPr>
          <w:rFonts w:ascii="Arial" w:cs="Arial" w:eastAsia="Arial" w:hAnsi="Arial"/>
          <w:sz w:val="18"/>
          <w:szCs w:val="18"/>
          <w:color w:val="000000"/>
        </w:rPr>
        <w:t xml:space="preserve"> </w:t>
      </w:r>
      <w:r>
        <w:rPr>
          <w:rFonts w:ascii="Arial" w:cs="Arial" w:eastAsia="Arial" w:hAnsi="Arial"/>
          <w:sz w:val="18"/>
          <w:szCs w:val="18"/>
          <w:color w:val="0000FF"/>
          <w:strike w:val="1"/>
        </w:rPr>
        <w:t>to</w:t>
      </w:r>
      <w:r>
        <w:rPr>
          <w:rFonts w:ascii="Arial" w:cs="Arial" w:eastAsia="Arial" w:hAnsi="Arial"/>
          <w:sz w:val="18"/>
          <w:szCs w:val="18"/>
          <w:u w:val="single" w:color="auto"/>
          <w:color w:val="0000FF"/>
        </w:rPr>
        <w:t>and under any Loan Document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in accordance with</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w:t>
      </w:r>
      <w:r>
        <w:rPr>
          <w:rFonts w:ascii="Arial" w:cs="Arial" w:eastAsia="Arial" w:hAnsi="Arial"/>
          <w:sz w:val="18"/>
          <w:szCs w:val="18"/>
          <w:color w:val="0000FF"/>
        </w:rPr>
        <w:t xml:space="preserve"> </w:t>
      </w:r>
      <w:r>
        <w:rPr>
          <w:rFonts w:ascii="Arial" w:cs="Arial" w:eastAsia="Arial" w:hAnsi="Arial"/>
          <w:sz w:val="18"/>
          <w:szCs w:val="18"/>
          <w:u w:val="single" w:color="auto"/>
          <w:color w:val="FF0000"/>
          <w:strike w:val="1"/>
        </w:rPr>
        <w:t>3.3(b)</w:t>
      </w:r>
      <w:r>
        <w:rPr>
          <w:rFonts w:ascii="Arial" w:cs="Arial" w:eastAsia="Arial" w:hAnsi="Arial"/>
          <w:sz w:val="18"/>
          <w:szCs w:val="18"/>
          <w:u w:val="single" w:color="auto"/>
          <w:color w:val="0000FF"/>
        </w:rPr>
        <w:t>3.8</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6657340</wp:posOffset>
            </wp:positionH>
            <wp:positionV relativeFrom="paragraph">
              <wp:posOffset>-562610</wp:posOffset>
            </wp:positionV>
            <wp:extent cx="47180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-425450</wp:posOffset>
            </wp:positionV>
            <wp:extent cx="514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-288290</wp:posOffset>
            </wp:positionV>
            <wp:extent cx="11144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-288290</wp:posOffset>
            </wp:positionV>
            <wp:extent cx="1448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48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-288290</wp:posOffset>
            </wp:positionV>
            <wp:extent cx="33401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-151130</wp:posOffset>
            </wp:positionV>
            <wp:extent cx="11144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-151130</wp:posOffset>
            </wp:positionV>
            <wp:extent cx="19456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9456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86550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-13970</wp:posOffset>
            </wp:positionV>
            <wp:extent cx="1454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2"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with respect to the Borrower, a certification regarding beneficial ownership as required by the Beneficial Ownership Regulation, which certification shall be substantially in the form provided by Administrative Agent or such other form satisfactory to the Administrative Agent.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Biostage Litigation</w:t>
      </w:r>
      <w:r>
        <w:rPr>
          <w:rFonts w:ascii="Arial" w:cs="Arial" w:eastAsia="Arial" w:hAnsi="Arial"/>
          <w:sz w:val="18"/>
          <w:szCs w:val="18"/>
          <w:color w:val="auto"/>
        </w:rPr>
        <w:t>” means the wrongful death complaint filed on behalf of an individual plaintiff related to an injury purported to have been caused by a product produced by a subsidiary of the Borrower, as disclosed to the Administrative Agent and the Lenders prior to the First Amendment Effective Date.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FF0000"/>
        </w:rPr>
        <w:t>“Board</w:t>
      </w:r>
      <w:r>
        <w:rPr>
          <w:rFonts w:ascii="Arial" w:cs="Arial" w:eastAsia="Arial" w:hAnsi="Arial"/>
          <w:sz w:val="18"/>
          <w:szCs w:val="18"/>
          <w:color w:val="FF0000"/>
        </w:rPr>
        <w:t xml:space="preserve">” </w:t>
      </w:r>
      <w:r>
        <w:rPr>
          <w:rFonts w:ascii="Arial" w:cs="Arial" w:eastAsia="Arial" w:hAnsi="Arial"/>
          <w:sz w:val="18"/>
          <w:szCs w:val="18"/>
          <w:color w:val="FF0000"/>
          <w:strike w:val="1"/>
        </w:rPr>
        <w:t>means the Board of Governors of the Federal Reserve System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-61595</wp:posOffset>
            </wp:positionV>
            <wp:extent cx="3302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0200"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Preamble.</w:t>
      </w:r>
    </w:p>
    <w:p>
      <w:pPr>
        <w:spacing w:after="0" w:line="225" w:lineRule="exact"/>
        <w:rPr>
          <w:sz w:val="20"/>
          <w:szCs w:val="20"/>
          <w:color w:val="auto"/>
        </w:rPr>
      </w:pPr>
    </w:p>
    <w:p>
      <w:pPr>
        <w:ind w:right="134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means Loans of the same Class, Type and currency made, converted or continued on the same date and, in the case of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FF0000"/>
        </w:rPr>
        <w:t xml:space="preserve"> </w:t>
      </w:r>
      <w:r>
        <w:rPr>
          <w:rFonts w:ascii="Arial" w:cs="Arial" w:eastAsia="Arial" w:hAnsi="Arial"/>
          <w:sz w:val="18"/>
          <w:szCs w:val="18"/>
          <w:color w:val="000000"/>
        </w:rPr>
        <w:t>Loans, as to which a single Interest Period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28321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150" w:lineRule="exact"/>
        <w:rPr>
          <w:sz w:val="20"/>
          <w:szCs w:val="20"/>
          <w:color w:val="auto"/>
        </w:rPr>
      </w:pPr>
    </w:p>
    <w:p>
      <w:pPr>
        <w:ind w:right="20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Minimum</w:t>
      </w:r>
      <w:r>
        <w:rPr>
          <w:rFonts w:ascii="Arial" w:cs="Arial" w:eastAsia="Arial" w:hAnsi="Arial"/>
          <w:sz w:val="18"/>
          <w:szCs w:val="18"/>
          <w:color w:val="auto"/>
        </w:rPr>
        <w:t xml:space="preserve">” means (a) in the case of a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Borrowing, $1,000,000 (b) in the case of an ABR Borrowing, $100,000, and (c) in the case of a Swingline Loan, $100,000.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-165100</wp:posOffset>
            </wp:positionV>
            <wp:extent cx="2825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150"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Multiple</w:t>
      </w:r>
      <w:r>
        <w:rPr>
          <w:rFonts w:ascii="Arial" w:cs="Arial" w:eastAsia="Arial" w:hAnsi="Arial"/>
          <w:sz w:val="18"/>
          <w:szCs w:val="18"/>
          <w:color w:val="auto"/>
        </w:rPr>
        <w:t xml:space="preserve">” means (a) in the case of a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Borrowing, $500,000, (b) in the case of an ABR Borrowing, $100,000, and (c) in the case of a Swingline Loan, $100,000.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-165100</wp:posOffset>
            </wp:positionV>
            <wp:extent cx="29146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day on which banks in New York City, New York are authorized or required by law to close</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however</w:t>
      </w:r>
      <w:r>
        <w:rPr>
          <w:rFonts w:ascii="Arial" w:cs="Arial" w:eastAsia="Arial" w:hAnsi="Arial"/>
          <w:sz w:val="18"/>
          <w:szCs w:val="18"/>
          <w:color w:val="FF0000"/>
          <w:strike w:val="1"/>
        </w:rPr>
        <w:t>, that when used in connection with a LIBOR Loan, the term</w:t>
      </w:r>
      <w:r>
        <w:rPr>
          <w:rFonts w:ascii="Arial" w:cs="Arial" w:eastAsia="Arial" w:hAnsi="Arial"/>
          <w:sz w:val="18"/>
          <w:szCs w:val="18"/>
          <w:color w:val="auto"/>
        </w:rPr>
        <w:t xml:space="preserve"> </w:t>
      </w:r>
      <w:r>
        <w:rPr>
          <w:rFonts w:ascii="Arial" w:cs="Arial" w:eastAsia="Arial" w:hAnsi="Arial"/>
          <w:sz w:val="18"/>
          <w:szCs w:val="18"/>
          <w:color w:val="FF0000"/>
        </w:rPr>
        <w:t>“</w:t>
      </w:r>
      <w:r>
        <w:rPr>
          <w:rFonts w:ascii="Arial" w:cs="Arial" w:eastAsia="Arial" w:hAnsi="Arial"/>
          <w:sz w:val="18"/>
          <w:szCs w:val="18"/>
          <w:color w:val="FF0000"/>
          <w:strike w:val="1"/>
        </w:rPr>
        <w:t>Business Day</w:t>
      </w:r>
      <w:r>
        <w:rPr>
          <w:rFonts w:ascii="Arial" w:cs="Arial" w:eastAsia="Arial" w:hAnsi="Arial"/>
          <w:sz w:val="18"/>
          <w:szCs w:val="18"/>
          <w:color w:val="FF0000"/>
        </w:rPr>
        <w:t>”</w:t>
      </w:r>
      <w:r>
        <w:rPr>
          <w:rFonts w:ascii="Arial" w:cs="Arial" w:eastAsia="Arial" w:hAnsi="Arial"/>
          <w:sz w:val="18"/>
          <w:szCs w:val="18"/>
          <w:color w:val="auto"/>
        </w:rPr>
        <w:t xml:space="preserve"> </w:t>
      </w:r>
      <w:r>
        <w:rPr>
          <w:rFonts w:ascii="Arial" w:cs="Arial" w:eastAsia="Arial" w:hAnsi="Arial"/>
          <w:sz w:val="18"/>
          <w:szCs w:val="18"/>
          <w:color w:val="FF0000"/>
          <w:strike w:val="1"/>
        </w:rPr>
        <w:t>shall also exclude any day on which banks are not</w:t>
      </w:r>
      <w:r>
        <w:rPr>
          <w:rFonts w:ascii="Arial" w:cs="Arial" w:eastAsia="Arial" w:hAnsi="Arial"/>
          <w:sz w:val="18"/>
          <w:szCs w:val="18"/>
          <w:color w:val="auto"/>
        </w:rPr>
        <w:t xml:space="preserve"> </w:t>
      </w:r>
      <w:r>
        <w:rPr>
          <w:rFonts w:ascii="Arial" w:cs="Arial" w:eastAsia="Arial" w:hAnsi="Arial"/>
          <w:sz w:val="18"/>
          <w:szCs w:val="18"/>
          <w:color w:val="FF0000"/>
          <w:strike w:val="1"/>
        </w:rPr>
        <w:t>open for dealings in Dollar deposits in the London interbank market</w:t>
      </w:r>
      <w:r>
        <w:rPr>
          <w:rFonts w:ascii="Arial" w:cs="Arial" w:eastAsia="Arial" w:hAnsi="Arial"/>
          <w:sz w:val="18"/>
          <w:szCs w:val="18"/>
          <w:color w:val="000000"/>
        </w:rPr>
        <w:t>.</w:t>
      </w:r>
    </w:p>
    <w:p>
      <w:pPr>
        <w:spacing w:after="0" w:line="184"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Date</w:t>
      </w:r>
      <w:r>
        <w:rPr>
          <w:rFonts w:ascii="Arial" w:cs="Arial" w:eastAsia="Arial" w:hAnsi="Arial"/>
          <w:sz w:val="18"/>
          <w:szCs w:val="18"/>
          <w:color w:val="auto"/>
        </w:rPr>
        <w:t>” means (a) the date of delivery of each Committed Loan Notice, (b) the date of issuance, extension or renewal of any Letter of Credit (other than an Auto-Renewal Letter of Credit) or (c) such additional dates as the Administrative Agent or the Required Lenders with respect to the Revolving Facility shall specify.</w:t>
      </w:r>
    </w:p>
    <w:p>
      <w:pPr>
        <w:spacing w:after="0" w:line="184"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for any period, with respect to any Person, the aggregate of all expenditures (whether paid in cash or other consideration or accrued as a liability) by such Person and its subsidiaries for the acquisition or leasing (pursuant to a Finance Lease) of fixed or capital assets or additions to equipment (including replacements, capitalized repairs and improvements during such period) that in accordance with GAAP are or should be included in “property, plant and equipment” or in a similar fixed asset account on its balance sheet (including all capitalized lease obligations that are paid or due and payable during such period, and it being understood that “Capital Expenditures” shall not include any portion of the purchase price of a Permitted Acquisition that is required to be capitalized under GAAP).</w:t>
      </w:r>
    </w:p>
    <w:p>
      <w:pPr>
        <w:spacing w:after="0" w:line="192"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deposit in a Controlled Account or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each of the Administrative Agent and the L/C Issuer shall agree in its sole discretion, other credit support, in each case pursuant to documentation in form and substance reasonably satisfactory to the Administrative Agent and the L/C Issuer. “</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w:t>
      </w:r>
      <w:r>
        <w:rPr>
          <w:rFonts w:ascii="Arial" w:cs="Arial" w:eastAsia="Arial" w:hAnsi="Arial"/>
          <w:sz w:val="18"/>
          <w:szCs w:val="18"/>
          <w:u w:val="single" w:color="auto"/>
          <w:color w:val="auto"/>
        </w:rPr>
        <w:t>Collateral</w:t>
      </w:r>
      <w:r>
        <w:rPr>
          <w:rFonts w:ascii="Arial" w:cs="Arial" w:eastAsia="Arial" w:hAnsi="Arial"/>
          <w:sz w:val="18"/>
          <w:szCs w:val="18"/>
          <w:color w:val="auto"/>
        </w:rPr>
        <w:t>”, “</w:t>
      </w:r>
      <w:r>
        <w:rPr>
          <w:rFonts w:ascii="Arial" w:cs="Arial" w:eastAsia="Arial" w:hAnsi="Arial"/>
          <w:sz w:val="18"/>
          <w:szCs w:val="18"/>
          <w:u w:val="single" w:color="auto"/>
          <w:color w:val="auto"/>
        </w:rPr>
        <w:t>Cash Collateralized</w:t>
      </w:r>
      <w:r>
        <w:rPr>
          <w:rFonts w:ascii="Arial" w:cs="Arial" w:eastAsia="Arial" w:hAnsi="Arial"/>
          <w:sz w:val="18"/>
          <w:szCs w:val="18"/>
          <w:color w:val="auto"/>
        </w:rPr>
        <w:t>” and “</w:t>
      </w:r>
      <w:r>
        <w:rPr>
          <w:rFonts w:ascii="Arial" w:cs="Arial" w:eastAsia="Arial" w:hAnsi="Arial"/>
          <w:sz w:val="18"/>
          <w:szCs w:val="18"/>
          <w:u w:val="single" w:color="auto"/>
          <w:color w:val="auto"/>
        </w:rPr>
        <w:t>Cash Collateralization</w:t>
      </w:r>
      <w:r>
        <w:rPr>
          <w:rFonts w:ascii="Arial" w:cs="Arial" w:eastAsia="Arial" w:hAnsi="Arial"/>
          <w:sz w:val="18"/>
          <w:szCs w:val="18"/>
          <w:color w:val="auto"/>
        </w:rPr>
        <w:t>” shall have a meaning analogous to the foregoing and shall include the proceeds of such cash collateral and other credit support.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means each of the following to the extent, except with respect to items described in clause (f) below, denominated in Dollars:</w:t>
      </w:r>
    </w:p>
    <w:p>
      <w:pPr>
        <w:spacing w:after="0" w:line="248" w:lineRule="exact"/>
        <w:rPr>
          <w:sz w:val="20"/>
          <w:szCs w:val="20"/>
          <w:color w:val="auto"/>
        </w:rPr>
      </w:pPr>
    </w:p>
    <w:p>
      <w:pPr>
        <w:ind w:right="100" w:firstLine="908"/>
        <w:spacing w:after="0" w:line="277" w:lineRule="auto"/>
        <w:tabs>
          <w:tab w:leader="none" w:pos="14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debt obligations maturing within one year from the date of acquisition thereof to the extent the principal thereof and interest thereon is backed by the full faith and credit of the United States;</w:t>
      </w:r>
    </w:p>
    <w:p>
      <w:pPr>
        <w:spacing w:after="0" w:line="170" w:lineRule="exact"/>
        <w:rPr>
          <w:rFonts w:ascii="Arial" w:cs="Arial" w:eastAsia="Arial" w:hAnsi="Arial"/>
          <w:sz w:val="18"/>
          <w:szCs w:val="18"/>
          <w:color w:val="auto"/>
        </w:rPr>
      </w:pPr>
    </w:p>
    <w:p>
      <w:pPr>
        <w:ind w:right="300" w:firstLine="908"/>
        <w:spacing w:after="0" w:line="277" w:lineRule="auto"/>
        <w:tabs>
          <w:tab w:leader="none" w:pos="14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commercial paper maturing within 270 days from the date of acquisition thereof and having, at such date of acquisition, the highest credit rating obtainable from S&amp;P or Moody’s;</w:t>
      </w:r>
    </w:p>
    <w:p>
      <w:pPr>
        <w:spacing w:after="0" w:line="170" w:lineRule="exact"/>
        <w:rPr>
          <w:rFonts w:ascii="Arial" w:cs="Arial" w:eastAsia="Arial" w:hAnsi="Arial"/>
          <w:sz w:val="18"/>
          <w:szCs w:val="18"/>
          <w:color w:val="auto"/>
        </w:rPr>
      </w:pPr>
    </w:p>
    <w:p>
      <w:pPr>
        <w:jc w:val="both"/>
        <w:ind w:firstLine="908"/>
        <w:spacing w:after="0" w:line="257" w:lineRule="auto"/>
        <w:tabs>
          <w:tab w:leader="none" w:pos="1499"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certificates of deposit, banker’s acceptances and time deposits maturing within 270 days from the date of acquisition thereof issued or guaranteed by or placed with, and money market deposit accounts issued or offered by, any domestic office of any commercial bank organized under the laws of the United States or any state, commonwealth or other political subdivision thereof that has a combined capital and surplus and undivided profits of not less than $500,000,000 or, to the extent not otherwise included, any Lender, and which is rated at least A-2 by S&amp;P and P-2 by Moody’s in the note or commercial paper rating category;</w:t>
      </w:r>
    </w:p>
    <w:p>
      <w:pPr>
        <w:spacing w:after="0" w:line="187" w:lineRule="exact"/>
        <w:rPr>
          <w:rFonts w:ascii="Arial" w:cs="Arial" w:eastAsia="Arial" w:hAnsi="Arial"/>
          <w:sz w:val="18"/>
          <w:szCs w:val="18"/>
          <w:color w:val="auto"/>
        </w:rPr>
      </w:pPr>
    </w:p>
    <w:p>
      <w:pPr>
        <w:ind w:right="320" w:firstLine="908"/>
        <w:spacing w:after="0" w:line="277" w:lineRule="auto"/>
        <w:tabs>
          <w:tab w:leader="none" w:pos="14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repurchase agreements with a term of not more than 30 days for securities described in clause (a) of this definition and entered into with a financial institution satisfying the criteria described in clause (c) of this definition;</w:t>
      </w:r>
    </w:p>
    <w:p>
      <w:pPr>
        <w:spacing w:after="0" w:line="170" w:lineRule="exact"/>
        <w:rPr>
          <w:rFonts w:ascii="Arial" w:cs="Arial" w:eastAsia="Arial" w:hAnsi="Arial"/>
          <w:sz w:val="18"/>
          <w:szCs w:val="18"/>
          <w:color w:val="auto"/>
        </w:rPr>
      </w:pPr>
    </w:p>
    <w:p>
      <w:pPr>
        <w:ind w:right="220" w:firstLine="908"/>
        <w:spacing w:after="0" w:line="277" w:lineRule="auto"/>
        <w:tabs>
          <w:tab w:leader="none" w:pos="14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money market mutual funds, substantially all of the investments of which are in cash or investments contemplated by clauses (a), (b) and (c) of this definition;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jc w:val="both"/>
        <w:ind w:firstLine="908"/>
        <w:spacing w:after="0" w:line="271" w:lineRule="auto"/>
        <w:tabs>
          <w:tab w:leader="none" w:pos="1559"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with respect to any Foreign Subsidiary, (i) obligations of the national government of the country in which such Foreign Subsidiary maintains its chief executive office and principal place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Foreign Subsidiary maintains its chief executive office and principal place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country is a member of the Organization for Economic Cooperation and Development, and whose short term commercial paper rating from S&amp;P is at least “A-1” or the equivalent thereof or from Moody’s is at least “P-1” or the equivalent thereof (any such bank being an “</w:t>
      </w:r>
      <w:r>
        <w:rPr>
          <w:rFonts w:ascii="Arial" w:cs="Arial" w:eastAsia="Arial" w:hAnsi="Arial"/>
          <w:sz w:val="17"/>
          <w:szCs w:val="17"/>
          <w:u w:val="single" w:color="auto"/>
          <w:color w:val="auto"/>
        </w:rPr>
        <w:t>Approved Foreign Bank</w:t>
      </w:r>
      <w:r>
        <w:rPr>
          <w:rFonts w:ascii="Arial" w:cs="Arial" w:eastAsia="Arial" w:hAnsi="Arial"/>
          <w:sz w:val="17"/>
          <w:szCs w:val="17"/>
          <w:color w:val="auto"/>
        </w:rPr>
        <w:t>”), and in each case with maturities of not more than 270 days from the date of acquisition and (iii) the equivalent of demand deposit accounts which are maintained with an Approved Foreign Bank.</w:t>
      </w:r>
    </w:p>
    <w:p>
      <w:pPr>
        <w:spacing w:after="0" w:line="178"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Obligations</w:t>
      </w:r>
      <w:r>
        <w:rPr>
          <w:rFonts w:ascii="Arial" w:cs="Arial" w:eastAsia="Arial" w:hAnsi="Arial"/>
          <w:sz w:val="18"/>
          <w:szCs w:val="18"/>
          <w:color w:val="auto"/>
        </w:rPr>
        <w:t xml:space="preserve">” means all obligations of the Loan Parties in respect of any Cash Management Services provided to any Loan Party or its Subsidiaries (whether absolute or contingent and howsoever and whenever created, arising, evidenced or acquired (including all renewals, extensions and modifications thereof and substitutions therefor)) that are (a) owed to the Administrative Agent or any of its Affiliates, (b) owed on the Closing Date to a Person that is a Lender or an Affiliate of a Lender as of the Closing Date or (c) owed to a Person that is a Lender or an Affiliate of a Lender at the time such obligations are incurred or becomes a Lender or an Affiliate of a Lender after it has incurred such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provider of Cash Management Services (other than the Administrative Agent or its Affiliates) executes and delivers a Secured Obligation Designation Notice to the Administrative Agent.</w:t>
      </w:r>
    </w:p>
    <w:p>
      <w:pPr>
        <w:spacing w:after="0" w:line="195" w:lineRule="exact"/>
        <w:rPr>
          <w:sz w:val="20"/>
          <w:szCs w:val="20"/>
          <w:color w:val="auto"/>
        </w:rPr>
      </w:pPr>
    </w:p>
    <w:p>
      <w:pPr>
        <w:jc w:val="both"/>
        <w:ind w:firstLine="45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Services</w:t>
      </w:r>
      <w:r>
        <w:rPr>
          <w:rFonts w:ascii="Arial" w:cs="Arial" w:eastAsia="Arial" w:hAnsi="Arial"/>
          <w:sz w:val="16"/>
          <w:szCs w:val="16"/>
          <w:color w:val="auto"/>
        </w:rPr>
        <w:t>” means, collectively, (a) commercial debit or credit cards, merchant card processing and other services, purchase or debit cards, including non-card e-payables services, (b) treasury management services (including cash pooling arrangements, controlled disbursement, netting, overdraft, lockbox and electronic or automatic clearing house fund transfer services, return items, sweep and interstate depository network services, foreign check clearing services), and (c) any other demand deposit or operating account relationships or other cash management services.</w:t>
      </w:r>
    </w:p>
    <w:p>
      <w:pPr>
        <w:spacing w:after="0" w:line="157" w:lineRule="exact"/>
        <w:rPr>
          <w:sz w:val="20"/>
          <w:szCs w:val="20"/>
          <w:color w:val="auto"/>
        </w:rPr>
      </w:pPr>
    </w:p>
    <w:p>
      <w:pPr>
        <w:jc w:val="both"/>
        <w:ind w:firstLine="45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Casualty Event</w:t>
      </w:r>
      <w:r>
        <w:rPr>
          <w:rFonts w:ascii="Arial" w:cs="Arial" w:eastAsia="Arial" w:hAnsi="Arial"/>
          <w:sz w:val="17"/>
          <w:szCs w:val="17"/>
          <w:color w:val="auto"/>
        </w:rPr>
        <w:t>” means any event that (a) gives rise to the receipt by any Loan Party or any of its Subsidiaries of any insurance proceeds or condemnation awards arising from any damage to, destruction of, or other casualty or loss involving, or any seizure, condemnation, confiscation or taking under power of eminent domain of, or requisition of title or use of or relating to or in respect of any equipment, fixed assets or Real Property (including any improvements thereon) of such Loan Party or any of its Subsidiaries, and (b) provides Net Cash Proceeds in the aggregate in excess of $5,000,000 received by the Loan Parties and their Subsidiaries on or after the Closing Date.</w:t>
      </w:r>
    </w:p>
    <w:p>
      <w:pPr>
        <w:spacing w:after="0" w:line="176"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CEA 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jc w:val="both"/>
        <w:ind w:firstLine="45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Agreement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or the compliance therewith by any Credit Party (or, for purposes of </w:t>
      </w:r>
      <w:r>
        <w:rPr>
          <w:rFonts w:ascii="Arial" w:cs="Arial" w:eastAsia="Arial" w:hAnsi="Arial"/>
          <w:sz w:val="17"/>
          <w:szCs w:val="17"/>
          <w:u w:val="single" w:color="auto"/>
          <w:color w:val="auto"/>
        </w:rPr>
        <w:t>Section 3.4(b)</w:t>
      </w:r>
      <w:r>
        <w:rPr>
          <w:rFonts w:ascii="Arial" w:cs="Arial" w:eastAsia="Arial" w:hAnsi="Arial"/>
          <w:sz w:val="17"/>
          <w:szCs w:val="17"/>
          <w:color w:val="auto"/>
        </w:rPr>
        <w:t xml:space="preserve">, by any Applicable Lending Office of such Credit Party or such Credit Party’s holding company, if 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(i) the Dodd-Frank Wall Street Reform and Consumer Protection Act and all requests, rules, guidelines and directives thereunder or issued in connection therewith and (ii) all requests, rules, guidelines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jc w:val="both"/>
        <w:ind w:firstLine="45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 event or series of events by which (a) any Person or group (within the meaning of Rule 13d-5 of the Securities Exchange Act of 1934 as in effect on the Agreement Date) shall own directly or indirectly, beneficially or of record, shares representing more than 40% of the aggregate ordinary voting power or economic interests represented by the issued and outstanding Equity Interests of the Borrower on a fully diluted basis, (b) a majority of the seats (other than vacant seats) on the board of directors (or equivalent governing body) of the Borrower shall at any time be occupied by Persons who were neither (i) nominated, approved or appointed by the board of directors (or equivalent governing body) of the Borrower nor</w:t>
      </w:r>
    </w:p>
    <w:p>
      <w:pPr>
        <w:spacing w:after="0" w:line="2" w:lineRule="exact"/>
        <w:rPr>
          <w:sz w:val="20"/>
          <w:szCs w:val="20"/>
          <w:color w:val="auto"/>
        </w:rPr>
      </w:pPr>
    </w:p>
    <w:p>
      <w:pPr>
        <w:jc w:val="both"/>
        <w:ind w:firstLine="8"/>
        <w:spacing w:after="0" w:line="288" w:lineRule="auto"/>
        <w:tabs>
          <w:tab w:leader="none" w:pos="2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nominated, approved or appointed by individuals so nominated, approved, or appointed, (c) the Borrower shall fail to own, directly or indirectly, free and clear of all Liens or other encumbrances (other than Liens created pursuant to any Loan Document or Liens otherwise permitted pursuant to any Loan Document), 100% of the aggregate ordinary voting power and economic interests represented by the issued and outstanding Equity Interests of each of its Subsidiaries (or such lesser percentage as may be owned, directly or indirectly, as of the Closing Date or the later acquisition thereof) except where such failure is as a result of a transaction permitted by the Loan Documents or (d) any change in control (or similar event, however denominated) with respect to any Loan Party or any of its Subsidiaries shall occur under and as defined in any indenture or agreement in respect of Indebtedness in an outstanding principal amount in excess of the Threshold Amount to which any Loan Party or any of its Subsidiaries is a party.</w:t>
      </w:r>
    </w:p>
    <w:p>
      <w:pPr>
        <w:spacing w:after="0" w:line="168"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u w:val="single" w:color="auto"/>
          <w:color w:val="0000FF"/>
        </w:rPr>
        <w:t>“CHIPs Program” means a program to discontinue certain non-strategic products and services that were identified in connection with a review of the Borrower’s product portfolio commenced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-165100</wp:posOffset>
            </wp:positionV>
            <wp:extent cx="679767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230568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Citizens Bank</w:t>
      </w:r>
      <w:r>
        <w:rPr>
          <w:rFonts w:ascii="Arial" w:cs="Arial" w:eastAsia="Arial" w:hAnsi="Arial"/>
          <w:sz w:val="18"/>
          <w:szCs w:val="18"/>
          <w:color w:val="auto"/>
        </w:rPr>
        <w:t>” means Citizens Bank, N.A., a national banking association.</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Revolving Loans, Term Loans, or Swingline Loans or Incremental Term Loans, and, when used in reference to any Commitment, refers to whether such Commitment is a Revolving Commitment, Term Loan Commitment or Incremental Term Loan Commitment.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means the date on which the conditions specified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 10.2</w:t>
      </w:r>
      <w:r>
        <w:rPr>
          <w:rFonts w:ascii="Arial" w:cs="Arial" w:eastAsia="Arial" w:hAnsi="Arial"/>
          <w:sz w:val="17"/>
          <w:szCs w:val="17"/>
          <w:color w:val="auto"/>
        </w:rPr>
        <w: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and the rules and regulations issued thereunder.</w:t>
      </w:r>
    </w:p>
    <w:p>
      <w:pPr>
        <w:spacing w:after="0" w:line="225"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the “Collateral” as defined in the Collateral Documents and all other property of whatever kind and nature pledged or charged, or purported to be pledged or charged, as collateral under any Collateral Document. For the avoidance of doubt, the assets of Excluded Subsidiaries shall not constitute “Collateral”; provided that the term Collateral shall exclude any Voting Equity Interests in any Foreign Subsidiary, Controlled Foreign Corporation or Foreign Subsidiary Holdco, in each case in excess of 65% of the total combined voting power of such Foreign Subsidiary, such Controlled Foreign Corporation or such Foreign Subsidiary Holdco.</w:t>
      </w:r>
    </w:p>
    <w:p>
      <w:pPr>
        <w:spacing w:after="0" w:line="188" w:lineRule="exact"/>
        <w:rPr>
          <w:sz w:val="20"/>
          <w:szCs w:val="20"/>
          <w:color w:val="auto"/>
        </w:rPr>
      </w:pPr>
    </w:p>
    <w:p>
      <w:pPr>
        <w:jc w:val="both"/>
        <w:ind w:firstLine="45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Access Agreement</w:t>
      </w:r>
      <w:r>
        <w:rPr>
          <w:rFonts w:ascii="Arial" w:cs="Arial" w:eastAsia="Arial" w:hAnsi="Arial"/>
          <w:sz w:val="16"/>
          <w:szCs w:val="16"/>
          <w:color w:val="auto"/>
        </w:rPr>
        <w:t>” means each landlord waiver, bailee waiver or other agreement, in form and substance reasonably satisfactory to the Administrative Agent, between the Administrative Agent and any third party (including any bailee, assignee, consignee, customs broker, or other similar Person) in possession of any Collateral or any landlord of any Loan Party for any Real Property subject to a Mortgage or where any Collateral is located.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and Guarantee Requirement</w:t>
      </w:r>
      <w:r>
        <w:rPr>
          <w:rFonts w:ascii="Arial" w:cs="Arial" w:eastAsia="Arial" w:hAnsi="Arial"/>
          <w:sz w:val="18"/>
          <w:szCs w:val="18"/>
          <w:color w:val="auto"/>
        </w:rPr>
        <w:t>” means, at any time, the requirement that:</w:t>
      </w:r>
    </w:p>
    <w:p>
      <w:pPr>
        <w:spacing w:after="0" w:line="225" w:lineRule="exact"/>
        <w:rPr>
          <w:sz w:val="20"/>
          <w:szCs w:val="20"/>
          <w:color w:val="auto"/>
        </w:rPr>
      </w:pPr>
    </w:p>
    <w:p>
      <w:pPr>
        <w:jc w:val="both"/>
        <w:ind w:firstLine="908"/>
        <w:spacing w:after="0" w:line="263" w:lineRule="auto"/>
        <w:tabs>
          <w:tab w:leader="none" w:pos="16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each Collateral Document required to be delivered on the Closing Date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 following the Closing Date, pursuant to pursuant to </w:t>
      </w:r>
      <w:r>
        <w:rPr>
          <w:rFonts w:ascii="Arial" w:cs="Arial" w:eastAsia="Arial" w:hAnsi="Arial"/>
          <w:sz w:val="18"/>
          <w:szCs w:val="18"/>
          <w:u w:val="single" w:color="auto"/>
          <w:color w:val="auto"/>
        </w:rPr>
        <w:t>Section 6.14</w:t>
      </w:r>
      <w:r>
        <w:rPr>
          <w:rFonts w:ascii="Arial" w:cs="Arial" w:eastAsia="Arial" w:hAnsi="Arial"/>
          <w:sz w:val="18"/>
          <w:szCs w:val="18"/>
          <w:color w:val="auto"/>
        </w:rPr>
        <w:t xml:space="preserve"> (to the extent not delivered on the Closing Date) or </w:t>
      </w:r>
      <w:r>
        <w:rPr>
          <w:rFonts w:ascii="Arial" w:cs="Arial" w:eastAsia="Arial" w:hAnsi="Arial"/>
          <w:sz w:val="18"/>
          <w:szCs w:val="18"/>
          <w:u w:val="single" w:color="auto"/>
          <w:color w:val="auto"/>
        </w:rPr>
        <w:t>Section 6.12</w:t>
      </w:r>
      <w:r>
        <w:rPr>
          <w:rFonts w:ascii="Arial" w:cs="Arial" w:eastAsia="Arial" w:hAnsi="Arial"/>
          <w:sz w:val="18"/>
          <w:szCs w:val="18"/>
          <w:color w:val="auto"/>
        </w:rPr>
        <w:t>, duly executed by each Loan Party that is a party thereto;</w:t>
      </w:r>
    </w:p>
    <w:p>
      <w:pPr>
        <w:spacing w:after="0" w:line="183" w:lineRule="exact"/>
        <w:rPr>
          <w:rFonts w:ascii="Arial" w:cs="Arial" w:eastAsia="Arial" w:hAnsi="Arial"/>
          <w:sz w:val="18"/>
          <w:szCs w:val="18"/>
          <w:color w:val="auto"/>
        </w:rPr>
      </w:pPr>
    </w:p>
    <w:p>
      <w:pPr>
        <w:ind w:left="1480" w:hanging="572"/>
        <w:spacing w:after="0"/>
        <w:tabs>
          <w:tab w:leader="none" w:pos="1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Secured Obligations shall have been unconditionally guaranteed jointly and severally on a senior basis by the Guarantors;</w:t>
      </w:r>
    </w:p>
    <w:p>
      <w:pPr>
        <w:spacing w:after="0" w:line="236" w:lineRule="exact"/>
        <w:rPr>
          <w:rFonts w:ascii="Arial" w:cs="Arial" w:eastAsia="Arial" w:hAnsi="Arial"/>
          <w:sz w:val="17"/>
          <w:szCs w:val="17"/>
          <w:color w:val="auto"/>
        </w:rPr>
      </w:pPr>
    </w:p>
    <w:p>
      <w:pPr>
        <w:jc w:val="both"/>
        <w:ind w:firstLine="908"/>
        <w:spacing w:after="0" w:line="269" w:lineRule="auto"/>
        <w:tabs>
          <w:tab w:leader="none" w:pos="1488"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except to the extent otherwise provided hereunder or under any Collateral Document, the Secured Obligations shall have been secured by a perfected first priority (subject to Liens expressly permitted pursuant to </w:t>
      </w:r>
      <w:r>
        <w:rPr>
          <w:rFonts w:ascii="Arial" w:cs="Arial" w:eastAsia="Arial" w:hAnsi="Arial"/>
          <w:sz w:val="17"/>
          <w:szCs w:val="17"/>
          <w:u w:val="single" w:color="auto"/>
          <w:color w:val="auto"/>
        </w:rPr>
        <w:t>Section 7.2</w:t>
      </w:r>
      <w:r>
        <w:rPr>
          <w:rFonts w:ascii="Arial" w:cs="Arial" w:eastAsia="Arial" w:hAnsi="Arial"/>
          <w:sz w:val="17"/>
          <w:szCs w:val="17"/>
          <w:color w:val="auto"/>
        </w:rPr>
        <w:t>) security interest in substantially all tangible and intangible assets of each Loan Party (including (i) accounts receivable, (ii) deposit accounts, commodity accounts and security accounts which shall be Controlled Accounts except that no Excluded Account (as such term is defined in the Security Agreement) shall be required to be a Controlled Account, (iii) inventory, (iv) machinery and equipment, (v) investment property, (vi) cash, (vii) Intellectual Property, (viii) other general intangibles, (ix) Owned Real Property, (x) Pledged Debt, Pledged Debt Securities and Pledged Equity Interests (as such terms are defined in the Security Agreement), (xi) motor vehicles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action shall be required to be taken to perfect the security interest therein other than the filing of a UCC financing statement) and (xii) the proceeds of the foregoing), it being understood that in the case of the pledge of Equity Interests, the Administrative Agent shall have received all stock certificates or other instruments (if any) representing such Equity Interests, together with stock powers or other instruments of transfer with respect thereto endorsed in blank;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pledge of any shares in respect of any Subsidiaries that are not Wholly-Owned Subsidiaries shall be limited to the shares actually owned by the applicable pledgor;</w:t>
      </w:r>
    </w:p>
    <w:p>
      <w:pPr>
        <w:spacing w:after="0" w:line="181" w:lineRule="exact"/>
        <w:rPr>
          <w:rFonts w:ascii="Arial" w:cs="Arial" w:eastAsia="Arial" w:hAnsi="Arial"/>
          <w:sz w:val="17"/>
          <w:szCs w:val="17"/>
          <w:color w:val="auto"/>
        </w:rPr>
      </w:pPr>
    </w:p>
    <w:p>
      <w:pPr>
        <w:jc w:val="both"/>
        <w:ind w:firstLine="908"/>
        <w:spacing w:after="0" w:line="275" w:lineRule="auto"/>
        <w:tabs>
          <w:tab w:leader="none" w:pos="150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Secured Obligations shall have been secured by a first priority security interest in (i) all Indebtedness of the Borrower and each of its Subsidiaries that is owing to any Loan Party which shall be evidenced by the Master Intercompany Note and (ii) all other Indebtedness owed to a Loan Party, which if evidenced by a promissory note or other instrument, shall have been pledged to the Administrative Agent, and in each case under clauses (i) and (ii), the Administrative Agent shall have received the Master Intercompany Note and such other promissory notes and other instruments together with note powers or other instruments of transfer with respect thereto endorsed in blank;</w:t>
      </w:r>
    </w:p>
    <w:p>
      <w:pPr>
        <w:spacing w:after="0" w:line="176" w:lineRule="exact"/>
        <w:rPr>
          <w:rFonts w:ascii="Arial" w:cs="Arial" w:eastAsia="Arial" w:hAnsi="Arial"/>
          <w:sz w:val="17"/>
          <w:szCs w:val="17"/>
          <w:color w:val="auto"/>
        </w:rPr>
      </w:pPr>
    </w:p>
    <w:p>
      <w:pPr>
        <w:ind w:left="1460" w:hanging="552"/>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none of the Collateral shall be subject to any Lien other than Liens expressly permitted by </w:t>
      </w:r>
      <w:r>
        <w:rPr>
          <w:rFonts w:ascii="Arial" w:cs="Arial" w:eastAsia="Arial" w:hAnsi="Arial"/>
          <w:sz w:val="18"/>
          <w:szCs w:val="18"/>
          <w:u w:val="single" w:color="auto"/>
          <w:color w:val="auto"/>
        </w:rPr>
        <w:t>Section 7.2</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440" w:hanging="532"/>
        <w:spacing w:after="0"/>
        <w:tabs>
          <w:tab w:leader="none" w:pos="1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Administrative Agent shall have received a Perfection Certificate from the Borrower with respect to each Loan Party.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definition shall not require the creation or perfection of pledges of or security interests in particular assets if and for so long as the Administrative Agent agrees in writing that the cost of creating or perfecting such pledges or security interests in such assets shall be excessive in view of the benefits to be obtained by the Lenders therefrom.</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Administrative Agent may grant extensions of time for the perfection of security interests in and the other requirements pursuant to this definition with respect to particular assets (including extensions beyond the Closing Date for the perfection of security interests in the assets of the Loan Parties on such date) where it reasonably determines (and without the consent of any other Secured Party), that, except as may be required by law, perfection or other requirements cannot be accomplished without undue effort or expense by the time or times at which it would otherwise be required by this Credit Agreement or the Collateral Documents.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jc w:val="both"/>
        <w:spacing w:after="0" w:line="287" w:lineRule="auto"/>
        <w:rPr>
          <w:sz w:val="20"/>
          <w:szCs w:val="20"/>
          <w:color w:val="auto"/>
        </w:rPr>
      </w:pPr>
      <w:r>
        <w:rPr>
          <w:rFonts w:ascii="Arial" w:cs="Arial" w:eastAsia="Arial" w:hAnsi="Arial"/>
          <w:sz w:val="16"/>
          <w:szCs w:val="16"/>
          <w:color w:val="auto"/>
        </w:rPr>
        <w:t>Notwithstanding the foregoing provisions of this definition or anything in this Credit Agreement or any other Loan Document to the contrary, (a) Liens required to be granted from time to time pursuant to the Collateral and Guarantee Requirement shall be subject to exceptions and limitations set forth herein and in the Collateral Documents and, to the extent appropriate in the applicable jurisdiction, as agreed between the Administrative Agent and the Borrower,</w:t>
      </w:r>
    </w:p>
    <w:p>
      <w:pPr>
        <w:spacing w:after="0" w:line="2" w:lineRule="exact"/>
        <w:rPr>
          <w:sz w:val="20"/>
          <w:szCs w:val="20"/>
          <w:color w:val="auto"/>
        </w:rPr>
      </w:pPr>
    </w:p>
    <w:p>
      <w:pPr>
        <w:jc w:val="both"/>
        <w:ind w:firstLine="8"/>
        <w:spacing w:after="0" w:line="255" w:lineRule="auto"/>
        <w:tabs>
          <w:tab w:leader="none" w:pos="2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in no event shall the Collateral include any Excluded Assets (as such term is defined in the Security Agreement), and (c) notwithstanding anything to the contrary included in this definition, delivery of only the Collateral Documents required to be delivered by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be a condition precedent to the Credit Extensions on the Closing Date.</w:t>
      </w:r>
    </w:p>
    <w:p>
      <w:pPr>
        <w:spacing w:after="0" w:line="190"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collectively, the Security Agreement, each account control agreement, each Foreign Pledge Agreement, each Mortgage, each Collateral Access Agreement, each Copyright Security Agreement, each Patent Security Agreement, each Trademark Security Agreement, each Perfection Certificate, each agreement creating or perfecting rights in Cash Collateral and each other security agreement, instrument or other document executed or delivered pursuant to the Collateral and Guarantee Requirement,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6.14</w:t>
      </w:r>
      <w:r>
        <w:rPr>
          <w:rFonts w:ascii="Arial" w:cs="Arial" w:eastAsia="Arial" w:hAnsi="Arial"/>
          <w:sz w:val="18"/>
          <w:szCs w:val="18"/>
          <w:color w:val="auto"/>
        </w:rPr>
        <w:t xml:space="preserve"> or the Security Agreement to secure any of the Secured Obligations.</w:t>
      </w:r>
    </w:p>
    <w:p>
      <w:pPr>
        <w:spacing w:after="0" w:line="188" w:lineRule="exact"/>
        <w:rPr>
          <w:sz w:val="20"/>
          <w:szCs w:val="20"/>
          <w:color w:val="auto"/>
        </w:rPr>
      </w:pPr>
    </w:p>
    <w:p>
      <w:pPr>
        <w:ind w:right="40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any Lender, such Lender’s Revolving Commitment, Term Loan Commitment and Incremental Term Loan Commitment (if 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225" w:lineRule="exact"/>
        <w:rPr>
          <w:sz w:val="20"/>
          <w:szCs w:val="20"/>
          <w:color w:val="auto"/>
        </w:rPr>
      </w:pPr>
    </w:p>
    <w:p>
      <w:pPr>
        <w:jc w:val="both"/>
        <w:ind w:right="20" w:firstLine="45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Committed Loan Notice</w:t>
      </w:r>
      <w:r>
        <w:rPr>
          <w:rFonts w:ascii="Arial" w:cs="Arial" w:eastAsia="Arial" w:hAnsi="Arial"/>
          <w:sz w:val="17"/>
          <w:szCs w:val="17"/>
          <w:color w:val="auto"/>
        </w:rPr>
        <w:t xml:space="preserve">” means a notice of a Borrowing (other than a Swingline Borrowing), a conversion of Loans from one Type to the other, or a continuation of </w:t>
      </w:r>
      <w:r>
        <w:rPr>
          <w:rFonts w:ascii="Arial" w:cs="Arial" w:eastAsia="Arial" w:hAnsi="Arial"/>
          <w:sz w:val="17"/>
          <w:szCs w:val="17"/>
          <w:color w:val="FF0000"/>
          <w:strike w:val="1"/>
        </w:rPr>
        <w:t>LIBOR</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Loans pursuant to </w:t>
      </w:r>
      <w:r>
        <w:rPr>
          <w:rFonts w:ascii="Arial" w:cs="Arial" w:eastAsia="Arial" w:hAnsi="Arial"/>
          <w:sz w:val="17"/>
          <w:szCs w:val="17"/>
          <w:u w:val="single" w:color="auto"/>
          <w:color w:val="auto"/>
        </w:rPr>
        <w:t>Section 2.2(a)</w:t>
      </w:r>
      <w:r>
        <w:rPr>
          <w:rFonts w:ascii="Arial" w:cs="Arial" w:eastAsia="Arial" w:hAnsi="Arial"/>
          <w:sz w:val="17"/>
          <w:szCs w:val="17"/>
          <w:color w:val="auto"/>
        </w:rPr>
        <w:t xml:space="preserve">, which, if in writing, shall be substantially in the form of </w:t>
      </w:r>
      <w:r>
        <w:rPr>
          <w:rFonts w:ascii="Arial" w:cs="Arial" w:eastAsia="Arial" w:hAnsi="Arial"/>
          <w:sz w:val="17"/>
          <w:szCs w:val="17"/>
          <w:u w:val="single" w:color="auto"/>
          <w:color w:val="auto"/>
        </w:rPr>
        <w:t>Exhibit B-1</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-43180</wp:posOffset>
            </wp:positionV>
            <wp:extent cx="2825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means the Commodity Exchange Act (7 U.S.C. § 1 et seq.) and any successor statute.</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xml:space="preserve">” means, collectively, any notice, demand, communication, information, document or other material provided by or on behalf of any Loan Party pursuant to any Loan Document or the transactions contemplated therein which is distributed to the Administrative Agent, any Lender or any L/C Issuer by means of electronic communications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 including through the Platform.</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6"/>
          <w:szCs w:val="16"/>
          <w:u w:val="single" w:color="auto"/>
          <w:color w:val="0000FF"/>
        </w:rPr>
        <w:t>“Conforming Changes” means, with respect to either the use or administration of the Benchmark, or the use, administration, adoption or implementation of any Benchmark Replacement, any technical, administrative or operational changes (including, for example and not by way of limitation or prescription, changes to the definition of “Alternate Base Rate,” the definition of “Business Day,” the definition of “Interest Period” or any similar or analogous definition, the definition of “Government Securities Business Day,” timing and frequency of determining rates and making payments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-418465</wp:posOffset>
            </wp:positionV>
            <wp:extent cx="684911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71234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both"/>
        <w:spacing w:after="0" w:line="281" w:lineRule="auto"/>
        <w:rPr>
          <w:sz w:val="20"/>
          <w:szCs w:val="20"/>
          <w:color w:val="auto"/>
        </w:rPr>
      </w:pPr>
      <w:r>
        <w:rPr>
          <w:rFonts w:ascii="Arial" w:cs="Arial" w:eastAsia="Arial" w:hAnsi="Arial"/>
          <w:sz w:val="16"/>
          <w:szCs w:val="16"/>
          <w:u w:val="single" w:color="auto"/>
          <w:color w:val="0000FF"/>
        </w:rPr>
        <w:t>timing of borrowing requests or prepayment, conversion or continuation notices, the applicability and length of lookback periods, the applicability of Section 3.5, and other technical, administrative or operational matters) that the Administrative Agent decides may be appropriate in connection with the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2343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spacing w:after="0" w:line="253" w:lineRule="auto"/>
        <w:rPr>
          <w:sz w:val="20"/>
          <w:szCs w:val="20"/>
          <w:color w:val="auto"/>
        </w:rPr>
      </w:pPr>
      <w:r>
        <w:rPr>
          <w:rFonts w:ascii="Arial" w:cs="Arial" w:eastAsia="Arial" w:hAnsi="Arial"/>
          <w:sz w:val="18"/>
          <w:szCs w:val="18"/>
          <w:u w:val="single" w:color="auto"/>
          <w:color w:val="0000FF"/>
        </w:rPr>
        <w:t>or administration of the Benchmark or to reflect the adoption and implementation of any Benchmark Replacement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Credit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234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1234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2343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333438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ind w:right="46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Assets</w:t>
      </w:r>
      <w:r>
        <w:rPr>
          <w:rFonts w:ascii="Arial" w:cs="Arial" w:eastAsia="Arial" w:hAnsi="Arial"/>
          <w:sz w:val="18"/>
          <w:szCs w:val="18"/>
          <w:color w:val="auto"/>
        </w:rPr>
        <w:t>” means, with respect to the Borrower and its Subsidiaries on a consolidated basis at any date of determination, all assets (other than cash and Cash Equivalents) that would, in accordance with GAAP, be classified on a consolidated balance sheet of the Borrower and its Subsidiaries as current assets (or any like caption) at such date.</w:t>
      </w:r>
    </w:p>
    <w:p>
      <w:pPr>
        <w:spacing w:after="0" w:line="184"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Liabilities</w:t>
      </w:r>
      <w:r>
        <w:rPr>
          <w:rFonts w:ascii="Arial" w:cs="Arial" w:eastAsia="Arial" w:hAnsi="Arial"/>
          <w:sz w:val="18"/>
          <w:szCs w:val="18"/>
          <w:color w:val="auto"/>
        </w:rPr>
        <w:t>” means, with respect to the Borrower and its Subsidiaries on a consolidated basis at any date of determination, all liabilities that would, in accordance with GAAP, be classified on a consolidated balance sheet of the Borrower and its Subsidiaries as current liabilities (or any like caption) at such date, other than current liabilities in respect of any Indebtedness (excluding liabilities associated with customer prepayments and deposits).</w:t>
      </w:r>
    </w:p>
    <w:p>
      <w:pPr>
        <w:spacing w:after="0" w:line="187" w:lineRule="exact"/>
        <w:rPr>
          <w:sz w:val="20"/>
          <w:szCs w:val="20"/>
          <w:color w:val="auto"/>
        </w:rPr>
      </w:pPr>
    </w:p>
    <w:p>
      <w:pPr>
        <w:jc w:val="both"/>
        <w:ind w:firstLine="45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Depreciation and Amortization Expense</w:t>
      </w:r>
      <w:r>
        <w:rPr>
          <w:rFonts w:ascii="Arial" w:cs="Arial" w:eastAsia="Arial" w:hAnsi="Arial"/>
          <w:sz w:val="16"/>
          <w:szCs w:val="16"/>
          <w:color w:val="auto"/>
        </w:rPr>
        <w:t>” means, with respect to any Person for any period, the total amount of depreciation and amortization expense, including the amortization of deferred financing fees or costs, capitalized expenditures, customer acquisition costs and incentive payments, conversion costs and contract acquisition costs, the amortization of original issue discount and amortization of favorable or unfavorable lease assets or liabilities, of such Person and its Subsidiaries for such period on a consolidated basis and otherwise determined in accordance with GAAP.</w:t>
      </w:r>
    </w:p>
    <w:p>
      <w:pPr>
        <w:spacing w:after="0" w:line="157"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means, with respect to any Person for any period, the Consolidated Net Income of such Person and its Subsidiaries for such period:</w:t>
      </w:r>
    </w:p>
    <w:p>
      <w:pPr>
        <w:spacing w:after="0" w:line="170" w:lineRule="exact"/>
        <w:rPr>
          <w:sz w:val="20"/>
          <w:szCs w:val="20"/>
          <w:color w:val="auto"/>
        </w:rPr>
      </w:pPr>
    </w:p>
    <w:p>
      <w:pPr>
        <w:ind w:right="100" w:firstLine="908"/>
        <w:spacing w:after="0" w:line="277" w:lineRule="auto"/>
        <w:tabs>
          <w:tab w:leader="none" w:pos="14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(without duplication) by the following, in each case, to the extent deducted (and not added back) in computing Consolidated Net Income for such Person for such period:</w:t>
      </w:r>
    </w:p>
    <w:p>
      <w:pPr>
        <w:spacing w:after="0" w:line="170" w:lineRule="exact"/>
        <w:rPr>
          <w:rFonts w:ascii="Arial" w:cs="Arial" w:eastAsia="Arial" w:hAnsi="Arial"/>
          <w:sz w:val="18"/>
          <w:szCs w:val="18"/>
          <w:color w:val="auto"/>
        </w:rPr>
      </w:pPr>
    </w:p>
    <w:p>
      <w:pPr>
        <w:ind w:left="2020" w:hanging="581"/>
        <w:spacing w:after="0"/>
        <w:tabs>
          <w:tab w:leader="none" w:pos="2020" w:val="left"/>
        </w:tabs>
        <w:numPr>
          <w:ilvl w:val="2"/>
          <w:numId w:val="30"/>
        </w:numPr>
        <w:rPr>
          <w:rFonts w:ascii="Arial" w:cs="Arial" w:eastAsia="Arial" w:hAnsi="Arial"/>
          <w:sz w:val="16"/>
          <w:szCs w:val="16"/>
          <w:color w:val="auto"/>
        </w:rPr>
      </w:pPr>
      <w:r>
        <w:rPr>
          <w:rFonts w:ascii="Arial" w:cs="Arial" w:eastAsia="Arial" w:hAnsi="Arial"/>
          <w:sz w:val="16"/>
          <w:szCs w:val="16"/>
          <w:color w:val="auto"/>
        </w:rPr>
        <w:t>federal, state, local and foreign income or franchise taxes of such Person and its Subsidiaries paid or payable in cash during</w:t>
      </w:r>
    </w:p>
    <w:p>
      <w:pPr>
        <w:spacing w:after="0" w:line="4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 xml:space="preserve">such period; </w:t>
      </w:r>
      <w:r>
        <w:rPr>
          <w:rFonts w:ascii="Arial" w:cs="Arial" w:eastAsia="Arial" w:hAnsi="Arial"/>
          <w:sz w:val="18"/>
          <w:szCs w:val="18"/>
          <w:u w:val="single" w:color="auto"/>
          <w:color w:val="auto"/>
        </w:rPr>
        <w:t>plus</w:t>
      </w:r>
    </w:p>
    <w:p>
      <w:pPr>
        <w:spacing w:after="0" w:line="210" w:lineRule="exact"/>
        <w:rPr>
          <w:rFonts w:ascii="Arial" w:cs="Arial" w:eastAsia="Arial" w:hAnsi="Arial"/>
          <w:sz w:val="16"/>
          <w:szCs w:val="16"/>
          <w:color w:val="auto"/>
        </w:rPr>
      </w:pPr>
    </w:p>
    <w:p>
      <w:pPr>
        <w:ind w:left="2020" w:hanging="581"/>
        <w:spacing w:after="0"/>
        <w:tabs>
          <w:tab w:leader="none" w:pos="2020" w:val="left"/>
        </w:tabs>
        <w:numPr>
          <w:ilvl w:val="2"/>
          <w:numId w:val="30"/>
        </w:numPr>
        <w:rPr>
          <w:rFonts w:ascii="Arial" w:cs="Arial" w:eastAsia="Arial" w:hAnsi="Arial"/>
          <w:sz w:val="17"/>
          <w:szCs w:val="17"/>
          <w:color w:val="auto"/>
        </w:rPr>
      </w:pPr>
      <w:r>
        <w:rPr>
          <w:rFonts w:ascii="Arial" w:cs="Arial" w:eastAsia="Arial" w:hAnsi="Arial"/>
          <w:sz w:val="17"/>
          <w:szCs w:val="17"/>
          <w:color w:val="auto"/>
        </w:rPr>
        <w:t xml:space="preserve">Consolidated Interest Expense of such Person and its Subsidiaries to the extent paid or payable in cash or otherwise; </w:t>
      </w:r>
      <w:r>
        <w:rPr>
          <w:rFonts w:ascii="Arial" w:cs="Arial" w:eastAsia="Arial" w:hAnsi="Arial"/>
          <w:sz w:val="17"/>
          <w:szCs w:val="17"/>
          <w:u w:val="single" w:color="auto"/>
          <w:color w:val="auto"/>
        </w:rPr>
        <w:t>plus</w:t>
      </w:r>
    </w:p>
    <w:p>
      <w:pPr>
        <w:spacing w:after="0" w:line="236" w:lineRule="exact"/>
        <w:rPr>
          <w:rFonts w:ascii="Arial" w:cs="Arial" w:eastAsia="Arial" w:hAnsi="Arial"/>
          <w:sz w:val="17"/>
          <w:szCs w:val="17"/>
          <w:color w:val="auto"/>
        </w:rPr>
      </w:pPr>
    </w:p>
    <w:p>
      <w:pPr>
        <w:ind w:left="2020" w:hanging="581"/>
        <w:spacing w:after="0"/>
        <w:tabs>
          <w:tab w:leader="none" w:pos="2020" w:val="left"/>
        </w:tabs>
        <w:numPr>
          <w:ilvl w:val="2"/>
          <w:numId w:val="30"/>
        </w:numPr>
        <w:rPr>
          <w:rFonts w:ascii="Arial" w:cs="Arial" w:eastAsia="Arial" w:hAnsi="Arial"/>
          <w:sz w:val="18"/>
          <w:szCs w:val="18"/>
          <w:color w:val="auto"/>
        </w:rPr>
      </w:pPr>
      <w:r>
        <w:rPr>
          <w:rFonts w:ascii="Arial" w:cs="Arial" w:eastAsia="Arial" w:hAnsi="Arial"/>
          <w:sz w:val="18"/>
          <w:szCs w:val="18"/>
          <w:color w:val="auto"/>
        </w:rPr>
        <w:t xml:space="preserve">Consolidated Depreciation and Amortization Expense of such Person and its Subsidiaries;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500" w:right="100" w:firstLine="939"/>
        <w:spacing w:after="0" w:line="277" w:lineRule="auto"/>
        <w:tabs>
          <w:tab w:leader="none" w:pos="2020" w:val="left"/>
        </w:tabs>
        <w:numPr>
          <w:ilvl w:val="2"/>
          <w:numId w:val="30"/>
        </w:numPr>
        <w:rPr>
          <w:rFonts w:ascii="Arial" w:cs="Arial" w:eastAsia="Arial" w:hAnsi="Arial"/>
          <w:sz w:val="18"/>
          <w:szCs w:val="18"/>
          <w:color w:val="auto"/>
        </w:rPr>
      </w:pPr>
      <w:r>
        <w:rPr>
          <w:rFonts w:ascii="Arial" w:cs="Arial" w:eastAsia="Arial" w:hAnsi="Arial"/>
          <w:sz w:val="18"/>
          <w:szCs w:val="18"/>
          <w:color w:val="auto"/>
        </w:rPr>
        <w:t xml:space="preserve">non-cash losses and non-cash charges (excluding any non-cash charges that constitute an accrual of or a reserve for future cash charges or are reasonably likely to result in a cash outlay in a future period);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ind w:left="500" w:right="740" w:firstLine="939"/>
        <w:spacing w:after="0" w:line="277" w:lineRule="auto"/>
        <w:tabs>
          <w:tab w:leader="none" w:pos="2015" w:val="left"/>
        </w:tabs>
        <w:numPr>
          <w:ilvl w:val="2"/>
          <w:numId w:val="30"/>
        </w:numPr>
        <w:rPr>
          <w:rFonts w:ascii="Arial" w:cs="Arial" w:eastAsia="Arial" w:hAnsi="Arial"/>
          <w:sz w:val="18"/>
          <w:szCs w:val="18"/>
          <w:color w:val="auto"/>
        </w:rPr>
      </w:pPr>
      <w:r>
        <w:rPr>
          <w:rFonts w:ascii="Arial" w:cs="Arial" w:eastAsia="Arial" w:hAnsi="Arial"/>
          <w:sz w:val="18"/>
          <w:szCs w:val="18"/>
          <w:color w:val="auto"/>
        </w:rPr>
        <w:t xml:space="preserve">in the case of the Borrower, reasonable and customary one-time, non-recurring fees, expenses and costs relating to the Transactions incurred within six months of the Closing Date;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jc w:val="both"/>
        <w:ind w:left="500" w:firstLine="894"/>
        <w:spacing w:after="0" w:line="268" w:lineRule="auto"/>
        <w:tabs>
          <w:tab w:leader="none" w:pos="2018"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without duplication of any addbacks provided in the definition of Pro Forma Basis, to the extent not already reflected pursuant to another provision of this subsection (a), non-recurring losses, non-recurring charges or non-recurring expenses, including integration costs incurred in connection with Permitted Acquisitions and the Transactions after the Closing Date, restructuring charges, retention charges, recruiting, relocation, severance and signing bonuses and expenses, systems establishment costs, conversion costs, consulting fees and any one time expense relating to enhanced accounting function, or any other costs incurred in connection with any of the foregoing, in each case, reasonably acceptable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this clause (vi) shall not exceed in any period 10% of Consolidated EBITDA determined before giving effect to this clause (vi); provided </w:t>
      </w:r>
      <w:r>
        <w:rPr>
          <w:rFonts w:ascii="Arial" w:cs="Arial" w:eastAsia="Arial" w:hAnsi="Arial"/>
          <w:sz w:val="17"/>
          <w:szCs w:val="17"/>
          <w:color w:val="FF0000"/>
        </w:rPr>
        <w:t>that the amount of this clause (vi) for the twelve-month periods ending December 31, 2020, March</w:t>
      </w:r>
      <w:r>
        <w:rPr>
          <w:rFonts w:ascii="Arial" w:cs="Arial" w:eastAsia="Arial" w:hAnsi="Arial"/>
          <w:sz w:val="17"/>
          <w:szCs w:val="17"/>
          <w:color w:val="auto"/>
        </w:rPr>
        <w:t xml:space="preserve"> </w:t>
      </w:r>
      <w:r>
        <w:rPr>
          <w:rFonts w:ascii="Arial" w:cs="Arial" w:eastAsia="Arial" w:hAnsi="Arial"/>
          <w:sz w:val="17"/>
          <w:szCs w:val="17"/>
          <w:color w:val="FF0000"/>
          <w:strike w:val="1"/>
        </w:rPr>
        <w:t>31, 2021, June 30, 2021 and September 30, 2021 may exceed such 10% threshold so long as such amount does not exceed $5,800,000; and provided</w:t>
      </w:r>
      <w:r>
        <w:rPr>
          <w:rFonts w:ascii="Arial" w:cs="Arial" w:eastAsia="Arial" w:hAnsi="Arial"/>
          <w:sz w:val="17"/>
          <w:szCs w:val="17"/>
          <w:color w:val="000000"/>
        </w:rPr>
        <w:t>,</w:t>
      </w:r>
      <w:r>
        <w:rPr>
          <w:rFonts w:ascii="Arial" w:cs="Arial" w:eastAsia="Arial" w:hAnsi="Arial"/>
          <w:sz w:val="17"/>
          <w:szCs w:val="17"/>
          <w:color w:val="FF0000"/>
        </w:rPr>
        <w:t xml:space="preserve"> </w:t>
      </w:r>
      <w:r>
        <w:rPr>
          <w:rFonts w:ascii="Arial" w:cs="Arial" w:eastAsia="Arial" w:hAnsi="Arial"/>
          <w:sz w:val="17"/>
          <w:szCs w:val="17"/>
          <w:color w:val="000000"/>
        </w:rPr>
        <w:t xml:space="preserve">further, that the amount of this clause (vi) </w:t>
      </w:r>
      <w:r>
        <w:rPr>
          <w:rFonts w:ascii="Arial" w:cs="Arial" w:eastAsia="Arial" w:hAnsi="Arial"/>
          <w:sz w:val="17"/>
          <w:szCs w:val="17"/>
          <w:u w:val="single" w:color="auto"/>
          <w:color w:val="0000FF"/>
        </w:rPr>
        <w:t>may exceed the 10% threshold</w:t>
      </w:r>
      <w:r>
        <w:rPr>
          <w:rFonts w:ascii="Arial" w:cs="Arial" w:eastAsia="Arial" w:hAnsi="Arial"/>
          <w:sz w:val="17"/>
          <w:szCs w:val="17"/>
          <w:color w:val="000000"/>
        </w:rPr>
        <w:t xml:space="preserve"> for the twelve-month period ending </w:t>
      </w:r>
      <w:r>
        <w:rPr>
          <w:rFonts w:ascii="Arial" w:cs="Arial" w:eastAsia="Arial" w:hAnsi="Arial"/>
          <w:sz w:val="17"/>
          <w:szCs w:val="17"/>
          <w:color w:val="FF0000"/>
          <w:strike w:val="1"/>
        </w:rPr>
        <w:t>December 31, 2021 may exceed such</w:t>
      </w:r>
      <w:r>
        <w:rPr>
          <w:rFonts w:ascii="Arial" w:cs="Arial" w:eastAsia="Arial" w:hAnsi="Arial"/>
          <w:sz w:val="17"/>
          <w:szCs w:val="17"/>
          <w:color w:val="000000"/>
        </w:rPr>
        <w:t xml:space="preserve"> </w:t>
      </w:r>
      <w:r>
        <w:rPr>
          <w:rFonts w:ascii="Arial" w:cs="Arial" w:eastAsia="Arial" w:hAnsi="Arial"/>
          <w:sz w:val="17"/>
          <w:szCs w:val="17"/>
          <w:color w:val="FF0000"/>
          <w:strike w:val="1"/>
        </w:rPr>
        <w:t>10% threshold</w:t>
      </w:r>
      <w:r>
        <w:rPr>
          <w:rFonts w:ascii="Arial" w:cs="Arial" w:eastAsia="Arial" w:hAnsi="Arial"/>
          <w:sz w:val="17"/>
          <w:szCs w:val="17"/>
          <w:u w:val="single" w:color="auto"/>
          <w:color w:val="0000FF"/>
        </w:rPr>
        <w:t>(a) September 30, 2022</w:t>
      </w:r>
      <w:r>
        <w:rPr>
          <w:rFonts w:ascii="Arial" w:cs="Arial" w:eastAsia="Arial" w:hAnsi="Arial"/>
          <w:sz w:val="17"/>
          <w:szCs w:val="17"/>
          <w:color w:val="FF0000"/>
        </w:rPr>
        <w:t xml:space="preserve"> </w:t>
      </w:r>
      <w:r>
        <w:rPr>
          <w:rFonts w:ascii="Arial" w:cs="Arial" w:eastAsia="Arial" w:hAnsi="Arial"/>
          <w:sz w:val="17"/>
          <w:szCs w:val="17"/>
          <w:color w:val="000000"/>
        </w:rPr>
        <w:t>so long as such amount does not exceed $</w:t>
      </w:r>
      <w:r>
        <w:rPr>
          <w:rFonts w:ascii="Arial" w:cs="Arial" w:eastAsia="Arial" w:hAnsi="Arial"/>
          <w:sz w:val="17"/>
          <w:szCs w:val="17"/>
          <w:color w:val="FF0000"/>
          <w:strike w:val="1"/>
        </w:rPr>
        <w:t>4,250,000</w:t>
      </w:r>
      <w:r>
        <w:rPr>
          <w:rFonts w:ascii="Arial" w:cs="Arial" w:eastAsia="Arial" w:hAnsi="Arial"/>
          <w:sz w:val="17"/>
          <w:szCs w:val="17"/>
          <w:u w:val="single" w:color="auto"/>
          <w:color w:val="0000FF"/>
        </w:rPr>
        <w:t>4,600,000, (b) December 31, 2022 so long as such amount</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does not exceed $4,750,000, (c) March 31, 2023 so long as such amount does not exceed $3,500,000, (d) June 30, 2023 so long as such amount does not exceed $2,750,000, (e) September 30, 2023 so long as such amount does not exceed $2,500,000, and (f) December 31, 2023 so long as such amount does not exceed $2,250,000</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-909320</wp:posOffset>
            </wp:positionV>
            <wp:extent cx="46120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612005" cy="889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-566420</wp:posOffset>
            </wp:positionV>
            <wp:extent cx="141414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14145" cy="8890"/>
                    </a:xfrm>
                    <a:prstGeom prst="rect">
                      <a:avLst/>
                    </a:prstGeom>
                    <a:noFill/>
                  </pic:spPr>
                </pic:pic>
              </a:graphicData>
            </a:graphic>
          </wp:anchor>
        </w:drawing>
        <w:drawing>
          <wp:anchor simplePos="0" relativeHeight="251657728" behindDoc="1" locked="0" layoutInCell="0" allowOverlap="1">
            <wp:simplePos x="0" y="0"/>
            <wp:positionH relativeFrom="column">
              <wp:posOffset>3695065</wp:posOffset>
            </wp:positionH>
            <wp:positionV relativeFrom="paragraph">
              <wp:posOffset>-583565</wp:posOffset>
            </wp:positionV>
            <wp:extent cx="285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-429260</wp:posOffset>
            </wp:positionV>
            <wp:extent cx="10718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-429260</wp:posOffset>
            </wp:positionV>
            <wp:extent cx="26746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-292100</wp:posOffset>
            </wp:positionV>
            <wp:extent cx="682371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-154940</wp:posOffset>
            </wp:positionV>
            <wp:extent cx="682371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-17780</wp:posOffset>
            </wp:positionV>
            <wp:extent cx="16459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7" w:name="page58"/>
    <w:bookmarkEnd w:id="57"/>
    <w:p>
      <w:pPr>
        <w:jc w:val="both"/>
        <w:ind w:left="500" w:firstLine="947"/>
        <w:spacing w:after="0" w:line="311" w:lineRule="auto"/>
        <w:tabs>
          <w:tab w:leader="none" w:pos="2081"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without duplication of any addbacks provided in the definition of Pro Forma Basis, losses, charges and expenses attributed to asset Dispositions (including Dispositions pursuant to Sale and Leaseback transactions) or the sale or other Disposition of any Equity Interests of any Person other than in the ordinary course of business or the Disposition of any securities or the extinguishment of any Indebtedness; </w:t>
      </w:r>
      <w:r>
        <w:rPr>
          <w:rFonts w:ascii="Arial" w:cs="Arial" w:eastAsia="Arial" w:hAnsi="Arial"/>
          <w:sz w:val="16"/>
          <w:szCs w:val="16"/>
          <w:u w:val="single" w:color="auto"/>
          <w:color w:val="auto"/>
        </w:rPr>
        <w:t>plus</w:t>
      </w:r>
    </w:p>
    <w:p>
      <w:pPr>
        <w:spacing w:after="0" w:line="148" w:lineRule="exact"/>
        <w:rPr>
          <w:rFonts w:ascii="Arial" w:cs="Arial" w:eastAsia="Arial" w:hAnsi="Arial"/>
          <w:sz w:val="16"/>
          <w:szCs w:val="16"/>
          <w:color w:val="auto"/>
        </w:rPr>
      </w:pPr>
    </w:p>
    <w:p>
      <w:pPr>
        <w:ind w:left="500" w:firstLine="944"/>
        <w:spacing w:after="0" w:line="308" w:lineRule="auto"/>
        <w:tabs>
          <w:tab w:leader="none" w:pos="2061"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net realized or unrealized loss during such period resulting from currency transaction or translation losses, including those related to currency remeasurements of indebtedness (including any losses resulting from swaps and intercompany indebtedness); plus</w:t>
      </w:r>
    </w:p>
    <w:p>
      <w:pPr>
        <w:spacing w:after="0" w:line="146" w:lineRule="exact"/>
        <w:rPr>
          <w:rFonts w:ascii="Arial" w:cs="Arial" w:eastAsia="Arial" w:hAnsi="Arial"/>
          <w:sz w:val="17"/>
          <w:szCs w:val="17"/>
          <w:color w:val="auto"/>
        </w:rPr>
      </w:pPr>
    </w:p>
    <w:p>
      <w:pPr>
        <w:ind w:left="2020" w:hanging="581"/>
        <w:spacing w:after="0"/>
        <w:tabs>
          <w:tab w:leader="none" w:pos="2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non-cash impairment losses resulting from any reappraisal, revaluation or write-up or write-down of assets; plus</w:t>
      </w:r>
    </w:p>
    <w:p>
      <w:pPr>
        <w:spacing w:after="0" w:line="225" w:lineRule="exact"/>
        <w:rPr>
          <w:rFonts w:ascii="Arial" w:cs="Arial" w:eastAsia="Arial" w:hAnsi="Arial"/>
          <w:sz w:val="18"/>
          <w:szCs w:val="18"/>
          <w:color w:val="auto"/>
        </w:rPr>
      </w:pPr>
    </w:p>
    <w:p>
      <w:pPr>
        <w:ind w:left="2000" w:hanging="561"/>
        <w:spacing w:after="0"/>
        <w:tabs>
          <w:tab w:leader="none" w:pos="2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unrealized hedging losses pursuant to hedging agreements; plus</w:t>
      </w:r>
    </w:p>
    <w:p>
      <w:pPr>
        <w:spacing w:after="0" w:line="225" w:lineRule="exact"/>
        <w:rPr>
          <w:rFonts w:ascii="Arial" w:cs="Arial" w:eastAsia="Arial" w:hAnsi="Arial"/>
          <w:sz w:val="18"/>
          <w:szCs w:val="18"/>
          <w:color w:val="auto"/>
        </w:rPr>
      </w:pPr>
    </w:p>
    <w:p>
      <w:pPr>
        <w:ind w:left="500" w:firstLine="944"/>
        <w:spacing w:after="0" w:line="277" w:lineRule="auto"/>
        <w:tabs>
          <w:tab w:leader="none" w:pos="20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other non-cash expenditure, charge or loss for such period (other than any non-cash expenditure, charge or loss relating to write-offs, write-downs or reserves with respect to accounts receivable and inventory); plus</w:t>
      </w:r>
    </w:p>
    <w:p>
      <w:pPr>
        <w:spacing w:after="0" w:line="170" w:lineRule="exact"/>
        <w:rPr>
          <w:rFonts w:ascii="Arial" w:cs="Arial" w:eastAsia="Arial" w:hAnsi="Arial"/>
          <w:sz w:val="18"/>
          <w:szCs w:val="18"/>
          <w:color w:val="auto"/>
        </w:rPr>
      </w:pPr>
    </w:p>
    <w:p>
      <w:pPr>
        <w:ind w:left="2020" w:hanging="581"/>
        <w:spacing w:after="0"/>
        <w:tabs>
          <w:tab w:leader="none" w:pos="2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one-time non-recurring costs associated with the settlement of the Biostage Litigation; </w:t>
      </w:r>
      <w:r>
        <w:rPr>
          <w:rFonts w:ascii="Arial" w:cs="Arial" w:eastAsia="Arial" w:hAnsi="Arial"/>
          <w:sz w:val="18"/>
          <w:szCs w:val="18"/>
          <w:color w:val="FF0000"/>
          <w:strike w:val="1"/>
        </w:rPr>
        <w:t>and</w:t>
      </w:r>
      <w:r>
        <w:rPr>
          <w:rFonts w:ascii="Arial" w:cs="Arial" w:eastAsia="Arial" w:hAnsi="Arial"/>
          <w:sz w:val="18"/>
          <w:szCs w:val="18"/>
          <w:u w:val="single" w:color="auto"/>
          <w:color w:val="0000FF"/>
        </w:rPr>
        <w:t>plus</w:t>
      </w:r>
    </w:p>
    <w:p>
      <w:pPr>
        <w:spacing w:after="0" w:line="225" w:lineRule="exact"/>
        <w:rPr>
          <w:rFonts w:ascii="Arial" w:cs="Arial" w:eastAsia="Arial" w:hAnsi="Arial"/>
          <w:sz w:val="18"/>
          <w:szCs w:val="18"/>
          <w:color w:val="auto"/>
        </w:rPr>
      </w:pPr>
    </w:p>
    <w:p>
      <w:pPr>
        <w:ind w:left="500" w:firstLine="939"/>
        <w:spacing w:after="0" w:line="277" w:lineRule="auto"/>
        <w:tabs>
          <w:tab w:leader="none" w:pos="2083" w:val="left"/>
        </w:tabs>
        <w:numPr>
          <w:ilvl w:val="1"/>
          <w:numId w:val="3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non-cash inventory write-downs with respect to the CHIPs Program in an amount not to exceed (a) $1,300,000 for the fiscal quarter ending September 30, 2022 and (b) $400,000 for the fiscal quarter ending December 31, 2022; and</w:t>
      </w:r>
    </w:p>
    <w:p>
      <w:pPr>
        <w:spacing w:after="0" w:line="170" w:lineRule="exact"/>
        <w:rPr>
          <w:rFonts w:ascii="Arial" w:cs="Arial" w:eastAsia="Arial" w:hAnsi="Arial"/>
          <w:sz w:val="18"/>
          <w:szCs w:val="18"/>
          <w:u w:val="single" w:color="auto"/>
          <w:color w:val="0000FF"/>
        </w:rPr>
      </w:pPr>
    </w:p>
    <w:p>
      <w:pPr>
        <w:ind w:right="780" w:firstLine="908"/>
        <w:spacing w:after="0" w:line="277" w:lineRule="auto"/>
        <w:tabs>
          <w:tab w:leader="none" w:pos="14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(without duplication) by the following, in each case, to the extent taken into account (or added back) in computing Consolidated Net Income for such Person for such period:</w:t>
      </w:r>
    </w:p>
    <w:p>
      <w:pPr>
        <w:spacing w:after="0" w:line="170" w:lineRule="exact"/>
        <w:rPr>
          <w:rFonts w:ascii="Arial" w:cs="Arial" w:eastAsia="Arial" w:hAnsi="Arial"/>
          <w:sz w:val="18"/>
          <w:szCs w:val="18"/>
          <w:color w:val="auto"/>
        </w:rPr>
      </w:pPr>
    </w:p>
    <w:p>
      <w:pPr>
        <w:ind w:left="2060" w:hanging="576"/>
        <w:spacing w:after="0"/>
        <w:tabs>
          <w:tab w:leader="none" w:pos="2060" w:val="left"/>
        </w:tabs>
        <w:numPr>
          <w:ilvl w:val="2"/>
          <w:numId w:val="32"/>
        </w:numPr>
        <w:rPr>
          <w:rFonts w:ascii="Arial" w:cs="Arial" w:eastAsia="Arial" w:hAnsi="Arial"/>
          <w:sz w:val="18"/>
          <w:szCs w:val="18"/>
          <w:color w:val="auto"/>
        </w:rPr>
      </w:pPr>
      <w:r>
        <w:rPr>
          <w:rFonts w:ascii="Arial" w:cs="Arial" w:eastAsia="Arial" w:hAnsi="Arial"/>
          <w:sz w:val="18"/>
          <w:szCs w:val="18"/>
          <w:color w:val="auto"/>
        </w:rPr>
        <w:t xml:space="preserve">interest income to the extent received in cash or otherwise during such period;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500" w:right="20" w:firstLine="997"/>
        <w:spacing w:after="0" w:line="342" w:lineRule="auto"/>
        <w:tabs>
          <w:tab w:leader="none" w:pos="2137" w:val="left"/>
        </w:tabs>
        <w:numPr>
          <w:ilvl w:val="3"/>
          <w:numId w:val="32"/>
        </w:numPr>
        <w:rPr>
          <w:rFonts w:ascii="Arial" w:cs="Arial" w:eastAsia="Arial" w:hAnsi="Arial"/>
          <w:sz w:val="16"/>
          <w:szCs w:val="16"/>
          <w:color w:val="auto"/>
        </w:rPr>
      </w:pPr>
      <w:r>
        <w:rPr>
          <w:rFonts w:ascii="Arial" w:cs="Arial" w:eastAsia="Arial" w:hAnsi="Arial"/>
          <w:sz w:val="16"/>
          <w:szCs w:val="16"/>
          <w:color w:val="auto"/>
        </w:rPr>
        <w:t>any gain realized in connection with the sale or Disposition of assets (including Dispositions pursuant to Sale and Leaseback transactions) other than in the ordinary course of business or the Disposition of any securities or the extinguishment of any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-1566545</wp:posOffset>
            </wp:positionV>
            <wp:extent cx="1885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-1292225</wp:posOffset>
            </wp:positionV>
            <wp:extent cx="62236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-1155065</wp:posOffset>
            </wp:positionV>
            <wp:extent cx="48691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jc w:val="both"/>
        <w:spacing w:after="0" w:line="255" w:lineRule="auto"/>
        <w:rPr>
          <w:sz w:val="20"/>
          <w:szCs w:val="20"/>
          <w:color w:val="auto"/>
        </w:rPr>
      </w:pPr>
      <w:r>
        <w:rPr>
          <w:rFonts w:ascii="Arial" w:cs="Arial" w:eastAsia="Arial" w:hAnsi="Arial"/>
          <w:sz w:val="18"/>
          <w:szCs w:val="18"/>
          <w:color w:val="auto"/>
        </w:rPr>
        <w:t>For purposes of determining the Consolidated Net Leverage Ratio, (a) there shall be included in determining Consolidated EBITDA of the Borrower and its Subsidiaries for any period, without duplication, (i) the Acquired EBITDA of any Acquired Entity or Business on a Pro Forma Basis and (b) there shall be excluded in determining Consolidated EBITDA of the Borrower and its Subsidiaries for any period, the Disposed EBITDA of any Sold Entity or Business on a Pro Forma Basis. Notwithstanding the foregoing, but subject to any adjustment set forth above with respect to any transactions occurring after the Closing Date, Consolidated EBITDA shall be $5,865,812, $903,374, $4,562,934 and $3,984,713 for the fiscal quarters ended December 31, 2019, March 31, 2020, June 30, 2020 and September 30, 2020, respectively.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Fixed Charge Coverage Ratio</w:t>
      </w:r>
      <w:r>
        <w:rPr>
          <w:rFonts w:ascii="Arial" w:cs="Arial" w:eastAsia="Arial" w:hAnsi="Arial"/>
          <w:sz w:val="16"/>
          <w:szCs w:val="16"/>
          <w:color w:val="auto"/>
        </w:rPr>
        <w:t>” means, with respect to any Measurement Period, for the Borrower and its Subsidiaries, the ratio of (a)</w:t>
      </w:r>
    </w:p>
    <w:p>
      <w:pPr>
        <w:spacing w:after="0" w:line="46" w:lineRule="exact"/>
        <w:rPr>
          <w:sz w:val="20"/>
          <w:szCs w:val="20"/>
          <w:color w:val="auto"/>
        </w:rPr>
      </w:pPr>
    </w:p>
    <w:p>
      <w:pPr>
        <w:jc w:val="both"/>
        <w:ind w:firstLine="8"/>
        <w:spacing w:after="0" w:line="255" w:lineRule="auto"/>
        <w:tabs>
          <w:tab w:leader="none" w:pos="2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Consolidated EBITDA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unfunded Capital Expenditures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(iii) cash taxes paid or payable during the applicable Measurement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(iv) the aggregate amount of all Restricted Payments paid in cash for such Measurement Period to (b) Consolidated Fixed Charges of the Borrower and its Subsidiaries.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Fixed Charges</w:t>
      </w:r>
      <w:r>
        <w:rPr>
          <w:rFonts w:ascii="Arial" w:cs="Arial" w:eastAsia="Arial" w:hAnsi="Arial"/>
          <w:sz w:val="17"/>
          <w:szCs w:val="17"/>
          <w:color w:val="auto"/>
        </w:rPr>
        <w:t>” means, for any Person for any period, the sum, without duplication, of each of the following with respect to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 determined on a consolidated basis in accordance with GAAP:</w:t>
      </w:r>
    </w:p>
    <w:p>
      <w:pPr>
        <w:spacing w:after="0" w:line="211" w:lineRule="exact"/>
        <w:rPr>
          <w:sz w:val="20"/>
          <w:szCs w:val="20"/>
          <w:color w:val="auto"/>
        </w:rPr>
      </w:pPr>
    </w:p>
    <w:p>
      <w:pPr>
        <w:ind w:left="1460" w:hanging="552"/>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Consolidated Interest Expense of such Person for such period,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jc w:val="both"/>
        <w:ind w:firstLine="908"/>
        <w:spacing w:after="0" w:line="263" w:lineRule="auto"/>
        <w:tabs>
          <w:tab w:leader="none" w:pos="15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in the case of the Borrower, the aggregate of all scheduled principal amounts that become payable during such period in respect of Indebtedness (excluding (i) any prepayment under </w:t>
      </w:r>
      <w:r>
        <w:rPr>
          <w:rFonts w:ascii="Arial" w:cs="Arial" w:eastAsia="Arial" w:hAnsi="Arial"/>
          <w:sz w:val="18"/>
          <w:szCs w:val="18"/>
          <w:u w:val="single" w:color="auto"/>
          <w:color w:val="auto"/>
        </w:rPr>
        <w:t>Section 2.7(b)(ii)</w:t>
      </w:r>
      <w:r>
        <w:rPr>
          <w:rFonts w:ascii="Arial" w:cs="Arial" w:eastAsia="Arial" w:hAnsi="Arial"/>
          <w:sz w:val="18"/>
          <w:szCs w:val="18"/>
          <w:color w:val="auto"/>
        </w:rPr>
        <w:t xml:space="preserve"> and (ii) the repayment of loans in connection with the Existing Credit Agreement Refinancing made on the Closing Date, but including the principal portion of Finance Lease Obligations).</w:t>
      </w:r>
    </w:p>
    <w:p>
      <w:pPr>
        <w:spacing w:after="0" w:line="184"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xml:space="preserve">” means, with respect to any Person and its Subsidiaries for any period, the sum of (a) consolidated total interest expense of such Person and its Subsidiaries for such period, whether paid or accrued and whether or not capitalized (including (without duplication), amortization of debt issuance costs and original issue discount, premiums paid to obtain payment, financial assurance or similar bonds, interest capitalized during construction, non-cash interest payments, the interest component of any deferred payment obligations, the interest component of all payments under Finance Leases and the implied interest component of Synthetic Lease Obligations (regardless of whether accounted for as interest expense under GAAP), all commissions, discounts and other fees and charges owed with respect to letters of credit and bankers’ acceptances and net costs in respect of any obligations under any Swap Agreements constituting interest rate swaps, collars, caps or other arrangements requiring payments contingent upon interest rates of such Person and its Subsidiaries),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all mandatory cash dividends paid or payable on preferred stock during such period other than to such Person or a Loan Party, plus or minus, as applicable, to the extent they would otherwise be included in interest expense under GAAP, unrealized gains and losses arising from derivative financial instruments issued by such Person for the benefit of such Person or its Subsidiaries, in each case determined on a consolidated basis for such period.</w:t>
      </w:r>
    </w:p>
    <w:p>
      <w:pPr>
        <w:spacing w:after="0" w:line="182" w:lineRule="exact"/>
        <w:rPr>
          <w:sz w:val="20"/>
          <w:szCs w:val="20"/>
          <w:color w:val="auto"/>
        </w:rPr>
      </w:pPr>
    </w:p>
    <w:p>
      <w:pPr>
        <w:jc w:val="both"/>
        <w:ind w:firstLine="45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for any Person (the “first Person”) for any period, the sum of net income (or loss) for such period of such first Person and its subsidiaries determined on a consolidated basis in accordance with GAAP, excluding, without duplication, to the extent included in determining such net income (or loss) for such period: (a) any income (or loss) of any other Person (the “second Person”) if such second Person is not a subsidiary of such first Person, except that such first Person’s equity in the net income of any second Person for such period shall be included in the determination of Consolidated Net Income up to the aggregate amount of cash actually distributed by such second Person during such period to such first Person or any of its subsidiaries as a dividend or other distribution, (b) the income (or loss) of any second Person accrued prior to the date it became a subsidiary of such first Person or is merged into or consolidated with such first person or any of its subsidiaries or such second Person’s assets are acquired by such first person or any of its subsidiaries, (c) non-recurring gains (or losses), (d) the income of any subsidiary of such first Person to the extent that the declaration or payment of dividends or similar distributions by such subsidiary of that income is prohibited by operation of the terms of its charter or any agreement, instrument, judgment, decree, statute, rule or governmental regulation applicable to such subsidiary, and (e) all non-cash adjustments made to translate foreign assets and liabilities for changes in foreign exchange rates made in accordance with ASC 830.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Leverage Ratio</w:t>
      </w:r>
      <w:r>
        <w:rPr>
          <w:rFonts w:ascii="Arial" w:cs="Arial" w:eastAsia="Arial" w:hAnsi="Arial"/>
          <w:sz w:val="18"/>
          <w:szCs w:val="18"/>
          <w:color w:val="auto"/>
        </w:rPr>
        <w:t xml:space="preserve">” means, with respect to any Measurement Period, the ratio of (a) (i) Consolidated Total Debt of the Borrower and its Subsidiaries as of the last day of such Measurement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up to $5,000,000 of unencumbered and unrestricted cash of the Borrower and its Subsidiaries to (b) Consolidated EBITDA of the Borrower and its Subsidiaries for such Measurement Period.</w:t>
      </w:r>
    </w:p>
    <w:p>
      <w:pPr>
        <w:spacing w:after="0" w:line="184" w:lineRule="exact"/>
        <w:rPr>
          <w:sz w:val="20"/>
          <w:szCs w:val="20"/>
          <w:color w:val="auto"/>
        </w:rPr>
      </w:pPr>
    </w:p>
    <w:p>
      <w:pPr>
        <w:jc w:val="both"/>
        <w:ind w:firstLine="45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Debt</w:t>
      </w:r>
      <w:r>
        <w:rPr>
          <w:rFonts w:ascii="Arial" w:cs="Arial" w:eastAsia="Arial" w:hAnsi="Arial"/>
          <w:sz w:val="16"/>
          <w:szCs w:val="16"/>
          <w:color w:val="auto"/>
        </w:rPr>
        <w:t>” means, with respect to any Person and its Subsidiaries at any time and as determined on a consolidated basis and without duplication, an amount equal to the sum of Indebtedness of the type set forth in clauses (a), (b), (c), (e), (g), (h) and (k) of the definition thereof.</w:t>
      </w:r>
    </w:p>
    <w:p>
      <w:pPr>
        <w:spacing w:after="0" w:line="124"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Working Capital</w:t>
      </w:r>
      <w:r>
        <w:rPr>
          <w:rFonts w:ascii="Arial" w:cs="Arial" w:eastAsia="Arial" w:hAnsi="Arial"/>
          <w:sz w:val="18"/>
          <w:szCs w:val="18"/>
          <w:color w:val="auto"/>
        </w:rPr>
        <w:t xml:space="preserve">” means, with respect to the Borrower and its Subsidiaries on a consolidated basis at any date of determination, Consolidated Current Assets at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Consolidated Current Liabilities at such date.</w:t>
      </w:r>
    </w:p>
    <w:p>
      <w:pPr>
        <w:spacing w:after="0" w:line="170"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Contested in Good Faith</w:t>
      </w:r>
      <w:r>
        <w:rPr>
          <w:rFonts w:ascii="Arial" w:cs="Arial" w:eastAsia="Arial" w:hAnsi="Arial"/>
          <w:sz w:val="18"/>
          <w:szCs w:val="18"/>
          <w:color w:val="auto"/>
        </w:rPr>
        <w:t>” means, with respect to any matter, that such matter is being contested in good faith by appropriate proceedings diligently conducted and for which adequate reserves have been provided in accordance with GAAP.</w:t>
      </w:r>
    </w:p>
    <w:p>
      <w:pPr>
        <w:spacing w:after="0" w:line="170" w:lineRule="exact"/>
        <w:rPr>
          <w:sz w:val="20"/>
          <w:szCs w:val="20"/>
          <w:color w:val="auto"/>
        </w:rPr>
      </w:pPr>
    </w:p>
    <w:p>
      <w:pPr>
        <w:ind w:right="4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analogous thereto. Without limiting the generality of the foregoing, a Person shall be deemed to be Controlled by another Person if such other Person possesses, directly or indirectly, power to vote ten percent (10%) or more of the securities having ordinary voting power for the election of directors, managing general partners or any equivalent thereof.</w:t>
      </w:r>
    </w:p>
    <w:p>
      <w:pPr>
        <w:spacing w:after="0" w:line="188" w:lineRule="exact"/>
        <w:rPr>
          <w:sz w:val="20"/>
          <w:szCs w:val="20"/>
          <w:color w:val="auto"/>
        </w:rPr>
      </w:pPr>
    </w:p>
    <w:p>
      <w:pPr>
        <w:jc w:val="both"/>
        <w:ind w:right="20"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Account</w:t>
      </w:r>
      <w:r>
        <w:rPr>
          <w:rFonts w:ascii="Arial" w:cs="Arial" w:eastAsia="Arial" w:hAnsi="Arial"/>
          <w:sz w:val="18"/>
          <w:szCs w:val="18"/>
          <w:color w:val="auto"/>
        </w:rPr>
        <w:t>” means, as the context may require, a commodities account, deposit account and/or securities account that is subject to a Control Agreement (as defined in the Security Agreement) in form and substance satisfactory to the Administrative Agent and, with respect to Cash Collateral, the L/C Issuer.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Foreign Corporation</w:t>
      </w:r>
      <w:r>
        <w:rPr>
          <w:rFonts w:ascii="Arial" w:cs="Arial" w:eastAsia="Arial" w:hAnsi="Arial"/>
          <w:sz w:val="18"/>
          <w:szCs w:val="18"/>
          <w:color w:val="auto"/>
        </w:rPr>
        <w:t>” means a controlled foreign corporation within the meaning of Section 957(a) of the Code.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Security Agreement</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this Credit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the making of a Loan or a L/C Credit Extension.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Facilities</w:t>
      </w:r>
      <w:r>
        <w:rPr>
          <w:rFonts w:ascii="Arial" w:cs="Arial" w:eastAsia="Arial" w:hAnsi="Arial"/>
          <w:sz w:val="18"/>
          <w:szCs w:val="18"/>
          <w:color w:val="auto"/>
        </w:rPr>
        <w:t>” means the Revolving Facility, the Term Facility and any Incremental Term Facility; each, a “</w:t>
      </w:r>
      <w:r>
        <w:rPr>
          <w:rFonts w:ascii="Arial" w:cs="Arial" w:eastAsia="Arial" w:hAnsi="Arial"/>
          <w:sz w:val="18"/>
          <w:szCs w:val="18"/>
          <w:u w:val="single" w:color="auto"/>
          <w:color w:val="auto"/>
        </w:rPr>
        <w:t>Credit Facility</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Parties</w:t>
      </w:r>
      <w:r>
        <w:rPr>
          <w:rFonts w:ascii="Arial" w:cs="Arial" w:eastAsia="Arial" w:hAnsi="Arial"/>
          <w:sz w:val="18"/>
          <w:szCs w:val="18"/>
          <w:color w:val="auto"/>
        </w:rPr>
        <w:t>” means the Administrative Agent, the Swingline Lender, the L/C Issuer and the Lenders.</w:t>
      </w:r>
    </w:p>
    <w:p>
      <w:pPr>
        <w:spacing w:after="0" w:line="225"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u w:val="single" w:color="auto"/>
          <w:color w:val="0000FF"/>
        </w:rPr>
        <w:t>“Daily Simple SOFR” means, for any day, a rate per annum equal to the greater of (a) the sum of (i)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 plus (ii) the Daily Simple SOFR Adjustment, and (b) the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-565150</wp:posOffset>
            </wp:positionV>
            <wp:extent cx="684911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2343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2343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38830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83025" cy="8890"/>
                    </a:xfrm>
                    <a:prstGeom prst="rect">
                      <a:avLst/>
                    </a:prstGeom>
                    <a:noFill/>
                  </pic:spPr>
                </pic:pic>
              </a:graphicData>
            </a:graphic>
          </wp:anchor>
        </w:drawing>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0000FF"/>
        </w:rPr>
        <w:t>“Daily Simple SOFR Adjustment” means 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wp:posOffset>
            </wp:positionV>
            <wp:extent cx="226314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5" w:lineRule="exact"/>
        <w:rPr>
          <w:sz w:val="20"/>
          <w:szCs w:val="20"/>
          <w:color w:val="auto"/>
        </w:rPr>
      </w:pPr>
    </w:p>
    <w:p>
      <w:pPr>
        <w:jc w:val="both"/>
        <w:ind w:firstLine="450"/>
        <w:spacing w:after="0" w:line="220"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Rate</w:t>
      </w:r>
      <w:r>
        <w:rPr>
          <w:rFonts w:ascii="Arial" w:cs="Arial" w:eastAsia="Arial" w:hAnsi="Arial"/>
          <w:sz w:val="18"/>
          <w:szCs w:val="18"/>
          <w:color w:val="auto"/>
        </w:rPr>
        <w:t xml:space="preserve">” means, for any day, a rate per annum equal to </w:t>
      </w:r>
      <w:r>
        <w:rPr>
          <w:rFonts w:ascii="Arial" w:cs="Arial" w:eastAsia="Arial" w:hAnsi="Arial"/>
          <w:sz w:val="18"/>
          <w:szCs w:val="18"/>
          <w:color w:val="FF0000"/>
          <w:strike w:val="1"/>
        </w:rPr>
        <w:t>the Adjusted LIBOR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in effect on such day for </w:t>
      </w:r>
      <w:r>
        <w:rPr>
          <w:rFonts w:ascii="Arial" w:cs="Arial" w:eastAsia="Arial" w:hAnsi="Arial"/>
          <w:sz w:val="18"/>
          <w:szCs w:val="18"/>
          <w:color w:val="FF0000"/>
          <w:strike w:val="1"/>
        </w:rPr>
        <w:t>deposits in</w:t>
      </w:r>
      <w:r>
        <w:rPr>
          <w:rFonts w:ascii="Arial" w:cs="Arial" w:eastAsia="Arial" w:hAnsi="Arial"/>
          <w:sz w:val="18"/>
          <w:szCs w:val="18"/>
          <w:color w:val="auto"/>
        </w:rPr>
        <w:t xml:space="preserve"> </w:t>
      </w:r>
      <w:r>
        <w:rPr>
          <w:rFonts w:ascii="Arial" w:cs="Arial" w:eastAsia="Arial" w:hAnsi="Arial"/>
          <w:sz w:val="18"/>
          <w:szCs w:val="18"/>
          <w:color w:val="FF0000"/>
          <w:strike w:val="1"/>
        </w:rPr>
        <w:t>Dollars for a one</w:t>
      </w:r>
      <w:r>
        <w:rPr>
          <w:rFonts w:ascii="MS PGothic" w:cs="MS PGothic" w:eastAsia="MS PGothic" w:hAnsi="MS PGothic"/>
          <w:sz w:val="18"/>
          <w:szCs w:val="18"/>
          <w:color w:val="FF0000"/>
        </w:rPr>
        <w:t>‑</w:t>
      </w:r>
      <w:r>
        <w:rPr>
          <w:rFonts w:ascii="Arial" w:cs="Arial" w:eastAsia="Arial" w:hAnsi="Arial"/>
          <w:sz w:val="18"/>
          <w:szCs w:val="18"/>
          <w:color w:val="FF0000"/>
          <w:strike w:val="1"/>
        </w:rPr>
        <w:t>month</w:t>
      </w:r>
      <w:r>
        <w:rPr>
          <w:rFonts w:ascii="Arial" w:cs="Arial" w:eastAsia="Arial" w:hAnsi="Arial"/>
          <w:sz w:val="18"/>
          <w:szCs w:val="18"/>
          <w:u w:val="single" w:color="auto"/>
          <w:color w:val="0000FF"/>
        </w:rPr>
        <w:t>a one-month</w:t>
      </w:r>
      <w:r>
        <w:rPr>
          <w:rFonts w:ascii="Arial" w:cs="Arial" w:eastAsia="Arial" w:hAnsi="Arial"/>
          <w:sz w:val="18"/>
          <w:szCs w:val="18"/>
          <w:color w:val="FF0000"/>
        </w:rPr>
        <w:t xml:space="preserve"> </w:t>
      </w:r>
      <w:r>
        <w:rPr>
          <w:rFonts w:ascii="Arial" w:cs="Arial" w:eastAsia="Arial" w:hAnsi="Arial"/>
          <w:sz w:val="18"/>
          <w:szCs w:val="18"/>
          <w:color w:val="000000"/>
        </w:rPr>
        <w:t>Interest Period (subject to</w:t>
      </w:r>
      <w:r>
        <w:rPr>
          <w:rFonts w:ascii="Arial" w:cs="Arial" w:eastAsia="Arial" w:hAnsi="Arial"/>
          <w:sz w:val="18"/>
          <w:szCs w:val="18"/>
          <w:color w:val="FF0000"/>
        </w:rPr>
        <w:t xml:space="preserve"> </w:t>
      </w:r>
      <w:r>
        <w:rPr>
          <w:rFonts w:ascii="Arial" w:cs="Arial" w:eastAsia="Arial" w:hAnsi="Arial"/>
          <w:sz w:val="18"/>
          <w:szCs w:val="18"/>
          <w:color w:val="FF0000"/>
          <w:strike w:val="1"/>
        </w:rPr>
        <w:t>any interest rate floor set forth</w:t>
      </w:r>
      <w:r>
        <w:rPr>
          <w:rFonts w:ascii="Arial" w:cs="Arial" w:eastAsia="Arial" w:hAnsi="Arial"/>
          <w:sz w:val="18"/>
          <w:szCs w:val="18"/>
          <w:u w:val="single" w:color="auto"/>
          <w:color w:val="0000FF"/>
        </w:rPr>
        <w:t>the Floor referred to</w:t>
      </w:r>
      <w:r>
        <w:rPr>
          <w:rFonts w:ascii="Arial" w:cs="Arial" w:eastAsia="Arial" w:hAnsi="Arial"/>
          <w:sz w:val="18"/>
          <w:szCs w:val="18"/>
          <w:color w:val="FF0000"/>
        </w:rPr>
        <w:t xml:space="preserve"> </w:t>
      </w:r>
      <w:r>
        <w:rPr>
          <w:rFonts w:ascii="Arial" w:cs="Arial" w:eastAsia="Arial" w:hAnsi="Arial"/>
          <w:sz w:val="18"/>
          <w:szCs w:val="18"/>
          <w:color w:val="000000"/>
        </w:rPr>
        <w:t>in the definition of “</w:t>
      </w:r>
      <w:r>
        <w:rPr>
          <w:rFonts w:ascii="Arial" w:cs="Arial" w:eastAsia="Arial" w:hAnsi="Arial"/>
          <w:sz w:val="18"/>
          <w:szCs w:val="18"/>
          <w:color w:val="FF0000"/>
          <w:strike w:val="1"/>
        </w:rPr>
        <w:t>Adjusted LIBOR</w:t>
      </w:r>
      <w:r>
        <w:rPr>
          <w:rFonts w:ascii="Arial" w:cs="Arial" w:eastAsia="Arial" w:hAnsi="Arial"/>
          <w:sz w:val="18"/>
          <w:szCs w:val="18"/>
          <w:color w:val="FF0000"/>
        </w:rPr>
        <w:t xml:space="preserve"> </w:t>
      </w:r>
      <w:r>
        <w:rPr>
          <w:rFonts w:ascii="Arial" w:cs="Arial" w:eastAsia="Arial" w:hAnsi="Arial"/>
          <w:sz w:val="18"/>
          <w:szCs w:val="18"/>
          <w:color w:val="FF0000"/>
          <w:strike w:val="1"/>
        </w:rPr>
        <w:t>Rate</w:t>
      </w:r>
      <w:r>
        <w:rPr>
          <w:rFonts w:ascii="Arial" w:cs="Arial" w:eastAsia="Arial" w:hAnsi="Arial"/>
          <w:sz w:val="18"/>
          <w:szCs w:val="18"/>
          <w:u w:val="single" w:color="auto"/>
          <w:color w:val="0000FF"/>
        </w:rPr>
        <w:t>Term SOFR</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-280670</wp:posOffset>
            </wp:positionV>
            <wp:extent cx="28257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-280670</wp:posOffset>
            </wp:positionV>
            <wp:extent cx="54864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-143510</wp:posOffset>
            </wp:positionV>
            <wp:extent cx="57404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-143510</wp:posOffset>
            </wp:positionV>
            <wp:extent cx="95123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5123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-6350</wp:posOffset>
            </wp:positionV>
            <wp:extent cx="55689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184" w:lineRule="exact"/>
        <w:rPr>
          <w:sz w:val="20"/>
          <w:szCs w:val="20"/>
          <w:color w:val="auto"/>
        </w:rPr>
      </w:pPr>
    </w:p>
    <w:p>
      <w:pPr>
        <w:ind w:right="4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Incurrence</w:t>
      </w:r>
      <w:r>
        <w:rPr>
          <w:rFonts w:ascii="Arial" w:cs="Arial" w:eastAsia="Arial" w:hAnsi="Arial"/>
          <w:sz w:val="18"/>
          <w:szCs w:val="18"/>
          <w:color w:val="auto"/>
        </w:rPr>
        <w:t xml:space="preserve">” means the incurrence of any Indebtedness by any Loan Party or any of its Subsidiaries (other than Indebtedness permitted by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70"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4"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that upon notice, lapse of time or both would, unless cured or waived, become an Event of Default.</w:t>
      </w:r>
    </w:p>
    <w:p>
      <w:pPr>
        <w:spacing w:after="0" w:line="170"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when used with respect to the outstanding principal balance of any Loan, the sum of (i) the rate of interest otherwise applicable thereto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2.00% per annum, and (b) when used with respect to any L/C Borrowing or any interest, fee or other amount payable under the Loan Documents which shall not have been paid when due, the sum of (i)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Margin applicable to ABR Revolving Borrowings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2.00% per annum.</w:t>
      </w:r>
    </w:p>
    <w:p>
      <w:pPr>
        <w:spacing w:after="0" w:line="187" w:lineRule="exact"/>
        <w:rPr>
          <w:sz w:val="20"/>
          <w:szCs w:val="20"/>
          <w:color w:val="auto"/>
        </w:rPr>
      </w:pPr>
    </w:p>
    <w:p>
      <w:pPr>
        <w:jc w:val="both"/>
        <w:ind w:firstLine="45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subject to </w:t>
      </w:r>
      <w:r>
        <w:rPr>
          <w:rFonts w:ascii="Arial" w:cs="Arial" w:eastAsia="Arial" w:hAnsi="Arial"/>
          <w:sz w:val="17"/>
          <w:szCs w:val="17"/>
          <w:u w:val="single" w:color="auto"/>
          <w:color w:val="auto"/>
        </w:rPr>
        <w:t>Section 2.9(b)</w:t>
      </w:r>
      <w:r>
        <w:rPr>
          <w:rFonts w:ascii="Arial" w:cs="Arial" w:eastAsia="Arial" w:hAnsi="Arial"/>
          <w:sz w:val="17"/>
          <w:szCs w:val="17"/>
          <w:color w:val="auto"/>
        </w:rPr>
        <w:t xml:space="preserve">,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Swingline Lender or any other Lender any other amount required to be paid by it hereunder (including in respect of its participation in Letters of Credit or Swingline Loans) within two Business Days of the date when due, (b) has notified the Borrower, the Administrative Agent or the L/C Issuer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clause (c) upon receipt of such written confirmation by the Administrative Agent and the Borrower, or (d) has, or has a direct or indirect holding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holding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7"/>
          <w:szCs w:val="17"/>
          <w:u w:val="single" w:color="auto"/>
          <w:color w:val="auto"/>
        </w:rPr>
        <w:t>Section 2.9(b)</w:t>
      </w:r>
      <w:r>
        <w:rPr>
          <w:rFonts w:ascii="Arial" w:cs="Arial" w:eastAsia="Arial" w:hAnsi="Arial"/>
          <w:sz w:val="17"/>
          <w:szCs w:val="17"/>
          <w:color w:val="auto"/>
        </w:rPr>
        <w:t>) upon delivery of written notice of such determination to the Borrower, the L/C Issuer, the Swingline Lender and each Lender.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xml:space="preserve">” means the actions, suits, proceedings and environmental matters disclosed in </w:t>
      </w:r>
      <w:r>
        <w:rPr>
          <w:rFonts w:ascii="Arial" w:cs="Arial" w:eastAsia="Arial" w:hAnsi="Arial"/>
          <w:sz w:val="18"/>
          <w:szCs w:val="18"/>
          <w:u w:val="single" w:color="auto"/>
          <w:color w:val="auto"/>
        </w:rPr>
        <w:t>Schedule 5.6</w:t>
      </w:r>
      <w:r>
        <w:rPr>
          <w:rFonts w:ascii="Arial" w:cs="Arial" w:eastAsia="Arial" w:hAnsi="Arial"/>
          <w:sz w:val="18"/>
          <w:szCs w:val="18"/>
          <w:color w:val="auto"/>
        </w:rPr>
        <w:t>.</w:t>
      </w:r>
    </w:p>
    <w:p>
      <w:pPr>
        <w:spacing w:after="0" w:line="225"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Disposed EBITDA</w:t>
      </w:r>
      <w:r>
        <w:rPr>
          <w:rFonts w:ascii="Arial" w:cs="Arial" w:eastAsia="Arial" w:hAnsi="Arial"/>
          <w:sz w:val="18"/>
          <w:szCs w:val="18"/>
          <w:color w:val="auto"/>
        </w:rPr>
        <w:t xml:space="preserve">” means, with respect to any Sold Entity or Business for any period, the historical Consolidated EBITDA of such Sold Entity or Business for such period as certified by a Financial Officer of the Borrower, which historical Consolidated EBITDA shall be calculated in a manner consistent with the definition of Consolidated EBITDA herein and to be based on financial statements for such Sold Entity or Business prepared in accordance with GAAP (subject to the absence of footnote disclosures and year-end audit adjustments with respect to financial statements that are not annual audited financial statements),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such Disposed EBITDA is excluded from Consolidated EBITDA it shall be on a Pro Forma Basis).</w:t>
      </w:r>
    </w:p>
    <w:p>
      <w:pPr>
        <w:spacing w:after="0" w:line="192" w:lineRule="exact"/>
        <w:rPr>
          <w:sz w:val="20"/>
          <w:szCs w:val="20"/>
          <w:color w:val="auto"/>
        </w:rPr>
      </w:pPr>
    </w:p>
    <w:p>
      <w:pPr>
        <w:jc w:val="both"/>
        <w:ind w:firstLine="45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Disposition</w:t>
      </w:r>
      <w:r>
        <w:rPr>
          <w:rFonts w:ascii="Arial" w:cs="Arial" w:eastAsia="Arial" w:hAnsi="Arial"/>
          <w:sz w:val="16"/>
          <w:szCs w:val="16"/>
          <w:color w:val="auto"/>
        </w:rPr>
        <w:t>” means, with respect to any Person, the sale, transfer, license, lease or other disposition (including by way of Division, Sale Leaseback or any sale or issuance of Equity Interests by way of a merger or otherwise) by such Person to any other Person, with or without recourse, of (a) any notes or accounts receivable or any rights and claims associated therewith, (b) any Equity Interests of any Subsidiary (other than directors’ qualifying shares), or</w:t>
      </w:r>
    </w:p>
    <w:p>
      <w:pPr>
        <w:spacing w:after="0" w:line="2"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any other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none of the following shall constitute a Disposition: (i) any sale, transfer, license, lease or other disposition by</w:t>
      </w:r>
    </w:p>
    <w:p>
      <w:pPr>
        <w:spacing w:after="0" w:line="32"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color w:val="auto"/>
        </w:rPr>
        <w:t>(A) a Loan Party to another Loan Party or (B) a Non-Loan Party Subsidiary to another Non-Loan Party Subsidiary, in each case, on terms which are no less favorable than are obtainable from any Person which is not one of its Affiliates, (ii) the collection of accounts receivable and other obligations in the ordinary course of business, (iii) sales of inventory in the ordinary course of business, (iv) dispositions of substantially worn out, damaged, uneconomical, surplus or obsolete equipment, equipment that is no longer useful in the business of the Borrower or its Subsidiaries, and (v) sales, transfers, licenses, leases or other Dispositions resulting in aggregate Net Cash Proceeds not exceeding $5,000,000 during any Fiscal Year. Each of the terms “</w:t>
      </w:r>
      <w:r>
        <w:rPr>
          <w:rFonts w:ascii="Arial" w:cs="Arial" w:eastAsia="Arial" w:hAnsi="Arial"/>
          <w:sz w:val="18"/>
          <w:szCs w:val="18"/>
          <w:u w:val="single" w:color="auto"/>
          <w:color w:val="auto"/>
        </w:rPr>
        <w:t>Dispose</w:t>
      </w:r>
      <w:r>
        <w:rPr>
          <w:rFonts w:ascii="Arial" w:cs="Arial" w:eastAsia="Arial" w:hAnsi="Arial"/>
          <w:sz w:val="18"/>
          <w:szCs w:val="18"/>
          <w:color w:val="auto"/>
        </w:rPr>
        <w:t>” and “</w:t>
      </w:r>
      <w:r>
        <w:rPr>
          <w:rFonts w:ascii="Arial" w:cs="Arial" w:eastAsia="Arial" w:hAnsi="Arial"/>
          <w:sz w:val="18"/>
          <w:szCs w:val="18"/>
          <w:u w:val="single" w:color="auto"/>
          <w:color w:val="auto"/>
        </w:rPr>
        <w:t>Disposed</w:t>
      </w:r>
      <w:r>
        <w:rPr>
          <w:rFonts w:ascii="Arial" w:cs="Arial" w:eastAsia="Arial" w:hAnsi="Arial"/>
          <w:sz w:val="18"/>
          <w:szCs w:val="18"/>
          <w:color w:val="auto"/>
        </w:rPr>
        <w:t>” when used as a verb shall have an analogous meaning.</w:t>
      </w:r>
    </w:p>
    <w:p>
      <w:pPr>
        <w:spacing w:after="0" w:line="194" w:lineRule="exact"/>
        <w:rPr>
          <w:sz w:val="20"/>
          <w:szCs w:val="20"/>
          <w:color w:val="auto"/>
        </w:rPr>
      </w:pPr>
    </w:p>
    <w:p>
      <w:pPr>
        <w:jc w:val="both"/>
        <w:ind w:firstLine="45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Equity Interest</w:t>
      </w:r>
      <w:r>
        <w:rPr>
          <w:rFonts w:ascii="Arial" w:cs="Arial" w:eastAsia="Arial" w:hAnsi="Arial"/>
          <w:sz w:val="17"/>
          <w:szCs w:val="17"/>
          <w:color w:val="auto"/>
        </w:rPr>
        <w:t>” means, with respect to any Person, any Equity Interest of such Person which, by its terms, or by the terms of any security or other Equity Interests into which it is convertible or for which it is exchangeable, or upon the happening of any event or condition, (a) matures or is mandatorily redeemable (other than solely for Qualified Equity Interests and cash in lieu of fractional shares of such Equity Interests) pursuant to a sinking fund obligation or otherwise (except as a result of a change in control or asset sale so long as any rights of the holders thereof upon the occurrence of a change in control or asset sale event shall be subject to the prior occurrence of the Termination Date), (b) is redeemable at the option of the holder thereof (other than solely for Qualified Equity Interests), in whole or in part, (c) provides for the scheduled payments of dividends in cash, or (d) is or becomes convertible into or exchangeable for Indebtedness or any other Equity Interests that would constitute Disqualified Equity Interests, in each case, prior to the date that is 91 days after the Latest Maturity Date at the time such Equity Interests are issued.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2" w:name="page63"/>
    <w:bookmarkEnd w:id="62"/>
    <w:p>
      <w:pPr>
        <w:jc w:val="both"/>
        <w:ind w:firstLine="45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Division</w:t>
      </w:r>
      <w:r>
        <w:rPr>
          <w:rFonts w:ascii="Arial" w:cs="Arial" w:eastAsia="Arial" w:hAnsi="Arial"/>
          <w:sz w:val="17"/>
          <w:szCs w:val="17"/>
          <w:color w:val="auto"/>
        </w:rPr>
        <w:t>” means the division of the assets, liabilities and/or obligations of a Person (the “Dividing Person”) among two or more Persons, whether pursuant to a “plan of division” or similar arrangement pursuant to Section 18-217 of the Delaware Limited Liability Company Act or any similar provision under the laws of any other applicable jurisdiction and pursuant to which the Dividing Person may or may not survive.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w:t>
      </w:r>
    </w:p>
    <w:p>
      <w:pPr>
        <w:spacing w:after="0" w:line="22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incorporated or organized under the laws of the United States, or any state, commonwealth or other political subdivision thereof (including, for the avoidance of doubt, the District of Columbia).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FF0000"/>
        </w:rPr>
        <w:t>“Early Opt-in Election</w:t>
      </w:r>
      <w:r>
        <w:rPr>
          <w:rFonts w:ascii="Arial" w:cs="Arial" w:eastAsia="Arial" w:hAnsi="Arial"/>
          <w:sz w:val="18"/>
          <w:szCs w:val="18"/>
          <w:color w:val="FF0000"/>
        </w:rPr>
        <w:t xml:space="preserve">” </w:t>
      </w:r>
      <w:r>
        <w:rPr>
          <w:rFonts w:ascii="Arial" w:cs="Arial" w:eastAsia="Arial" w:hAnsi="Arial"/>
          <w:sz w:val="18"/>
          <w:szCs w:val="18"/>
          <w:color w:val="FF0000"/>
          <w:strike w:val="1"/>
        </w:rPr>
        <w:t>means the occurrence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-61595</wp:posOffset>
            </wp:positionV>
            <wp:extent cx="10344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spacing w:after="0" w:line="20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FF0000"/>
          <w:strike w:val="1"/>
        </w:rPr>
        <w:t xml:space="preserve">(1)(a) a determination by the Administrative Agent or (b) a notification by the Required Lenders to the Administrative Agent (with a copy to the Borrower) that the Required Lenders have determined that U.S. dollar-denominated syndicated credit facilities being executed at such time, or that include language similar to that contained in </w:t>
      </w:r>
      <w:r>
        <w:rPr>
          <w:rFonts w:ascii="Arial" w:cs="Arial" w:eastAsia="Arial" w:hAnsi="Arial"/>
          <w:sz w:val="18"/>
          <w:szCs w:val="18"/>
          <w:u w:val="single" w:color="auto"/>
          <w:color w:val="FF0000"/>
          <w:strike w:val="1"/>
        </w:rPr>
        <w:t>Section 3.3(b)</w:t>
      </w:r>
      <w:r>
        <w:rPr>
          <w:rFonts w:ascii="Arial" w:cs="Arial" w:eastAsia="Arial" w:hAnsi="Arial"/>
          <w:sz w:val="18"/>
          <w:szCs w:val="18"/>
          <w:color w:val="FF0000"/>
          <w:strike w:val="1"/>
        </w:rPr>
        <w:t>, are being executed or amended, as applicable, to incorporate or adopt a new benchmark interest rate to replace the LIBOR Rate, and</w:t>
      </w:r>
    </w:p>
    <w:p>
      <w:pPr>
        <w:spacing w:after="0" w:line="187"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FF0000"/>
          <w:strike w:val="1"/>
        </w:rPr>
        <w:t>(2)(a) the election by the Administrative Agent or (b) the election by the Required Lenders to declare that an Early Opt-in Election has occurred and the provision, as applicable, by the Administrative Agent of written notice of such election to the Borrower and the Lenders or by the Required Lenders of written notice of such election to the Administrative Agent.</w:t>
      </w:r>
    </w:p>
    <w:p>
      <w:pPr>
        <w:spacing w:after="0" w:line="184"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Obligations</w:t>
      </w:r>
      <w:r>
        <w:rPr>
          <w:rFonts w:ascii="Arial" w:cs="Arial" w:eastAsia="Arial" w:hAnsi="Arial"/>
          <w:sz w:val="18"/>
          <w:szCs w:val="18"/>
          <w:color w:val="auto"/>
        </w:rPr>
        <w:t>” means, with respect to any Person, obligations of such Person that are recognized under GAAP as a liability of such Person, payable in cash or which may be payable in cash at the seller’s or obligee’s option arising from the acquisition of a business or a line of business (whether pursuant to an acquisition of Equity Interests or assets, the consummation of a merger or consolidation or otherwise) and payable to the seller or sellers thereof.</w:t>
      </w:r>
    </w:p>
    <w:p>
      <w:pPr>
        <w:spacing w:after="0" w:line="187"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Yield</w:t>
      </w:r>
      <w:r>
        <w:rPr>
          <w:rFonts w:ascii="Arial" w:cs="Arial" w:eastAsia="Arial" w:hAnsi="Arial"/>
          <w:sz w:val="18"/>
          <w:szCs w:val="18"/>
          <w:color w:val="auto"/>
        </w:rPr>
        <w:t xml:space="preserve">” means, with respect to any Term Facility existing as of any date of determination, the sum of (a) the higher of (i) </w:t>
      </w:r>
      <w:r>
        <w:rPr>
          <w:rFonts w:ascii="Arial" w:cs="Arial" w:eastAsia="Arial" w:hAnsi="Arial"/>
          <w:sz w:val="18"/>
          <w:szCs w:val="18"/>
          <w:color w:val="FF0000"/>
          <w:strike w:val="1"/>
        </w:rPr>
        <w:t>the Adjusted</w:t>
      </w:r>
      <w:r>
        <w:rPr>
          <w:rFonts w:ascii="Arial" w:cs="Arial" w:eastAsia="Arial" w:hAnsi="Arial"/>
          <w:sz w:val="18"/>
          <w:szCs w:val="18"/>
          <w:color w:val="auto"/>
        </w:rPr>
        <w:t xml:space="preserve"> </w:t>
      </w:r>
      <w:r>
        <w:rPr>
          <w:rFonts w:ascii="Arial" w:cs="Arial" w:eastAsia="Arial" w:hAnsi="Arial"/>
          <w:sz w:val="18"/>
          <w:szCs w:val="18"/>
          <w:color w:val="FF0000"/>
          <w:strike w:val="1"/>
        </w:rPr>
        <w:t>LIBOR Rate on such date for a deposit in Dollars with a maturity of</w:t>
      </w:r>
      <w:r>
        <w:rPr>
          <w:rFonts w:ascii="Arial" w:cs="Arial" w:eastAsia="Arial" w:hAnsi="Arial"/>
          <w:sz w:val="18"/>
          <w:szCs w:val="18"/>
          <w:u w:val="single" w:color="auto"/>
          <w:color w:val="0000FF"/>
        </w:rPr>
        <w:t>Term SOFR for an Interest Period closest to</w:t>
      </w:r>
      <w:r>
        <w:rPr>
          <w:rFonts w:ascii="Arial" w:cs="Arial" w:eastAsia="Arial" w:hAnsi="Arial"/>
          <w:sz w:val="18"/>
          <w:szCs w:val="18"/>
          <w:color w:val="FF0000"/>
        </w:rPr>
        <w:t xml:space="preserve"> </w:t>
      </w:r>
      <w:r>
        <w:rPr>
          <w:rFonts w:ascii="Arial" w:cs="Arial" w:eastAsia="Arial" w:hAnsi="Arial"/>
          <w:sz w:val="18"/>
          <w:szCs w:val="18"/>
          <w:color w:val="000000"/>
        </w:rPr>
        <w:t>one month and (ii) the</w:t>
      </w:r>
      <w:r>
        <w:rPr>
          <w:rFonts w:ascii="Arial" w:cs="Arial" w:eastAsia="Arial" w:hAnsi="Arial"/>
          <w:sz w:val="18"/>
          <w:szCs w:val="18"/>
          <w:color w:val="FF0000"/>
        </w:rPr>
        <w:t xml:space="preserve"> </w:t>
      </w:r>
      <w:r>
        <w:rPr>
          <w:rFonts w:ascii="Arial" w:cs="Arial" w:eastAsia="Arial" w:hAnsi="Arial"/>
          <w:sz w:val="18"/>
          <w:szCs w:val="18"/>
          <w:color w:val="FF0000"/>
          <w:strike w:val="1"/>
        </w:rPr>
        <w:t>Adjusted LIBOR</w:t>
      </w:r>
      <w:r>
        <w:rPr>
          <w:rFonts w:ascii="Arial" w:cs="Arial" w:eastAsia="Arial" w:hAnsi="Arial"/>
          <w:sz w:val="18"/>
          <w:szCs w:val="18"/>
          <w:color w:val="FF0000"/>
        </w:rPr>
        <w:t xml:space="preserve"> </w:t>
      </w:r>
      <w:r>
        <w:rPr>
          <w:rFonts w:ascii="Arial" w:cs="Arial" w:eastAsia="Arial" w:hAnsi="Arial"/>
          <w:sz w:val="18"/>
          <w:szCs w:val="18"/>
          <w:color w:val="FF0000"/>
          <w:strike w:val="1"/>
        </w:rPr>
        <w:t>Rate</w:t>
      </w:r>
      <w:r>
        <w:rPr>
          <w:rFonts w:ascii="Arial" w:cs="Arial" w:eastAsia="Arial" w:hAnsi="Arial"/>
          <w:sz w:val="18"/>
          <w:szCs w:val="18"/>
          <w:color w:val="FF0000"/>
        </w:rPr>
        <w:t xml:space="preserve"> “</w:t>
      </w:r>
      <w:r>
        <w:rPr>
          <w:rFonts w:ascii="Arial" w:cs="Arial" w:eastAsia="Arial" w:hAnsi="Arial"/>
          <w:sz w:val="18"/>
          <w:szCs w:val="18"/>
          <w:color w:val="FF0000"/>
          <w:strike w:val="1"/>
        </w:rPr>
        <w:t>floor</w:t>
      </w:r>
      <w:r>
        <w:rPr>
          <w:rFonts w:ascii="Arial" w:cs="Arial" w:eastAsia="Arial" w:hAnsi="Arial"/>
          <w:sz w:val="18"/>
          <w:szCs w:val="18"/>
          <w:color w:val="FF0000"/>
        </w:rPr>
        <w:t>”</w:t>
      </w:r>
      <w:r>
        <w:rPr>
          <w:rFonts w:ascii="Arial" w:cs="Arial" w:eastAsia="Arial" w:hAnsi="Arial"/>
          <w:sz w:val="18"/>
          <w:szCs w:val="18"/>
          <w:color w:val="FF0000"/>
          <w:strike w:val="1"/>
        </w:rPr>
        <w:t>, if any</w:t>
      </w:r>
      <w:r>
        <w:rPr>
          <w:rFonts w:ascii="Arial" w:cs="Arial" w:eastAsia="Arial" w:hAnsi="Arial"/>
          <w:sz w:val="18"/>
          <w:szCs w:val="18"/>
          <w:color w:val="0000FF"/>
          <w:strike w:val="1"/>
        </w:rPr>
        <w:t>,</w:t>
      </w:r>
      <w:r>
        <w:rPr>
          <w:rFonts w:ascii="Arial" w:cs="Arial" w:eastAsia="Arial" w:hAnsi="Arial"/>
          <w:sz w:val="18"/>
          <w:szCs w:val="18"/>
          <w:u w:val="single" w:color="auto"/>
          <w:color w:val="0000FF"/>
        </w:rPr>
        <w:t>applicable Floor</w:t>
      </w:r>
      <w:r>
        <w:rPr>
          <w:rFonts w:ascii="Arial" w:cs="Arial" w:eastAsia="Arial" w:hAnsi="Arial"/>
          <w:sz w:val="18"/>
          <w:szCs w:val="18"/>
          <w:color w:val="FF0000"/>
        </w:rPr>
        <w:t xml:space="preserve"> </w:t>
      </w:r>
      <w:r>
        <w:rPr>
          <w:rFonts w:ascii="Arial" w:cs="Arial" w:eastAsia="Arial" w:hAnsi="Arial"/>
          <w:sz w:val="18"/>
          <w:szCs w:val="18"/>
          <w:color w:val="000000"/>
        </w:rPr>
        <w:t>with respect thereto as of such date, (b) the Applicable Margin (or other applicable margin) as of such date for</w:t>
      </w:r>
      <w:r>
        <w:rPr>
          <w:rFonts w:ascii="Arial" w:cs="Arial" w:eastAsia="Arial" w:hAnsi="Arial"/>
          <w:sz w:val="18"/>
          <w:szCs w:val="18"/>
          <w:color w:val="FF0000"/>
        </w:rPr>
        <w:t xml:space="preserve">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FF0000"/>
        </w:rPr>
        <w:t xml:space="preserve"> </w:t>
      </w:r>
      <w:r>
        <w:rPr>
          <w:rFonts w:ascii="Arial" w:cs="Arial" w:eastAsia="Arial" w:hAnsi="Arial"/>
          <w:sz w:val="18"/>
          <w:szCs w:val="18"/>
          <w:color w:val="000000"/>
        </w:rPr>
        <w:t>Loans (or other loans that accrue interest by reference to a similar reference rate) and (c) the amount of original issue discount and upfront</w:t>
      </w:r>
      <w:r>
        <w:rPr>
          <w:rFonts w:ascii="Arial" w:cs="Arial" w:eastAsia="Arial" w:hAnsi="Arial"/>
          <w:sz w:val="18"/>
          <w:szCs w:val="18"/>
          <w:color w:val="FF0000"/>
        </w:rPr>
        <w:t xml:space="preserve"> </w:t>
      </w:r>
      <w:r>
        <w:rPr>
          <w:rFonts w:ascii="Arial" w:cs="Arial" w:eastAsia="Arial" w:hAnsi="Arial"/>
          <w:sz w:val="18"/>
          <w:szCs w:val="18"/>
          <w:color w:val="000000"/>
        </w:rPr>
        <w:t>fees thereon (converted to yield assuming the lesser of (x) a four year average life and (y) the remaining life to maturity, and without any present value discount), but excluding the effect of any arrangement, structuring, underwriting and syndication fees and other fees payable in connection therewith that are neither shared with nor generally paid to all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-698500</wp:posOffset>
            </wp:positionV>
            <wp:extent cx="204851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04851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-561340</wp:posOffset>
            </wp:positionV>
            <wp:extent cx="7886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-424180</wp:posOffset>
            </wp:positionV>
            <wp:extent cx="28321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10.4(b)(iii), (v)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10.4(b)(iii)</w:t>
      </w:r>
      <w:r>
        <w:rPr>
          <w:rFonts w:ascii="Arial" w:cs="Arial" w:eastAsia="Arial" w:hAnsi="Arial"/>
          <w:sz w:val="18"/>
          <w:szCs w:val="18"/>
          <w:color w:val="auto"/>
        </w:rPr>
        <w:t>).</w:t>
      </w:r>
    </w:p>
    <w:p>
      <w:pPr>
        <w:spacing w:after="0" w:line="170" w:lineRule="exact"/>
        <w:rPr>
          <w:sz w:val="20"/>
          <w:szCs w:val="20"/>
          <w:color w:val="auto"/>
        </w:rPr>
      </w:pPr>
    </w:p>
    <w:p>
      <w:pPr>
        <w:jc w:val="both"/>
        <w:ind w:firstLine="45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Claims</w:t>
      </w:r>
      <w:r>
        <w:rPr>
          <w:rFonts w:ascii="Arial" w:cs="Arial" w:eastAsia="Arial" w:hAnsi="Arial"/>
          <w:sz w:val="16"/>
          <w:szCs w:val="16"/>
          <w:color w:val="auto"/>
        </w:rPr>
        <w:t>” means any and all administrative, regulatory or judicial actions, suits, demands, demand letters, claims, liens, notices of liability, non-compliance or violation, investigations, proceedings, settlements, consent decrees, consent orders, consent agreements and all costs and liabilities relating to or arising from or under any Environmental Law, including (a) any and all claims by Governmental Authorities for enforcement, investigation, corrective action, cleanup, removal, response, remedial or other actions, cost recovery, damages, natural resource damages or penalties pursuant to or arising under any Environmental Law, (b) any and all claims by any one or more Persons seeking damages, contribution, restitution, indemnification, cost recovery, compensation or injunctive relief directly or indirectly resulting from, based upon or arising under Environmental Law, pertaining to Hazardous Materials or an alleged injury or threat of injury to human health, safety, natural resources, or the indoor or outdoor environment, and (c) all liabilities contingent or otherwise, expenses, obligations, losses, damages, fines and penalties arising under any Environmental Law.</w:t>
      </w:r>
    </w:p>
    <w:p>
      <w:pPr>
        <w:spacing w:after="0" w:line="165"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collectively and individually any and all federal, state, local, or foreign statute, rule, regulation, code, guidance, ordinance, order, judgment, directive, decree, injunction or common law as now or previously in effect and regulating, relating to or imposing liability or standards of conduct concerning: the environment; protection of the environment and natural resources; air emissions; water discharges; noise emissions; the Release, threatened Release or discharge into the environment and physical hazards of any Hazardous Material; the generation, handling, management, treatment, storage, transport or disposal of any Hazardous Material or otherwise concerning pollution or the protection of the outdoor or indoor environment, preservation or restoration of natural resources, employee or human health or safety, and potential or actual exposure to or injury from Hazardous Materials.</w:t>
      </w:r>
    </w:p>
    <w:p>
      <w:pPr>
        <w:spacing w:after="0" w:line="19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in respect of any Person, any statutory, common law or equitable liability, contingent or otherwise of such Person directly or indirectly resulting from, arising out of or based upon (a) the violation of any Environmental Law or Environmental Permit, or (b) an Environmental Claim.</w:t>
      </w:r>
    </w:p>
    <w:p>
      <w:pPr>
        <w:spacing w:after="0" w:line="184"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w:t>
      </w:r>
      <w:r>
        <w:rPr>
          <w:rFonts w:ascii="Arial" w:cs="Arial" w:eastAsia="Arial" w:hAnsi="Arial"/>
          <w:sz w:val="18"/>
          <w:szCs w:val="18"/>
          <w:color w:val="auto"/>
        </w:rPr>
        <w:t>” means any permit, approval, authorization, certificate, license, variance, filing or permission required by or from any Governmental Authority pursuant to any Environmental Law.</w:t>
      </w:r>
    </w:p>
    <w:p>
      <w:pPr>
        <w:spacing w:after="0" w:line="170" w:lineRule="exact"/>
        <w:rPr>
          <w:sz w:val="20"/>
          <w:szCs w:val="20"/>
          <w:color w:val="auto"/>
        </w:rPr>
      </w:pPr>
    </w:p>
    <w:p>
      <w:pPr>
        <w:jc w:val="both"/>
        <w:ind w:firstLine="45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 shares of capital stock of (or other ownership or profit interests in) such Person, (b) warrants, options or other rights for the purchase or acquisition from such Person of shares of capital stock of (or other ownership or profit interests in) such Person, (c) securities (other than Indebtedness) convertible into or exchangeable for shares of capital stock of (or other ownership or profit interests in) such Person or warrants, rights or options for the purchase or acquisition from such Person of such shares (or such other interests), (d) all other ownership or profit interests in such Person (including partnership, member or trust interests therein), whether voting or non-voting, and whether or not such shares, warrants, options, rights or other interests are outstanding on any date of determination and (e) any Security Entitlement (as defined in the Security Agreement) in respect of any Equity Interest described in this definition.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4" w:name="page65"/>
    <w:bookmarkEnd w:id="64"/>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and the rules and regulations issued thereunder.</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any Loan Party, is treated as a single employer under Section 414(b) or 414(c) of the Code or, solely for purposes of Sections 302 and 303 of ERISA and Sections 412 and 430 of the Code, is treated as a single employer under subsection (b), (c), (m) or (o) of Section 414 of the Code.</w:t>
      </w:r>
    </w:p>
    <w:p>
      <w:pPr>
        <w:spacing w:after="0" w:line="184" w:lineRule="exact"/>
        <w:rPr>
          <w:sz w:val="20"/>
          <w:szCs w:val="20"/>
          <w:color w:val="auto"/>
        </w:rPr>
      </w:pPr>
    </w:p>
    <w:p>
      <w:pPr>
        <w:jc w:val="both"/>
        <w:ind w:firstLine="45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4043(c) of ERISA with respect to a Pension Plan (other than an event for which the 30-day notice period referred to in Section 4043 of ERISA is waived); (b) the existence with respect to any Pension Plan of a non-exempt “prohibited transaction,” as defined in Section 406 of ERISA or Section 4975(c)(1) of the Code; (c) any failure of any Pension Plan to satisfy the “minimum funding standard” applicable to such Pension Plan under Section 412 or Section 430 of the Code or Section 302 or Section 303 of ERISA, whether or not waived; (d) the filing pursuant to Section 412(c) of the Code or Section 302(c) of ERISA of an application for a waiver of the minimum funding standard with respect to any Pension Plan, the failure to make by its due date a required installment under Section 430(j)(3) of the Code with respect to any Pension Plan or the failure of any Loan Party or ERISA Affiliate to make any required contribution to any Multiemployer Plan; (e) a determination that any Pension Plan is, or is expected to be, in “at-risk” status (as defined in Section 430(i)(4) of the Code or Section 303(i)(4) of ERISA;</w:t>
      </w:r>
    </w:p>
    <w:p>
      <w:pPr>
        <w:spacing w:after="0" w:line="1" w:lineRule="exact"/>
        <w:rPr>
          <w:sz w:val="20"/>
          <w:szCs w:val="20"/>
          <w:color w:val="auto"/>
        </w:rPr>
      </w:pPr>
    </w:p>
    <w:p>
      <w:pPr>
        <w:jc w:val="both"/>
        <w:ind w:firstLine="8"/>
        <w:spacing w:after="0" w:line="267" w:lineRule="auto"/>
        <w:tabs>
          <w:tab w:leader="none" w:pos="23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incurrence by any Loan Party or any ERISA Affiliate of any liability under Title IV of ERISA with respect to the termination of any Pension Plan including the imposition of any Lien in favor of the PBGC or any Pension Plan(other than for PBGC premiums due but not delinquent under Section 4007 of ERISA); (g) the filing of a notice of intent to terminate, the treatment of a Pension Plan amendment as a termination under Section 4041 or Section 4041A or ERISA, the receipt by any Loan Party or any ERISA Affiliate from the PBGC or a Pension Plan administrator of any notice relating to an intention to terminate any Pension Plan or Pension Plans or to appoint a trustee to administer any Pension Plan under Section 4042 of ERISA or the occurrence of an event or condition which constitutes grounds under Section 4042 of ERISA or the termination of, or the appointment of a trustee to administrator, any Pension Plan; (h) any limitations under Section 436 of the Code become applicable; (i) the incurrence by any Loan Party or any of its ERISA Affiliates of any liability with respect to the withdrawal or partial withdrawal from any Pension Plan or Multiemployer Plan; (j) a withdrawal by any Loan Party or any ERISA Affiliate from a Pension Plan subject to Section 4063 of ERISA during a plan year in which it was a substantial employer (as defined in Section 4001(a)(2) of ERISA) or a cessation of operations that is treated as such a withdrawal under Section 4062(e) of ERISA; (k) the receipt by any Loan Party or any ERISA Affiliate of any notice, or the receipt by any Multiemployer Plan from any Loan Party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432 of the Code or Section 305 or Title IV of ERISA; or (l) the imposition on any Loan Party or any ERISA Affiliate of any tax under Chapter 43 of Subtitle D of the Code, or the assessment of a civil penalty on any Loan Party or any ERISA Affiliate under Section 502(c) of ERISA.</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0000FF"/>
        </w:rPr>
        <w:t>“Erroneous Payment” has the meaning assigned to such term in Section 9.13(a).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wp:posOffset>
            </wp:positionV>
            <wp:extent cx="368617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0000FF"/>
        </w:rPr>
        <w:t>“Erroneous Payment Deficiency Assignment” has the meaning assigned to such term in Section 9.13(d)(i).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wp:posOffset>
            </wp:positionV>
            <wp:extent cx="48774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0000FF"/>
        </w:rPr>
        <w:t>“Erroneous Payment Impacted Class” has the meaning assigned to such term in Section 9.13(d)(i).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wp:posOffset>
            </wp:positionV>
            <wp:extent cx="45091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u w:val="single" w:color="auto"/>
          <w:color w:val="0000FF"/>
        </w:rPr>
        <w:t>“Erroneous Payment Return Deficiency” has the meaning assigned to such term in Section 9.13(d)(i).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wp:posOffset>
            </wp:positionV>
            <wp:extent cx="464629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0000FF"/>
        </w:rPr>
        <w:t>“Erroneous Payment Subrogation Rights” has the meaning assigned to such term in Section 9.13(e).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wp:posOffset>
            </wp:positionV>
            <wp:extent cx="45777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pacing w:after="0" w:line="205" w:lineRule="exact"/>
        <w:rPr>
          <w:sz w:val="20"/>
          <w:szCs w:val="20"/>
          <w:color w:val="auto"/>
        </w:rPr>
      </w:pPr>
    </w:p>
    <w:p>
      <w:pPr>
        <w:ind w:right="6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w:t>
      </w:r>
      <w:r>
        <w:rPr>
          <w:rFonts w:ascii="Arial" w:cs="Arial" w:eastAsia="Arial" w:hAnsi="Arial"/>
          <w:sz w:val="18"/>
          <w:szCs w:val="18"/>
          <w:color w:val="auto"/>
        </w:rPr>
        <w:t>” means, for each Fiscal Year:</w:t>
      </w:r>
    </w:p>
    <w:p>
      <w:pPr>
        <w:spacing w:after="0" w:line="225" w:lineRule="exact"/>
        <w:rPr>
          <w:sz w:val="20"/>
          <w:szCs w:val="20"/>
          <w:color w:val="auto"/>
        </w:rPr>
      </w:pPr>
    </w:p>
    <w:p>
      <w:pPr>
        <w:ind w:left="1460" w:hanging="552"/>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Consolidated EBITDA of the Borrower and its Subsidiaries for such Fiscal Year </w:t>
      </w:r>
      <w:r>
        <w:rPr>
          <w:rFonts w:ascii="Arial" w:cs="Arial" w:eastAsia="Arial" w:hAnsi="Arial"/>
          <w:sz w:val="18"/>
          <w:szCs w:val="18"/>
          <w:u w:val="single" w:color="auto"/>
          <w:color w:val="auto"/>
        </w:rPr>
        <w:t>minus</w:t>
      </w:r>
    </w:p>
    <w:p>
      <w:pPr>
        <w:spacing w:after="0" w:line="225" w:lineRule="exact"/>
        <w:rPr>
          <w:rFonts w:ascii="Arial" w:cs="Arial" w:eastAsia="Arial" w:hAnsi="Arial"/>
          <w:sz w:val="18"/>
          <w:szCs w:val="18"/>
          <w:color w:val="auto"/>
        </w:rPr>
      </w:pPr>
    </w:p>
    <w:p>
      <w:pPr>
        <w:ind w:left="1480" w:hanging="572"/>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sum, without duplication, of each of the following for the Borrower and its Subsidiaries:</w:t>
      </w:r>
    </w:p>
    <w:p>
      <w:pPr>
        <w:spacing w:after="0" w:line="225" w:lineRule="exact"/>
        <w:rPr>
          <w:rFonts w:ascii="Arial" w:cs="Arial" w:eastAsia="Arial" w:hAnsi="Arial"/>
          <w:sz w:val="18"/>
          <w:szCs w:val="18"/>
          <w:color w:val="auto"/>
        </w:rPr>
      </w:pPr>
    </w:p>
    <w:p>
      <w:pPr>
        <w:ind w:left="500" w:firstLine="992"/>
        <w:spacing w:after="0" w:line="277" w:lineRule="auto"/>
        <w:tabs>
          <w:tab w:leader="none" w:pos="2107"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Consolidated Interest Expense (excluding any original issue discount, interest paid in kind or amortized debt discount, in each case to the extent included in determining Consolidated Interest Expense) for such Fiscal Year,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jc w:val="both"/>
        <w:ind w:left="500" w:firstLine="988"/>
        <w:spacing w:after="0" w:line="263" w:lineRule="auto"/>
        <w:tabs>
          <w:tab w:leader="none" w:pos="20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Capital Expenditures during such Fiscal Year paid in cash (except to the extent financed with (A) the proceeds of Indebtedness (other than a Revolving Borrowing) or (B) Net Cash Proceeds from any Disposition), to the extent such Capital Expenditures were permitted hereby, </w:t>
      </w:r>
      <w:r>
        <w:rPr>
          <w:rFonts w:ascii="Arial" w:cs="Arial" w:eastAsia="Arial" w:hAnsi="Arial"/>
          <w:sz w:val="18"/>
          <w:szCs w:val="18"/>
          <w:u w:val="single" w:color="auto"/>
          <w:color w:val="auto"/>
        </w:rPr>
        <w:t>plus</w:t>
      </w:r>
    </w:p>
    <w:p>
      <w:pPr>
        <w:spacing w:after="0" w:line="183" w:lineRule="exact"/>
        <w:rPr>
          <w:rFonts w:ascii="Arial" w:cs="Arial" w:eastAsia="Arial" w:hAnsi="Arial"/>
          <w:sz w:val="18"/>
          <w:szCs w:val="18"/>
          <w:color w:val="auto"/>
        </w:rPr>
      </w:pPr>
    </w:p>
    <w:p>
      <w:pPr>
        <w:jc w:val="both"/>
        <w:ind w:left="500" w:firstLine="1006"/>
        <w:spacing w:after="0" w:line="257" w:lineRule="auto"/>
        <w:tabs>
          <w:tab w:leader="none" w:pos="2174" w:val="left"/>
        </w:tabs>
        <w:numPr>
          <w:ilvl w:val="3"/>
          <w:numId w:val="37"/>
        </w:numPr>
        <w:rPr>
          <w:rFonts w:ascii="Arial" w:cs="Arial" w:eastAsia="Arial" w:hAnsi="Arial"/>
          <w:sz w:val="18"/>
          <w:szCs w:val="18"/>
          <w:color w:val="auto"/>
        </w:rPr>
      </w:pPr>
      <w:r>
        <w:rPr>
          <w:rFonts w:ascii="Arial" w:cs="Arial" w:eastAsia="Arial" w:hAnsi="Arial"/>
          <w:sz w:val="18"/>
          <w:szCs w:val="18"/>
          <w:color w:val="auto"/>
        </w:rPr>
        <w:t xml:space="preserve">the aggregate amount of all (A) scheduled repayments of the principal of Indebtedness (to the extent permitted by the Loan Documents), (B) mandatory repayments and mandatory prepayments of the principal of Indebtedness (excluding any prepayment under </w:t>
      </w:r>
      <w:r>
        <w:rPr>
          <w:rFonts w:ascii="Arial" w:cs="Arial" w:eastAsia="Arial" w:hAnsi="Arial"/>
          <w:sz w:val="18"/>
          <w:szCs w:val="18"/>
          <w:u w:val="single" w:color="auto"/>
          <w:color w:val="auto"/>
        </w:rPr>
        <w:t>Section 2.7(b)(ii)</w:t>
      </w:r>
      <w:r>
        <w:rPr>
          <w:rFonts w:ascii="Arial" w:cs="Arial" w:eastAsia="Arial" w:hAnsi="Arial"/>
          <w:sz w:val="18"/>
          <w:szCs w:val="18"/>
          <w:color w:val="auto"/>
        </w:rPr>
        <w:t xml:space="preserve">) that were paid during such Fiscal Year and (C) voluntary prepayments of the principal of the Term Loans and, to the extent a prepayment results in a reduction of the Revolving Commitments pursuant to </w:t>
      </w:r>
      <w:r>
        <w:rPr>
          <w:rFonts w:ascii="Arial" w:cs="Arial" w:eastAsia="Arial" w:hAnsi="Arial"/>
          <w:sz w:val="18"/>
          <w:szCs w:val="18"/>
          <w:u w:val="single" w:color="auto"/>
          <w:color w:val="auto"/>
        </w:rPr>
        <w:t>Section 2.5(b)</w:t>
      </w:r>
      <w:r>
        <w:rPr>
          <w:rFonts w:ascii="Arial" w:cs="Arial" w:eastAsia="Arial" w:hAnsi="Arial"/>
          <w:sz w:val="18"/>
          <w:szCs w:val="18"/>
          <w:color w:val="auto"/>
        </w:rPr>
        <w:t>, voluntary prepayments of the principal of the Revolving Loans, plus</w:t>
      </w:r>
    </w:p>
    <w:p>
      <w:pPr>
        <w:spacing w:after="0" w:line="187" w:lineRule="exact"/>
        <w:rPr>
          <w:rFonts w:ascii="Arial" w:cs="Arial" w:eastAsia="Arial" w:hAnsi="Arial"/>
          <w:sz w:val="18"/>
          <w:szCs w:val="18"/>
          <w:color w:val="auto"/>
        </w:rPr>
      </w:pPr>
    </w:p>
    <w:p>
      <w:pPr>
        <w:ind w:left="500" w:right="20" w:firstLine="1028"/>
        <w:spacing w:after="0" w:line="277" w:lineRule="auto"/>
        <w:tabs>
          <w:tab w:leader="none" w:pos="2262" w:val="left"/>
        </w:tabs>
        <w:numPr>
          <w:ilvl w:val="4"/>
          <w:numId w:val="37"/>
        </w:numPr>
        <w:rPr>
          <w:rFonts w:ascii="Arial" w:cs="Arial" w:eastAsia="Arial" w:hAnsi="Arial"/>
          <w:sz w:val="18"/>
          <w:szCs w:val="18"/>
          <w:color w:val="auto"/>
        </w:rPr>
      </w:pPr>
      <w:r>
        <w:rPr>
          <w:rFonts w:ascii="Arial" w:cs="Arial" w:eastAsia="Arial" w:hAnsi="Arial"/>
          <w:sz w:val="18"/>
          <w:szCs w:val="18"/>
          <w:color w:val="auto"/>
        </w:rPr>
        <w:t xml:space="preserve">income, franchise and withholding taxes of the Borrower and its Subsidiaries and other Taxes (to the extent not already deducted in computing Consolidated Net Income) to the extent paid in cash for such Fiscal Year,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jc w:val="both"/>
        <w:ind w:left="500" w:firstLine="1028"/>
        <w:spacing w:after="0" w:line="263" w:lineRule="auto"/>
        <w:tabs>
          <w:tab w:leader="none" w:pos="2278" w:val="left"/>
        </w:tabs>
        <w:numPr>
          <w:ilvl w:val="4"/>
          <w:numId w:val="37"/>
        </w:numPr>
        <w:rPr>
          <w:rFonts w:ascii="Arial" w:cs="Arial" w:eastAsia="Arial" w:hAnsi="Arial"/>
          <w:sz w:val="18"/>
          <w:szCs w:val="18"/>
          <w:color w:val="auto"/>
        </w:rPr>
      </w:pPr>
      <w:r>
        <w:rPr>
          <w:rFonts w:ascii="Arial" w:cs="Arial" w:eastAsia="Arial" w:hAnsi="Arial"/>
          <w:sz w:val="18"/>
          <w:szCs w:val="18"/>
          <w:color w:val="auto"/>
        </w:rPr>
        <w:t xml:space="preserve">the excess, if any, of Consolidated Working Capital at the end of such period over Consolidated Working Capital at the beginning of such period (or,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excess, if any, of Consolidated Working Capital at the beginning of such period over Consolidated Working Capital at the end of such period); </w:t>
      </w:r>
      <w:r>
        <w:rPr>
          <w:rFonts w:ascii="Arial" w:cs="Arial" w:eastAsia="Arial" w:hAnsi="Arial"/>
          <w:sz w:val="18"/>
          <w:szCs w:val="18"/>
          <w:u w:val="single" w:color="auto"/>
          <w:color w:val="auto"/>
        </w:rPr>
        <w:t>plus</w:t>
      </w:r>
    </w:p>
    <w:p>
      <w:pPr>
        <w:spacing w:after="0" w:line="183" w:lineRule="exact"/>
        <w:rPr>
          <w:rFonts w:ascii="Arial" w:cs="Arial" w:eastAsia="Arial" w:hAnsi="Arial"/>
          <w:sz w:val="18"/>
          <w:szCs w:val="18"/>
          <w:color w:val="auto"/>
        </w:rPr>
      </w:pPr>
    </w:p>
    <w:p>
      <w:pPr>
        <w:ind w:left="2060" w:hanging="576"/>
        <w:spacing w:after="0"/>
        <w:tabs>
          <w:tab w:leader="none" w:pos="20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 xml:space="preserve">non-financed Capital Expenditures;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2060" w:hanging="576"/>
        <w:spacing w:after="0"/>
        <w:tabs>
          <w:tab w:leader="none" w:pos="20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 xml:space="preserve">non-financed Permitted Investments;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2060" w:hanging="576"/>
        <w:spacing w:after="0"/>
        <w:tabs>
          <w:tab w:leader="none" w:pos="20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 xml:space="preserve">non-financed Permitted Indebtedness;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500" w:right="40" w:firstLine="984"/>
        <w:spacing w:after="0" w:line="277" w:lineRule="auto"/>
        <w:tabs>
          <w:tab w:leader="none" w:pos="2064" w:val="left"/>
        </w:tabs>
        <w:numPr>
          <w:ilvl w:val="2"/>
          <w:numId w:val="37"/>
        </w:numPr>
        <w:rPr>
          <w:rFonts w:ascii="Arial" w:cs="Arial" w:eastAsia="Arial" w:hAnsi="Arial"/>
          <w:sz w:val="18"/>
          <w:szCs w:val="18"/>
          <w:color w:val="auto"/>
        </w:rPr>
      </w:pPr>
      <w:r>
        <w:rPr>
          <w:rFonts w:ascii="Arial" w:cs="Arial" w:eastAsia="Arial" w:hAnsi="Arial"/>
          <w:sz w:val="18"/>
          <w:szCs w:val="18"/>
          <w:color w:val="auto"/>
        </w:rPr>
        <w:t xml:space="preserve">fees on account of Permitted Indebtedness which are permitted to be paid under this Agreement and the other Loan Documents during the applicable period; </w:t>
      </w:r>
      <w:r>
        <w:rPr>
          <w:rFonts w:ascii="Arial" w:cs="Arial" w:eastAsia="Arial" w:hAnsi="Arial"/>
          <w:sz w:val="18"/>
          <w:szCs w:val="18"/>
          <w:u w:val="single" w:color="auto"/>
          <w:color w:val="auto"/>
        </w:rPr>
        <w:t>plus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6" w:name="page67"/>
    <w:bookmarkEnd w:id="66"/>
    <w:p>
      <w:pPr>
        <w:ind w:left="2060" w:hanging="576"/>
        <w:spacing w:after="0"/>
        <w:tabs>
          <w:tab w:leader="none" w:pos="2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to the extent added back to Consolidated EBITDA, restructuring payments made in cash during such period; </w:t>
      </w:r>
      <w:r>
        <w:rPr>
          <w:rFonts w:ascii="Arial" w:cs="Arial" w:eastAsia="Arial" w:hAnsi="Arial"/>
          <w:sz w:val="16"/>
          <w:szCs w:val="16"/>
          <w:u w:val="single" w:color="auto"/>
          <w:color w:val="auto"/>
        </w:rPr>
        <w:t>plus or minus (as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applicable)</w:t>
      </w:r>
    </w:p>
    <w:p>
      <w:pPr>
        <w:spacing w:after="0" w:line="211" w:lineRule="exact"/>
        <w:rPr>
          <w:sz w:val="20"/>
          <w:szCs w:val="20"/>
          <w:color w:val="auto"/>
        </w:rPr>
      </w:pPr>
    </w:p>
    <w:p>
      <w:pPr>
        <w:ind w:left="2060" w:hanging="576"/>
        <w:spacing w:after="0"/>
        <w:tabs>
          <w:tab w:leader="none" w:pos="2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working capital during the applicable period.</w:t>
      </w:r>
    </w:p>
    <w:p>
      <w:pPr>
        <w:spacing w:after="0" w:line="225"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Excess Cash Flow Percentage</w:t>
      </w:r>
      <w:r>
        <w:rPr>
          <w:rFonts w:ascii="Arial" w:cs="Arial" w:eastAsia="Arial" w:hAnsi="Arial"/>
          <w:sz w:val="17"/>
          <w:szCs w:val="17"/>
          <w:color w:val="auto"/>
        </w:rPr>
        <w:t>” means, (a) 50.0% if the Consolidated Net Leverage Ratio as of the last day of the Fiscal Year for which such prepayment is being calculated was greater than to 2.50 to 1.00; (b) 25.0% if the Consolidated Net Leverage Ratio as of the last day of the Fiscal Year for which such prepayment is being calculated was less or equal to 2.50 to 1.00 but greater than 2.00 to 1.00, and (c) 0.0% in all other cases.</w:t>
      </w:r>
    </w:p>
    <w:p>
      <w:pPr>
        <w:spacing w:after="0" w:line="165"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CEA Swap Obligation</w:t>
      </w:r>
      <w:r>
        <w:rPr>
          <w:rFonts w:ascii="Arial" w:cs="Arial" w:eastAsia="Arial" w:hAnsi="Arial"/>
          <w:sz w:val="18"/>
          <w:szCs w:val="18"/>
          <w:color w:val="auto"/>
        </w:rPr>
        <w:t>” means, with respect to any Guarantor, any CEA Swap Obligation if, and only to the extent that, all or a portion of the Guarantee of such Guarantor of, or the grant by such Guarantor of a security interest to secure, such CEA Swap Obligation (or any Guarantee thereof) is or becomes illegal under the Commodity Exchange Act or any rule, regulation or order of the Commodity Futures Trading Commission (or the application or official interpretation of any thereof), including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CEA Swap Obligation. If a CEA Swap Obligation arises under a master agreement governing more than one swap, such exclusion shall apply only to the portion of such CEA Swap Obligation that is attributable to swaps for which such Guarantee or security interest is or becomes illegal.</w:t>
      </w:r>
    </w:p>
    <w:p>
      <w:pPr>
        <w:spacing w:after="0" w:line="192" w:lineRule="exact"/>
        <w:rPr>
          <w:sz w:val="20"/>
          <w:szCs w:val="20"/>
          <w:color w:val="auto"/>
        </w:rPr>
      </w:pPr>
    </w:p>
    <w:p>
      <w:pPr>
        <w:jc w:val="both"/>
        <w:ind w:firstLine="45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means (a) any Subsidiary that is prohibited by applicable law, rule or regulation or by any contractual obligation (to the extent such contractual obligation is existing (i) on the Closing Date or (ii) at the time of acquisition of such Subsidiary so long as the prohibition or restriction in such contract is not entered into in contemplation thereof) from providing a Guarantee of the Secured Obligations or which would require governmental (including regulatory or any other Governmental Authority’s) consent, approval, license or authorization to provide such a Guarantee unless such consent, approval, license or authorization has been received, (b) any Foreign Subsidiary, (c) any Domestic Subsidiary that is a Subsidiary of a Foreign Subsidiary,</w:t>
      </w:r>
    </w:p>
    <w:p>
      <w:pPr>
        <w:spacing w:after="0" w:line="2" w:lineRule="exact"/>
        <w:rPr>
          <w:sz w:val="20"/>
          <w:szCs w:val="20"/>
          <w:color w:val="auto"/>
        </w:rPr>
      </w:pPr>
    </w:p>
    <w:p>
      <w:pPr>
        <w:jc w:val="both"/>
        <w:ind w:firstLine="8"/>
        <w:spacing w:after="0" w:line="292" w:lineRule="auto"/>
        <w:tabs>
          <w:tab w:leader="none" w:pos="265"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Foreign Subsidiary Holdco, (e) any captive insurance company, (f) any Immaterial Subsidiary and (g) any other Subsidiary with respect to which the Borrower and the Administrative Agent reasonably determine in writing the cost or other consequences of providing such a Guarantee shall be excessive in view of the benefits of such Guarantee to be afforded to the Lenders therefrom. Notwithstanding the foregoing, in the event that an Excluded Subsidiary guarantees, grants a lien on its assets to secure, or has greater than 65% of its voting Equity Interests pledged to secure, other Indebtedness of the Loan Parties, such Excluded Subsidiary shall cease to be an Excluded Subsidiary and shall be required to become a Subsidiary Guarantor.</w:t>
      </w:r>
    </w:p>
    <w:p>
      <w:pPr>
        <w:spacing w:after="0" w:line="162"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jc w:val="both"/>
        <w:ind w:firstLine="8"/>
        <w:spacing w:after="0" w:line="268" w:lineRule="auto"/>
        <w:tabs>
          <w:tab w:leader="none" w:pos="2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7"/>
          <w:szCs w:val="17"/>
          <w:u w:val="single" w:color="auto"/>
          <w:color w:val="auto"/>
        </w:rPr>
        <w:t>Section 3.7(b)</w:t>
      </w:r>
      <w:r>
        <w:rPr>
          <w:rFonts w:ascii="Arial" w:cs="Arial" w:eastAsia="Arial" w:hAnsi="Arial"/>
          <w:sz w:val="17"/>
          <w:szCs w:val="17"/>
          <w:color w:val="auto"/>
        </w:rPr>
        <w:t xml:space="preserve">) or (ii) such Lender changes its Applicable Lending Office, except in each case to the extent that, pursuant to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amounts with respect to such Taxes were payable either to such Lender’s assignor immediately before such Lender became a party hereto or to such Lender immediately before it changed its Applicable Lending Office, (c) Taxes attributable to such Recipient’s failure to comply with </w:t>
      </w:r>
      <w:r>
        <w:rPr>
          <w:rFonts w:ascii="Arial" w:cs="Arial" w:eastAsia="Arial" w:hAnsi="Arial"/>
          <w:sz w:val="17"/>
          <w:szCs w:val="17"/>
          <w:u w:val="single" w:color="auto"/>
          <w:color w:val="auto"/>
        </w:rPr>
        <w:t>Section 3.6(g)</w:t>
      </w:r>
      <w:r>
        <w:rPr>
          <w:rFonts w:ascii="Arial" w:cs="Arial" w:eastAsia="Arial" w:hAnsi="Arial"/>
          <w:sz w:val="17"/>
          <w:szCs w:val="17"/>
          <w:color w:val="auto"/>
        </w:rPr>
        <w:t xml:space="preserve"> and (d) any U.S. federal withholding Taxes imposed under FATCA.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Financing Agreement, dated as of January 31, 2018, among the Borrower, the lenders party thereto and Cerberus Business Finance, LLC, as administrative agent and collateral agent, as in effect on the date hereof.</w:t>
      </w:r>
    </w:p>
    <w:p>
      <w:pPr>
        <w:spacing w:after="0" w:line="170"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 Refinancing</w:t>
      </w:r>
      <w:r>
        <w:rPr>
          <w:rFonts w:ascii="Arial" w:cs="Arial" w:eastAsia="Arial" w:hAnsi="Arial"/>
          <w:sz w:val="18"/>
          <w:szCs w:val="18"/>
          <w:color w:val="auto"/>
        </w:rPr>
        <w:t>” means the payment in full of all principal, premium, if any, interest, fees and other amounts due or outstanding under the Existing Credit Agreement, the termination of commitments thereunder and the discharge and release of all Guarantees and Liens existing in connection therewith.</w:t>
      </w:r>
    </w:p>
    <w:p>
      <w:pPr>
        <w:spacing w:after="0" w:line="184" w:lineRule="exact"/>
        <w:rPr>
          <w:sz w:val="20"/>
          <w:szCs w:val="20"/>
          <w:color w:val="auto"/>
        </w:rPr>
      </w:pPr>
    </w:p>
    <w:p>
      <w:pPr>
        <w:jc w:val="both"/>
        <w:ind w:firstLine="45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Extraordinary Receipt</w:t>
      </w:r>
      <w:r>
        <w:rPr>
          <w:rFonts w:ascii="Arial" w:cs="Arial" w:eastAsia="Arial" w:hAnsi="Arial"/>
          <w:sz w:val="16"/>
          <w:szCs w:val="16"/>
          <w:color w:val="auto"/>
        </w:rPr>
        <w:t xml:space="preserve">” means any cash received by or paid to or for the account of any Loan Party or any Subsidiary thereof not in the ordinary course of business, including tax refunds, pension plan reversions, proceeds of insurance (other than proceeds of business interruption insurance to the extent such proceeds constitute compensation for lost earnings), and any purchase price adjustments;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“Extraordinary Receipt” shall not include any such cash to the extent such cash is otherwise included in the determination of Net Cash Proceeds with respect to any Casualty Event.</w:t>
      </w:r>
    </w:p>
    <w:p>
      <w:pPr>
        <w:spacing w:after="0" w:line="157"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Credit Agreement (or any amended or successor version that is substantively comparable and not materially more onerous to comply with) and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1" w:lineRule="exact"/>
        <w:rPr>
          <w:sz w:val="20"/>
          <w:szCs w:val="20"/>
          <w:color w:val="auto"/>
        </w:rPr>
      </w:pPr>
    </w:p>
    <w:p>
      <w:pPr>
        <w:jc w:val="both"/>
        <w:ind w:firstLine="45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xml:space="preserve">” means, for any day, a rate per annum (expressed as a decimal, rounded upwards, if necessary, to the next higher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the day for which such rate is to be determined is not a Business Day, the Federal Funds Effective Rate for such day shall be such rate on such transactions on the next preceding Business Day as so published on the next succeeding Business Day, (b) if such rate is not so published for any day, the Federal Funds Effective Rate for such day shall be the average of the quotations for such day on such transactions received by the Administrative Agent from three federal funds brokers of recognized standing selected by it and (c) if the Federal Funds Effective Rate shall be less than zero, such rate shall be deemed to be zero for purposes of this Credit Agreement.</w:t>
      </w:r>
    </w:p>
    <w:p>
      <w:pPr>
        <w:spacing w:after="0" w:line="178"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Bank of New York</w:t>
      </w:r>
      <w:r>
        <w:rPr>
          <w:rFonts w:ascii="Arial" w:cs="Arial" w:eastAsia="Arial" w:hAnsi="Arial"/>
          <w:sz w:val="18"/>
          <w:szCs w:val="18"/>
          <w:u w:val="single" w:color="auto"/>
          <w:color w:val="FF0000"/>
        </w:rPr>
        <w:t>’</w:t>
      </w:r>
      <w:r>
        <w:rPr>
          <w:rFonts w:ascii="Arial" w:cs="Arial" w:eastAsia="Arial" w:hAnsi="Arial"/>
          <w:sz w:val="18"/>
          <w:szCs w:val="18"/>
          <w:u w:val="single" w:color="auto"/>
          <w:color w:val="FF0000"/>
          <w:strike w:val="1"/>
        </w:rPr>
        <w:t>s Website</w:t>
      </w:r>
      <w:r>
        <w:rPr>
          <w:rFonts w:ascii="Arial" w:cs="Arial" w:eastAsia="Arial" w:hAnsi="Arial"/>
          <w:sz w:val="18"/>
          <w:szCs w:val="18"/>
          <w:u w:val="single" w:color="auto"/>
          <w:color w:val="0000FF"/>
        </w:rPr>
        <w:t>Board</w:t>
      </w:r>
      <w:r>
        <w:rPr>
          <w:rFonts w:ascii="Arial" w:cs="Arial" w:eastAsia="Arial" w:hAnsi="Arial"/>
          <w:sz w:val="18"/>
          <w:szCs w:val="18"/>
          <w:color w:val="auto"/>
        </w:rPr>
        <w:t xml:space="preserve">” means the </w:t>
      </w:r>
      <w:r>
        <w:rPr>
          <w:rFonts w:ascii="Arial" w:cs="Arial" w:eastAsia="Arial" w:hAnsi="Arial"/>
          <w:sz w:val="18"/>
          <w:szCs w:val="18"/>
          <w:color w:val="FF0000"/>
          <w:strike w:val="1"/>
        </w:rPr>
        <w:t>website</w:t>
      </w:r>
      <w:r>
        <w:rPr>
          <w:rFonts w:ascii="Arial" w:cs="Arial" w:eastAsia="Arial" w:hAnsi="Arial"/>
          <w:sz w:val="18"/>
          <w:szCs w:val="18"/>
          <w:u w:val="single" w:color="auto"/>
          <w:color w:val="0000FF"/>
        </w:rPr>
        <w:t>Board of Governors</w:t>
      </w:r>
      <w:r>
        <w:rPr>
          <w:rFonts w:ascii="Arial" w:cs="Arial" w:eastAsia="Arial" w:hAnsi="Arial"/>
          <w:sz w:val="18"/>
          <w:szCs w:val="18"/>
          <w:color w:val="auto"/>
        </w:rPr>
        <w:t xml:space="preserve"> of the Federal Reserve </w:t>
      </w:r>
      <w:r>
        <w:rPr>
          <w:rFonts w:ascii="Arial" w:cs="Arial" w:eastAsia="Arial" w:hAnsi="Arial"/>
          <w:sz w:val="18"/>
          <w:szCs w:val="18"/>
          <w:color w:val="FF0000"/>
          <w:strike w:val="1"/>
        </w:rPr>
        <w:t>Bank of New York at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http://www.newyorkfed.</w:t>
      </w:r>
      <w:r>
        <w:rPr>
          <w:rFonts w:ascii="Arial" w:cs="Arial" w:eastAsia="Arial" w:hAnsi="Arial"/>
          <w:sz w:val="18"/>
          <w:szCs w:val="18"/>
          <w:u w:val="single" w:color="auto"/>
          <w:color w:val="FF0000"/>
        </w:rPr>
        <w:t>org</w:t>
      </w:r>
      <w:r>
        <w:rPr>
          <w:rFonts w:ascii="Arial" w:cs="Arial" w:eastAsia="Arial" w:hAnsi="Arial"/>
          <w:sz w:val="18"/>
          <w:szCs w:val="18"/>
          <w:color w:val="FF0000"/>
          <w:strike w:val="1"/>
        </w:rPr>
        <w:t>, or any successor source</w:t>
      </w:r>
      <w:r>
        <w:rPr>
          <w:rFonts w:ascii="Arial" w:cs="Arial" w:eastAsia="Arial" w:hAnsi="Arial"/>
          <w:sz w:val="18"/>
          <w:szCs w:val="18"/>
          <w:u w:val="single" w:color="auto"/>
          <w:color w:val="0000FF"/>
        </w:rPr>
        <w:t>System of the United States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-165100</wp:posOffset>
            </wp:positionV>
            <wp:extent cx="274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-165100</wp:posOffset>
            </wp:positionV>
            <wp:extent cx="96837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-27940</wp:posOffset>
            </wp:positionV>
            <wp:extent cx="126873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Fee Letter dated as of the Closing Date, between the Borrower and Citizens Bank.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Leases</w:t>
      </w:r>
      <w:r>
        <w:rPr>
          <w:rFonts w:ascii="Arial" w:cs="Arial" w:eastAsia="Arial" w:hAnsi="Arial"/>
          <w:sz w:val="18"/>
          <w:szCs w:val="18"/>
          <w:color w:val="auto"/>
        </w:rPr>
        <w:t>” means all leases that are required to be capitalized in accordance with GAAP.</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Lease Obligations</w:t>
      </w:r>
      <w:r>
        <w:rPr>
          <w:rFonts w:ascii="Arial" w:cs="Arial" w:eastAsia="Arial" w:hAnsi="Arial"/>
          <w:sz w:val="18"/>
          <w:szCs w:val="18"/>
          <w:color w:val="auto"/>
        </w:rPr>
        <w:t>” means, at the time any determination thereof is to be made, the amount of the liabilities in respect of Finance Leases that would at such time be required to be capitalized and reflected as a liability on a balance sheet (excluding the footnotes thereto) prepared in accordance with GAAP.</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Covenants</w:t>
      </w:r>
      <w:r>
        <w:rPr>
          <w:rFonts w:ascii="Arial" w:cs="Arial" w:eastAsia="Arial" w:hAnsi="Arial"/>
          <w:sz w:val="18"/>
          <w:szCs w:val="18"/>
          <w:color w:val="auto"/>
        </w:rPr>
        <w:t xml:space="preserve">” means the covenants set forth in </w:t>
      </w:r>
      <w:r>
        <w:rPr>
          <w:rFonts w:ascii="Arial" w:cs="Arial" w:eastAsia="Arial" w:hAnsi="Arial"/>
          <w:sz w:val="18"/>
          <w:szCs w:val="18"/>
          <w:u w:val="single" w:color="auto"/>
          <w:color w:val="auto"/>
        </w:rPr>
        <w:t>Section 7.12(a)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7.12(b)</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8" w:name="page69"/>
    <w:bookmarkEnd w:id="68"/>
    <w:p>
      <w:pPr>
        <w:jc w:val="both"/>
        <w:ind w:right="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with respect to any Person, the chief financial officer, principal accounting officer, treasurer or comptroller of such Person (or such other financial officer as is acceptable to the Administrative Agent).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four fiscal quarter period of the Borrower ending on December 31 of each calendar year.</w:t>
      </w:r>
    </w:p>
    <w:p>
      <w:pPr>
        <w:spacing w:after="0" w:line="225" w:lineRule="exact"/>
        <w:rPr>
          <w:sz w:val="20"/>
          <w:szCs w:val="20"/>
          <w:color w:val="auto"/>
        </w:rPr>
      </w:pPr>
    </w:p>
    <w:p>
      <w:pPr>
        <w:ind w:right="54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Certificate</w:t>
      </w:r>
      <w:r>
        <w:rPr>
          <w:rFonts w:ascii="Arial" w:cs="Arial" w:eastAsia="Arial" w:hAnsi="Arial"/>
          <w:sz w:val="18"/>
          <w:szCs w:val="18"/>
          <w:color w:val="auto"/>
        </w:rPr>
        <w:t>” means a “Standard Flood Hazard Determination Form” of the Federal Emergency Management Agency and any successor Governmental Authority performing a similar function.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22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Laws</w:t>
      </w:r>
      <w:r>
        <w:rPr>
          <w:rFonts w:ascii="Arial" w:cs="Arial" w:eastAsia="Arial" w:hAnsi="Arial"/>
          <w:sz w:val="18"/>
          <w:szCs w:val="18"/>
          <w:color w:val="auto"/>
        </w:rPr>
        <w:t>” 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Policies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6.10(b)</w:t>
      </w:r>
      <w:r>
        <w:rPr>
          <w:rFonts w:ascii="Arial" w:cs="Arial" w:eastAsia="Arial" w:hAnsi="Arial"/>
          <w:sz w:val="18"/>
          <w:szCs w:val="18"/>
          <w:color w:val="auto"/>
        </w:rPr>
        <w:t>.</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Program</w:t>
      </w:r>
      <w:r>
        <w:rPr>
          <w:rFonts w:ascii="Arial" w:cs="Arial" w:eastAsia="Arial" w:hAnsi="Arial"/>
          <w:sz w:val="18"/>
          <w:szCs w:val="18"/>
          <w:color w:val="auto"/>
        </w:rPr>
        <w:t>” means the National Flood Insurance Program created by the U.S. Congress pursuant to the National Flood Insurance Act of 1968, the Flood Disaster Protection Act of 1973, the National Flood Insurance Reform Act of 1994 and the Flood Insurance Reform Act of 2004, in each case as amended from time to time, and any successor statutes.</w:t>
      </w:r>
    </w:p>
    <w:p>
      <w:pPr>
        <w:spacing w:after="0" w:line="184"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Zone</w:t>
      </w:r>
      <w:r>
        <w:rPr>
          <w:rFonts w:ascii="Arial" w:cs="Arial" w:eastAsia="Arial" w:hAnsi="Arial"/>
          <w:sz w:val="18"/>
          <w:szCs w:val="18"/>
          <w:color w:val="auto"/>
        </w:rPr>
        <w:t>” means an area identified by the Federal Emergency Management Agency (or any successor agency) as a “Special Flood Hazard Area” with respect to which flood insurance has been made available under Flood Insurance Laws.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0000FF"/>
        </w:rPr>
        <w:t>“Floor” means (a) in the case of SOFR Loans, 0.50% per annum and (b) in the case of ABR Loans, 1.00%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wp:posOffset>
            </wp:positionV>
            <wp:extent cx="540893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205" w:lineRule="exact"/>
        <w:rPr>
          <w:sz w:val="20"/>
          <w:szCs w:val="20"/>
          <w:color w:val="auto"/>
        </w:rPr>
      </w:pPr>
    </w:p>
    <w:p>
      <w:pPr>
        <w:jc w:val="both"/>
        <w:ind w:firstLine="45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Lender</w:t>
      </w:r>
      <w:r>
        <w:rPr>
          <w:rFonts w:ascii="Arial" w:cs="Arial" w:eastAsia="Arial" w:hAnsi="Arial"/>
          <w:sz w:val="17"/>
          <w:szCs w:val="17"/>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46" w:lineRule="exact"/>
        <w:rPr>
          <w:sz w:val="20"/>
          <w:szCs w:val="20"/>
          <w:color w:val="auto"/>
        </w:rPr>
      </w:pPr>
    </w:p>
    <w:p>
      <w:pPr>
        <w:jc w:val="both"/>
        <w:ind w:firstLine="45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Plan</w:t>
      </w:r>
      <w:r>
        <w:rPr>
          <w:rFonts w:ascii="Arial" w:cs="Arial" w:eastAsia="Arial" w:hAnsi="Arial"/>
          <w:sz w:val="16"/>
          <w:szCs w:val="16"/>
          <w:color w:val="auto"/>
        </w:rPr>
        <w:t>” means any employee pension benefit plan or arrangement (a) maintained, or contributed to by any Loan Party or Subsidiary that is not subject to the laws of the United States, or (b) mandated by a government other than the United States for employees of any Loan Party or Subsidiary.</w:t>
      </w:r>
    </w:p>
    <w:p>
      <w:pPr>
        <w:spacing w:after="0" w:line="124" w:lineRule="exact"/>
        <w:rPr>
          <w:sz w:val="20"/>
          <w:szCs w:val="20"/>
          <w:color w:val="auto"/>
        </w:rPr>
      </w:pPr>
    </w:p>
    <w:p>
      <w:pPr>
        <w:jc w:val="both"/>
        <w:ind w:firstLine="45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Pledge Agreement</w:t>
      </w:r>
      <w:r>
        <w:rPr>
          <w:rFonts w:ascii="Arial" w:cs="Arial" w:eastAsia="Arial" w:hAnsi="Arial"/>
          <w:sz w:val="16"/>
          <w:szCs w:val="16"/>
          <w:color w:val="auto"/>
        </w:rPr>
        <w:t>” means, collectively, each local law pledge agreement executed and delivered by a Loan Party and the Administrative Agent to grant a security interest in the Equity Interests of a Foreign Subsidiary, each in form and substance satisfactory to the Administrative Agent.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Holdco</w:t>
      </w:r>
      <w:r>
        <w:rPr>
          <w:rFonts w:ascii="Arial" w:cs="Arial" w:eastAsia="Arial" w:hAnsi="Arial"/>
          <w:sz w:val="18"/>
          <w:szCs w:val="18"/>
          <w:color w:val="auto"/>
        </w:rPr>
        <w:t>” means any Domestic Subsidiary that owns no material assets other than the Equity Interests of one or more Foreign Subsidiaries that are Controlled Foreign Corporations.</w:t>
      </w:r>
    </w:p>
    <w:p>
      <w:pPr>
        <w:spacing w:after="0" w:line="170"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the L/C Issuer, such Defaulting Lender’s L/C Exposure other than such Defaulting Lender’s L/C Exposure that has been reallocated to other Lenders or Cash Collateralized in accordance with the terms hereof, and (b) with respect to the Swingline Lender, such Defaulting Lender’s Swingline Exposure other than such Defaulting Lender’s Swingline Exposure that has been reallocated to other Lenders.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9" w:name="page70"/>
    <w:bookmarkEnd w:id="69"/>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effect from time to time in the United States.</w:t>
      </w:r>
    </w:p>
    <w:p>
      <w:pPr>
        <w:spacing w:after="0" w:line="225" w:lineRule="exact"/>
        <w:rPr>
          <w:sz w:val="20"/>
          <w:szCs w:val="20"/>
          <w:color w:val="auto"/>
        </w:rPr>
      </w:pPr>
    </w:p>
    <w:p>
      <w:pPr>
        <w:jc w:val="both"/>
        <w:ind w:right="20" w:firstLine="450"/>
        <w:spacing w:after="0" w:line="263" w:lineRule="auto"/>
        <w:rPr>
          <w:sz w:val="20"/>
          <w:szCs w:val="20"/>
          <w:color w:val="auto"/>
        </w:rPr>
      </w:pPr>
      <w:r>
        <w:rPr>
          <w:rFonts w:ascii="Arial" w:cs="Arial" w:eastAsia="Arial" w:hAnsi="Arial"/>
          <w:sz w:val="18"/>
          <w:szCs w:val="18"/>
          <w:u w:val="single" w:color="auto"/>
          <w:color w:val="0000FF"/>
        </w:rPr>
        <w:t>“Government Securities Business Day” means any day except for (a) a Saturday, (b) a Sunday or (c) a day on which the Securities Industry and Financial Markets Association (or any successor thereto) recommends that the fixed income departments of its members be closed for the entire day for purposes of trading in United States 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-294005</wp:posOffset>
            </wp:positionV>
            <wp:extent cx="68408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234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27000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64"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department, commission, board, bureau,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Agreement</w:t>
      </w:r>
      <w:r>
        <w:rPr>
          <w:rFonts w:ascii="Arial" w:cs="Arial" w:eastAsia="Arial" w:hAnsi="Arial"/>
          <w:sz w:val="16"/>
          <w:szCs w:val="16"/>
          <w:color w:val="auto"/>
        </w:rPr>
        <w:t>” means the Guarantee Agreement, dated as of the date Closing Date, among the Loan Parties and the Administrative Agent.</w:t>
      </w:r>
    </w:p>
    <w:p>
      <w:pPr>
        <w:spacing w:after="0" w:line="248"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Guarantees</w:t>
      </w:r>
      <w:r>
        <w:rPr>
          <w:rFonts w:ascii="Arial" w:cs="Arial" w:eastAsia="Arial" w:hAnsi="Arial"/>
          <w:sz w:val="17"/>
          <w:szCs w:val="17"/>
          <w:color w:val="auto"/>
        </w:rPr>
        <w:t xml:space="preserve">” of or by any Person (the “guarantor”) means any obligation, contingent or otherwise, of the guarantor guaranteeing or having the economic effect of guaranteeing any Indebtedness or other obligation of any other Person (the “primary obligor”)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shall not include endorsements for collection or deposit in the ordinary course of business. The term “Guaranteed” has a meaning analogous thereto. The amount of any Guarantee at any time shall be deemed to be an amount equal to the lesser at such time of (i) the stated or determinable amount of the primary obligation in respect of which such Guarantee is made (or, if not stated or determinable, the maximum reasonably anticipated amount of the obligations in respect of which such Guarantee is made) and (ii) the maximum amount for which the guarantor may be liable pursuant to the terms of the instrument embodying such Guarantee.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means (a) each Subsidiary Guarantor, and (b) each other Person that becomes a party to the Guarantee Agreement as a Guarantor.</w:t>
      </w:r>
    </w:p>
    <w:p>
      <w:pPr>
        <w:spacing w:after="0" w:line="248"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substances, wastes, chemicals, pollutants, or other contaminants, including petroleum or petroleum distillates, asbestos or asbestos containing materials, polychlorinated biphenyls, radon gas, mold, infectious, pharmaceutical or medical wastes and all other substances of any nature that are now or hereafter regulated under any Environmental Law or are now or hereafter defined, listed, classified, considered or described as hazardous, dangerous or toxic by any Governmental Authority or under any Environmental Law.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0" w:name="page71"/>
    <w:bookmarkEnd w:id="70"/>
    <w:p>
      <w:pPr>
        <w:jc w:val="both"/>
        <w:ind w:firstLine="45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any Subsidiary (a) which generated less than two and one-half percent (2.5%) of Consolidated EBITDA of the Borrower and its Subsidiaries for the preceding twelve (12) month period or (b) had less than two and one half percent (2.5%) of consolidated assets of the Borrower and its Subsidiaries as reflected on the most recent financial statements delivered pursuant to Section 6.1 prior to such date; provided that no Subsidiary shall be excluded as an Immaterial Subsidiary until, and for so long as, the Borrower shall have designated such Subsidiary’s status as such in writing to the Administrative Agent; provided, further, that no Subsidiary shall be excluded as an Immaterial Subsidiary if (i) the Consolidated EBITDA of such Subsidiary, taken together with the Consolidated EBITDA of all other Subsidiaries then designated as Immaterial Subsidiaries, exceeds five percent (5%) of Consolidated EBITDA of the Borrower and its Subsidiaries or (ii) the consolidated assets of such Subsidiary, taken together with the consolidated assets of all other Subsidiaries then designated as Immaterial Subsidiaries, exceeds five percent (5%) of consolidated assets of the Borrower and its Subsidiaries.</w:t>
      </w:r>
    </w:p>
    <w:p>
      <w:pPr>
        <w:spacing w:after="0" w:line="196"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Assumption Agreement</w:t>
      </w:r>
      <w:r>
        <w:rPr>
          <w:rFonts w:ascii="Arial" w:cs="Arial" w:eastAsia="Arial" w:hAnsi="Arial"/>
          <w:sz w:val="18"/>
          <w:szCs w:val="18"/>
          <w:color w:val="auto"/>
        </w:rPr>
        <w:t>” means an Incremental Assumption Agreement in form and substance reasonably satisfactory to the Administrative Agent and the Borrower, among the Borrower, the Administrative Agent and each Incremental Term Lender and/or existing or additional Revolving Lender party thereto.</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Facility</w:t>
      </w:r>
      <w:r>
        <w:rPr>
          <w:rFonts w:ascii="Arial" w:cs="Arial" w:eastAsia="Arial" w:hAnsi="Arial"/>
          <w:sz w:val="18"/>
          <w:szCs w:val="18"/>
          <w:color w:val="auto"/>
        </w:rPr>
        <w:t>” means a term loan credit facility evidenced by Incremental Term Loan Commitments, if 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Lender</w:t>
      </w:r>
      <w:r>
        <w:rPr>
          <w:rFonts w:ascii="Arial" w:cs="Arial" w:eastAsia="Arial" w:hAnsi="Arial"/>
          <w:sz w:val="18"/>
          <w:szCs w:val="18"/>
          <w:color w:val="auto"/>
        </w:rPr>
        <w:t>” means a Lender with an Incremental Term Loan Commitment or an outstanding Incremental Term Loan.</w:t>
      </w:r>
    </w:p>
    <w:p>
      <w:pPr>
        <w:spacing w:after="0" w:line="22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Commitment</w:t>
      </w:r>
      <w:r>
        <w:rPr>
          <w:rFonts w:ascii="Arial" w:cs="Arial" w:eastAsia="Arial" w:hAnsi="Arial"/>
          <w:sz w:val="18"/>
          <w:szCs w:val="18"/>
          <w:color w:val="auto"/>
        </w:rPr>
        <w:t xml:space="preserve">” means the commitment of any Lender, established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to make an Incremental Term Loan to the Borrower.</w:t>
      </w:r>
    </w:p>
    <w:p>
      <w:pPr>
        <w:spacing w:after="0" w:line="170"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Maturity Date</w:t>
      </w:r>
      <w:r>
        <w:rPr>
          <w:rFonts w:ascii="Arial" w:cs="Arial" w:eastAsia="Arial" w:hAnsi="Arial"/>
          <w:sz w:val="18"/>
          <w:szCs w:val="18"/>
          <w:color w:val="auto"/>
        </w:rPr>
        <w:t xml:space="preserve">” means the final maturity date of any Incremental Term Loan, as set forth in the applicable Incremental Assumption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date is not a Business Day, the Incremental Term Loan Maturity Date shall be the Business Day immediately preceding such day.</w:t>
      </w:r>
    </w:p>
    <w:p>
      <w:pPr>
        <w:spacing w:after="0" w:line="184"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Repayment Date</w:t>
      </w:r>
      <w:r>
        <w:rPr>
          <w:rFonts w:ascii="Arial" w:cs="Arial" w:eastAsia="Arial" w:hAnsi="Arial"/>
          <w:sz w:val="18"/>
          <w:szCs w:val="18"/>
          <w:color w:val="auto"/>
        </w:rPr>
        <w:t>” means each date regularly scheduled for the payment of principal of any Incremental Term Loan, as set forth in the applicable Incremental Assumption Agreement.</w:t>
      </w:r>
    </w:p>
    <w:p>
      <w:pPr>
        <w:spacing w:after="0" w:line="170"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xml:space="preserve">” means term loans made by one or more Lenders to the Borrower pursuant to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Incremental Term Loans may be made in the form of additional Term Loans or, to the extent permitted by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and provided for in the relevant Incremental Assumption Agreement, Other Term Loans.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without duplication:</w:t>
      </w:r>
    </w:p>
    <w:p>
      <w:pPr>
        <w:spacing w:after="0" w:line="225" w:lineRule="exact"/>
        <w:rPr>
          <w:sz w:val="20"/>
          <w:szCs w:val="20"/>
          <w:color w:val="auto"/>
        </w:rPr>
      </w:pPr>
    </w:p>
    <w:p>
      <w:pPr>
        <w:ind w:left="1460" w:hanging="552"/>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obligations of such Person for borrowed money;</w:t>
      </w:r>
    </w:p>
    <w:p>
      <w:pPr>
        <w:spacing w:after="0" w:line="225" w:lineRule="exact"/>
        <w:rPr>
          <w:rFonts w:ascii="Arial" w:cs="Arial" w:eastAsia="Arial" w:hAnsi="Arial"/>
          <w:sz w:val="18"/>
          <w:szCs w:val="18"/>
          <w:color w:val="auto"/>
        </w:rPr>
      </w:pPr>
    </w:p>
    <w:p>
      <w:pPr>
        <w:ind w:left="1480" w:hanging="572"/>
        <w:spacing w:after="0"/>
        <w:tabs>
          <w:tab w:leader="none" w:pos="1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obligations of such Person evidenced by bonds, debentures, notes, loan agreements or other similar instruments, including seller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paper;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71" w:name="page72"/>
    <w:bookmarkEnd w:id="71"/>
    <w:p>
      <w:pPr>
        <w:jc w:val="both"/>
        <w:ind w:firstLine="908"/>
        <w:spacing w:after="0" w:line="263" w:lineRule="auto"/>
        <w:tabs>
          <w:tab w:leader="none" w:pos="1602"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maximum amount (after giving effect to any prior drawings or reductions which have been reimbursed) of all letters of credit (including standby and commercial), banker’s acceptances, bank guaranties, surety bonds, and similar instruments issued or created by or for the account of such Person;</w:t>
      </w:r>
    </w:p>
    <w:p>
      <w:pPr>
        <w:spacing w:after="0" w:line="183" w:lineRule="exact"/>
        <w:rPr>
          <w:rFonts w:ascii="Arial" w:cs="Arial" w:eastAsia="Arial" w:hAnsi="Arial"/>
          <w:sz w:val="18"/>
          <w:szCs w:val="18"/>
          <w:color w:val="auto"/>
        </w:rPr>
      </w:pPr>
    </w:p>
    <w:p>
      <w:pPr>
        <w:ind w:right="20" w:firstLine="908"/>
        <w:spacing w:after="0" w:line="277" w:lineRule="auto"/>
        <w:tabs>
          <w:tab w:leader="none" w:pos="15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Swap Termination Value of each Swap Agreement (to the extent reflecting an amount owed by such Person or an amount that would be owing were such Swap Agreement terminated);</w:t>
      </w:r>
    </w:p>
    <w:p>
      <w:pPr>
        <w:spacing w:after="0" w:line="170" w:lineRule="exact"/>
        <w:rPr>
          <w:rFonts w:ascii="Arial" w:cs="Arial" w:eastAsia="Arial" w:hAnsi="Arial"/>
          <w:sz w:val="18"/>
          <w:szCs w:val="18"/>
          <w:color w:val="auto"/>
        </w:rPr>
      </w:pPr>
    </w:p>
    <w:p>
      <w:pPr>
        <w:ind w:firstLine="908"/>
        <w:spacing w:after="0" w:line="277" w:lineRule="auto"/>
        <w:tabs>
          <w:tab w:leader="none" w:pos="14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Attributable Indebtedness of such Person in respect of Finance Lease Obligations, Synthetic Debt and Synthetic Lease Obligations of such Person (regardless of whether accounted for as indebtedness under GAAP);</w:t>
      </w:r>
    </w:p>
    <w:p>
      <w:pPr>
        <w:spacing w:after="0" w:line="170" w:lineRule="exact"/>
        <w:rPr>
          <w:rFonts w:ascii="Arial" w:cs="Arial" w:eastAsia="Arial" w:hAnsi="Arial"/>
          <w:sz w:val="18"/>
          <w:szCs w:val="18"/>
          <w:color w:val="auto"/>
        </w:rPr>
      </w:pPr>
    </w:p>
    <w:p>
      <w:pPr>
        <w:jc w:val="both"/>
        <w:ind w:firstLine="908"/>
        <w:spacing w:after="0" w:line="287" w:lineRule="auto"/>
        <w:tabs>
          <w:tab w:leader="none" w:pos="1526"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obligations of such Person to pay the deferred purchase price of property or services (other than (i) trade accounts payable in the ordinary course of business which are paid within 90 days of their respective due dates, (ii) any purchase price adjustments, earn out or similar obligation until such obligation becomes a liability on the balance sheet of such Person in accordance with GAAP and if not paid after becoming due and payable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liabilities associated with customer prepayments and deposits);</w:t>
      </w:r>
    </w:p>
    <w:p>
      <w:pPr>
        <w:spacing w:after="0" w:line="210" w:lineRule="exact"/>
        <w:rPr>
          <w:rFonts w:ascii="Arial" w:cs="Arial" w:eastAsia="Arial" w:hAnsi="Arial"/>
          <w:sz w:val="18"/>
          <w:szCs w:val="18"/>
          <w:color w:val="auto"/>
        </w:rPr>
      </w:pPr>
    </w:p>
    <w:p>
      <w:pPr>
        <w:jc w:val="both"/>
        <w:ind w:firstLine="908"/>
        <w:spacing w:after="0" w:line="279" w:lineRule="auto"/>
        <w:tabs>
          <w:tab w:leader="none" w:pos="1481" w:val="left"/>
        </w:tabs>
        <w:numPr>
          <w:ilvl w:val="1"/>
          <w:numId w:val="44"/>
        </w:numPr>
        <w:rPr>
          <w:rFonts w:ascii="Arial" w:cs="Arial" w:eastAsia="Arial" w:hAnsi="Arial"/>
          <w:sz w:val="17"/>
          <w:szCs w:val="17"/>
          <w:color w:val="auto"/>
        </w:rPr>
      </w:pPr>
      <w:r>
        <w:rPr>
          <w:rFonts w:ascii="Arial" w:cs="Arial" w:eastAsia="Arial" w:hAnsi="Arial"/>
          <w:sz w:val="17"/>
          <w:szCs w:val="17"/>
          <w:color w:val="auto"/>
        </w:rPr>
        <w:t>indebtedness (excluding prepaid interest thereon) secured by a Lien (or for which the holder of such indebtedness has an existing right, contingent or otherwise, to be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171" w:lineRule="exact"/>
        <w:rPr>
          <w:rFonts w:ascii="Arial" w:cs="Arial" w:eastAsia="Arial" w:hAnsi="Arial"/>
          <w:sz w:val="17"/>
          <w:szCs w:val="17"/>
          <w:color w:val="auto"/>
        </w:rPr>
      </w:pPr>
    </w:p>
    <w:p>
      <w:pPr>
        <w:ind w:left="1480" w:hanging="572"/>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Earn-Out Obligations due and owing of such Person;</w:t>
      </w:r>
    </w:p>
    <w:p>
      <w:pPr>
        <w:spacing w:after="0" w:line="225" w:lineRule="exact"/>
        <w:rPr>
          <w:rFonts w:ascii="Arial" w:cs="Arial" w:eastAsia="Arial" w:hAnsi="Arial"/>
          <w:sz w:val="18"/>
          <w:szCs w:val="18"/>
          <w:color w:val="auto"/>
        </w:rPr>
      </w:pPr>
    </w:p>
    <w:p>
      <w:pPr>
        <w:ind w:left="1480" w:hanging="572"/>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obligations of such Person in respect of Disqualified Equity Interests;</w:t>
      </w:r>
    </w:p>
    <w:p>
      <w:pPr>
        <w:spacing w:after="0" w:line="225" w:lineRule="exact"/>
        <w:rPr>
          <w:rFonts w:ascii="Arial" w:cs="Arial" w:eastAsia="Arial" w:hAnsi="Arial"/>
          <w:sz w:val="18"/>
          <w:szCs w:val="18"/>
          <w:color w:val="auto"/>
        </w:rPr>
      </w:pPr>
    </w:p>
    <w:p>
      <w:pPr>
        <w:jc w:val="both"/>
        <w:ind w:firstLine="908"/>
        <w:spacing w:after="0" w:line="263" w:lineRule="auto"/>
        <w:tabs>
          <w:tab w:leader="none" w:pos="1487"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obligations of such Person to pay a specified purchase price for goods or services whether or not delivered or accepted (</w:t>
      </w:r>
      <w:r>
        <w:rPr>
          <w:rFonts w:ascii="Arial" w:cs="Arial" w:eastAsia="Arial" w:hAnsi="Arial"/>
          <w:sz w:val="18"/>
          <w:szCs w:val="18"/>
          <w:u w:val="single" w:color="auto"/>
          <w:color w:val="auto"/>
        </w:rPr>
        <w:t>e.g.</w:t>
      </w:r>
      <w:r>
        <w:rPr>
          <w:rFonts w:ascii="Arial" w:cs="Arial" w:eastAsia="Arial" w:hAnsi="Arial"/>
          <w:sz w:val="18"/>
          <w:szCs w:val="18"/>
          <w:color w:val="auto"/>
        </w:rPr>
        <w:t>, take or pay obligations) or similar obligations and, without duplication, all obligations of such Person under conditional sale or other title retention agreements relating to property or assets purchased by such Person; and</w:t>
      </w:r>
    </w:p>
    <w:p>
      <w:pPr>
        <w:spacing w:after="0" w:line="183" w:lineRule="exact"/>
        <w:rPr>
          <w:rFonts w:ascii="Arial" w:cs="Arial" w:eastAsia="Arial" w:hAnsi="Arial"/>
          <w:sz w:val="18"/>
          <w:szCs w:val="18"/>
          <w:color w:val="auto"/>
        </w:rPr>
      </w:pPr>
    </w:p>
    <w:p>
      <w:pPr>
        <w:ind w:left="1480" w:hanging="572"/>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Guarantees by such Person of any of the foregoing.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Indebtedness of any Person shall include the Indebtedness of any partnership or joint venture (other than a joint venture that is itself a corporation, company, or limited liability company) in which such Person is a general partner or a joint venturer, unless such Indebtedness is expressly made non-recourse to such Person. The amount of Indebtedness of any Person for purposes of clause (g) shall be deemed to be equal to the greater of (i) the aggregate unpaid amount of such Indebtedness and (ii) the fair market value of the property encumbered thereby as determined by such Person in good faith.</w:t>
      </w:r>
    </w:p>
    <w:p>
      <w:pPr>
        <w:spacing w:after="0" w:line="188"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10.3(b)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10.14(b)</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2" w:name="page73"/>
    <w:bookmarkEnd w:id="72"/>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Memorandum</w:t>
      </w:r>
      <w:r>
        <w:rPr>
          <w:rFonts w:ascii="Arial" w:cs="Arial" w:eastAsia="Arial" w:hAnsi="Arial"/>
          <w:sz w:val="18"/>
          <w:szCs w:val="18"/>
          <w:color w:val="auto"/>
        </w:rPr>
        <w:t>” means the Confidential Information Memorandum, dated as of the Closing Date, relating to the Borrower, its Subsidiaries and the Transactions.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jc w:val="both"/>
        <w:ind w:firstLine="45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with respect to any ABR Loan, the last day of each March, June, September and December, (b) with respect to any </w:t>
      </w:r>
      <w:r>
        <w:rPr>
          <w:rFonts w:ascii="Arial" w:cs="Arial" w:eastAsia="Arial" w:hAnsi="Arial"/>
          <w:sz w:val="16"/>
          <w:szCs w:val="16"/>
          <w:color w:val="FF0000"/>
          <w:strike w:val="1"/>
        </w:rPr>
        <w:t>LIBOR</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Loan, the last day of the Interest Period applicable thereto and, in the case of a </w:t>
      </w:r>
      <w:r>
        <w:rPr>
          <w:rFonts w:ascii="Arial" w:cs="Arial" w:eastAsia="Arial" w:hAnsi="Arial"/>
          <w:sz w:val="16"/>
          <w:szCs w:val="16"/>
          <w:color w:val="FF0000"/>
          <w:strike w:val="1"/>
        </w:rPr>
        <w:t>LIBOR</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Loan with an Interest Period of more than three months’ duration, each day prior to the last day of such Interest Period that occurs at intervals of three months’ duration after the first day of such Interest Period, (c) with respect to all Loans, the Maturity Date of the Credit Facility under which such Loan was made and (d) with respect to any Swingline Loan, the earlier of the maturity date selected therefor pursuant to </w:t>
      </w:r>
      <w:r>
        <w:rPr>
          <w:rFonts w:ascii="Arial" w:cs="Arial" w:eastAsia="Arial" w:hAnsi="Arial"/>
          <w:sz w:val="16"/>
          <w:szCs w:val="16"/>
          <w:u w:val="single" w:color="auto"/>
          <w:color w:val="auto"/>
        </w:rPr>
        <w:t>Section 2.3(b)(iii)</w:t>
      </w:r>
      <w:r>
        <w:rPr>
          <w:rFonts w:ascii="Arial" w:cs="Arial" w:eastAsia="Arial" w:hAnsi="Arial"/>
          <w:sz w:val="16"/>
          <w:szCs w:val="16"/>
          <w:color w:val="auto"/>
        </w:rPr>
        <w:t xml:space="preserve"> and the Revolving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-445135</wp:posOffset>
            </wp:positionV>
            <wp:extent cx="28257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-445135</wp:posOffset>
            </wp:positionV>
            <wp:extent cx="29146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41"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any </w:t>
      </w:r>
      <w:r>
        <w:rPr>
          <w:rFonts w:ascii="Arial" w:cs="Arial" w:eastAsia="Arial" w:hAnsi="Arial"/>
          <w:sz w:val="17"/>
          <w:szCs w:val="17"/>
          <w:color w:val="FF0000"/>
          <w:strike w:val="1"/>
        </w:rPr>
        <w:t>LIBOR</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Borrowing, the period commencing on the date of such Borrowing and ending on the numerically corresponding day in the calendar month that is one, </w:t>
      </w:r>
      <w:r>
        <w:rPr>
          <w:rFonts w:ascii="Arial" w:cs="Arial" w:eastAsia="Arial" w:hAnsi="Arial"/>
          <w:sz w:val="17"/>
          <w:szCs w:val="17"/>
          <w:color w:val="FF0000"/>
          <w:strike w:val="1"/>
        </w:rPr>
        <w:t>two,</w:t>
      </w:r>
      <w:r>
        <w:rPr>
          <w:rFonts w:ascii="Arial" w:cs="Arial" w:eastAsia="Arial" w:hAnsi="Arial"/>
          <w:sz w:val="17"/>
          <w:szCs w:val="17"/>
          <w:color w:val="auto"/>
        </w:rPr>
        <w:t xml:space="preserve"> three</w:t>
      </w:r>
      <w:r>
        <w:rPr>
          <w:rFonts w:ascii="Arial" w:cs="Arial" w:eastAsia="Arial" w:hAnsi="Arial"/>
          <w:sz w:val="17"/>
          <w:szCs w:val="17"/>
          <w:color w:val="FF0000"/>
          <w:strike w:val="1"/>
        </w:rPr>
        <w:t>,</w:t>
      </w:r>
      <w:r>
        <w:rPr>
          <w:rFonts w:ascii="Arial" w:cs="Arial" w:eastAsia="Arial" w:hAnsi="Arial"/>
          <w:sz w:val="17"/>
          <w:szCs w:val="17"/>
          <w:color w:val="auto"/>
        </w:rPr>
        <w:t xml:space="preserve"> or six months thereafter</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(in each case, subject to the availability thereof)</w:t>
      </w:r>
      <w:r>
        <w:rPr>
          <w:rFonts w:ascii="Arial" w:cs="Arial" w:eastAsia="Arial" w:hAnsi="Arial"/>
          <w:sz w:val="17"/>
          <w:szCs w:val="17"/>
          <w:color w:val="auto"/>
        </w:rPr>
        <w:t xml:space="preserve"> as the Borrower may elect,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w:t>
      </w:r>
      <w:r>
        <w:rPr>
          <w:rFonts w:ascii="Arial" w:cs="Arial" w:eastAsia="Arial" w:hAnsi="Arial"/>
          <w:sz w:val="17"/>
          <w:szCs w:val="17"/>
          <w:color w:val="FF0000"/>
          <w:strike w:val="1"/>
        </w:rPr>
        <w:t>and</w:t>
      </w:r>
      <w:r>
        <w:rPr>
          <w:rFonts w:ascii="Arial" w:cs="Arial" w:eastAsia="Arial" w:hAnsi="Arial"/>
          <w:sz w:val="17"/>
          <w:szCs w:val="17"/>
          <w:color w:val="auto"/>
        </w:rPr>
        <w:t xml:space="preserve"> (c) no Interest Period in respect of any Loan shall end after the Maturity Date of the Credit Facility under which such Loan was made</w:t>
      </w:r>
      <w:r>
        <w:rPr>
          <w:rFonts w:ascii="Arial" w:cs="Arial" w:eastAsia="Arial" w:hAnsi="Arial"/>
          <w:sz w:val="17"/>
          <w:szCs w:val="17"/>
          <w:u w:val="single" w:color="auto"/>
          <w:color w:val="auto"/>
        </w:rPr>
        <w:t>,</w:t>
      </w:r>
      <w:r>
        <w:rPr>
          <w:rFonts w:ascii="Arial" w:cs="Arial" w:eastAsia="Arial" w:hAnsi="Arial"/>
          <w:sz w:val="17"/>
          <w:szCs w:val="17"/>
          <w:color w:val="auto"/>
        </w:rPr>
        <w:t xml:space="preserve"> </w:t>
      </w:r>
      <w:r>
        <w:rPr>
          <w:rFonts w:ascii="Arial" w:cs="Arial" w:eastAsia="Arial" w:hAnsi="Arial"/>
          <w:sz w:val="17"/>
          <w:szCs w:val="17"/>
          <w:color w:val="0000FF"/>
        </w:rPr>
        <w:t>and (d) no tenor that has been removed from this definition pursuant to Section 3.8(d) shall be available for specification in any Committed Loan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Notice</w:t>
      </w:r>
      <w:r>
        <w:rPr>
          <w:rFonts w:ascii="Arial" w:cs="Arial" w:eastAsia="Arial" w:hAnsi="Arial"/>
          <w:sz w:val="17"/>
          <w:szCs w:val="17"/>
          <w:color w:val="000000"/>
        </w:rPr>
        <w:t>. For purposes hereof, the date of a Borrowing initially shall be the date on which such Borrowing is made and thereafter shall be the effective date</w:t>
      </w:r>
      <w:r>
        <w:rPr>
          <w:rFonts w:ascii="Arial" w:cs="Arial" w:eastAsia="Arial" w:hAnsi="Arial"/>
          <w:sz w:val="17"/>
          <w:szCs w:val="17"/>
          <w:color w:val="0000FF"/>
        </w:rPr>
        <w:t xml:space="preserve"> </w:t>
      </w:r>
      <w:r>
        <w:rPr>
          <w:rFonts w:ascii="Arial" w:cs="Arial" w:eastAsia="Arial" w:hAnsi="Arial"/>
          <w:sz w:val="17"/>
          <w:szCs w:val="17"/>
          <w:color w:val="000000"/>
        </w:rPr>
        <w:t>of the most recent conversion or continuation of such Borrowing. Interest shall accrue from and including the first day of an Interest Period to but excluding the last day of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-1391920</wp:posOffset>
            </wp:positionV>
            <wp:extent cx="28257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-1323340</wp:posOffset>
            </wp:positionV>
            <wp:extent cx="2857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-1254760</wp:posOffset>
            </wp:positionV>
            <wp:extent cx="223710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23710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-431800</wp:posOffset>
            </wp:positionV>
            <wp:extent cx="684911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-448945</wp:posOffset>
            </wp:positionV>
            <wp:extent cx="684847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48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30861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62" w:lineRule="exact"/>
        <w:rPr>
          <w:sz w:val="20"/>
          <w:szCs w:val="20"/>
          <w:color w:val="auto"/>
        </w:rPr>
      </w:pPr>
    </w:p>
    <w:p>
      <w:pPr>
        <w:jc w:val="both"/>
        <w:ind w:firstLine="450"/>
        <w:spacing w:after="0" w:line="264" w:lineRule="auto"/>
        <w:rPr>
          <w:sz w:val="20"/>
          <w:szCs w:val="20"/>
          <w:color w:val="auto"/>
        </w:rPr>
      </w:pPr>
      <w:r>
        <w:rPr>
          <w:rFonts w:ascii="Arial" w:cs="Arial" w:eastAsia="Arial" w:hAnsi="Arial"/>
          <w:sz w:val="16"/>
          <w:szCs w:val="16"/>
          <w:u w:val="single" w:color="auto"/>
          <w:color w:val="FF0000"/>
        </w:rPr>
        <w:t>“Interpolated Screen Rate</w:t>
      </w:r>
      <w:r>
        <w:rPr>
          <w:rFonts w:ascii="Arial" w:cs="Arial" w:eastAsia="Arial" w:hAnsi="Arial"/>
          <w:sz w:val="16"/>
          <w:szCs w:val="16"/>
          <w:color w:val="FF0000"/>
        </w:rPr>
        <w:t xml:space="preserve">” </w:t>
      </w:r>
      <w:r>
        <w:rPr>
          <w:rFonts w:ascii="Arial" w:cs="Arial" w:eastAsia="Arial" w:hAnsi="Arial"/>
          <w:sz w:val="16"/>
          <w:szCs w:val="16"/>
          <w:color w:val="FF0000"/>
          <w:strike w:val="1"/>
        </w:rPr>
        <w:t>means in relation to the LIBOR Rate for any Loan, the rate per annum determined by the Administrative Agent (which</w:t>
      </w:r>
      <w:r>
        <w:rPr>
          <w:rFonts w:ascii="Arial" w:cs="Arial" w:eastAsia="Arial" w:hAnsi="Arial"/>
          <w:sz w:val="16"/>
          <w:szCs w:val="16"/>
          <w:color w:val="FF0000"/>
        </w:rPr>
        <w:t xml:space="preserve"> </w:t>
      </w:r>
      <w:r>
        <w:rPr>
          <w:rFonts w:ascii="Arial" w:cs="Arial" w:eastAsia="Arial" w:hAnsi="Arial"/>
          <w:sz w:val="16"/>
          <w:szCs w:val="16"/>
          <w:color w:val="FF0000"/>
          <w:strike w:val="1"/>
        </w:rPr>
        <w:t>determination shall be conclusive and binding absent manifest error) to be equal to the rate (rounded upwards, if necessary, to the nearest 1/100</w:t>
      </w:r>
      <w:r>
        <w:rPr>
          <w:rFonts w:ascii="Arial" w:cs="Arial" w:eastAsia="Arial" w:hAnsi="Arial"/>
          <w:sz w:val="26"/>
          <w:szCs w:val="26"/>
          <w:color w:val="FF0000"/>
          <w:strike w:val="1"/>
          <w:vertAlign w:val="superscript"/>
        </w:rPr>
        <w:t>th</w:t>
      </w:r>
      <w:r>
        <w:rPr>
          <w:rFonts w:ascii="Arial" w:cs="Arial" w:eastAsia="Arial" w:hAnsi="Arial"/>
          <w:sz w:val="16"/>
          <w:szCs w:val="16"/>
          <w:color w:val="FF0000"/>
          <w:strike w:val="1"/>
        </w:rPr>
        <w:t>) that results from interpolating on a linear basis between: (a) the rate as displayed on the applicable Bloomberg page (or on any successor or substitute page or service providing quotations of interest rates applicable to Dollar deposits in the London interbank market comparable to those currently provided on such page, as determined by the Administrative Agent from time to time; in each case the “</w:t>
      </w:r>
      <w:r>
        <w:rPr>
          <w:rFonts w:ascii="Arial" w:cs="Arial" w:eastAsia="Arial" w:hAnsi="Arial"/>
          <w:sz w:val="16"/>
          <w:szCs w:val="16"/>
          <w:u w:val="single" w:color="auto"/>
          <w:color w:val="FF0000"/>
          <w:strike w:val="1"/>
        </w:rPr>
        <w:t>Screen Rate</w:t>
      </w:r>
      <w:r>
        <w:rPr>
          <w:rFonts w:ascii="Arial" w:cs="Arial" w:eastAsia="Arial" w:hAnsi="Arial"/>
          <w:sz w:val="16"/>
          <w:szCs w:val="16"/>
          <w:color w:val="FF0000"/>
          <w:strike w:val="1"/>
        </w:rPr>
        <w:t>”) for the longest period (for which that Screen Rate is available) that is shorter than the applicable Interest Period and (b) the Screen Rate for the shortest period (for which that Screen Rate is available) that exceeds such Interest Period, in each case, at approximately 11:00 a.m., London time, on the Quotation Day for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-909955</wp:posOffset>
            </wp:positionV>
            <wp:extent cx="11887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88720" cy="8255"/>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-361315</wp:posOffset>
            </wp:positionV>
            <wp:extent cx="54864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65"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means, as to any Person, (a) any Acquisition by such Person, (b) any direct or indirect acquisition or investment by such Person in another Person, whether by means of the purchase or other acquisition of Equity Interests or debt or other securities of another Person (including any partnership or joint venture interest), or (c) any direct or indirect loan, advance or capital contribution to, Guarantee with respect to any Indebtedness or other obligation of, such other Person. For purposes of covenant compliance, the amount of any Investment on any date of determination shall be, in the case of any Investment in the form of (i) a loan or an advance, the principal amount thereof outstanding on such date, (ii) a Guarantee, the amount of such Guarantee as determined in accordance with the last sentence of the definition of such term, (iii) a transfer of Equity Interests or other property by the investor to the investee, including any such transfer in the form of a capital contribution, or the issuance of Equity Interests to such investor, the fair market value (as determined reasonably and in good faith by the chief financial officer of the Borrower) of such Equity Interests or other property as of the time of the transfer or issuance, without any adjustment for increases or decreases in value of, or write-ups, write-downs or write-offs with respect to, such Investment, and (iv) any Investment (other than any Investment referred to in clauses (i), (ii) or (iii) above) in the form of an Acquisition or a purchase or other acquisition for value of any evidences of Indebtedness or other securities of any other Person, the original cost of such Investment (including any Indebtedness assumed in connection therewith),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cost of all additions, as of such date, thereto,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amount, as of such date, of any portion of such Investment repaid to the investor in cash as a repayment of principal or a return of capital, as the case may be, but without any other adjustment for increases or decreases in value of, or write-ups, write-downs or write-offs with respect to, such Investment.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3" w:name="page74"/>
    <w:bookmarkEnd w:id="73"/>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the International Standby Practices, International Chamber of Commerce Publication No. 590 (or such later version thereof as may be in effect at the applicable time of issuance).</w:t>
      </w:r>
    </w:p>
    <w:p>
      <w:pPr>
        <w:spacing w:after="0" w:line="170"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means, at any date of determination, the latest Maturity Date applicable to any Loan or Commitment hereunder at such time, including the latest Maturity Date of any Incremental Term Loan, in each case as extended in accordance with this Credit Agreement or pursuant to any other Loan Document from time to time.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2.4(c)(iii)</w:t>
      </w:r>
      <w:r>
        <w:rPr>
          <w:rFonts w:ascii="Arial" w:cs="Arial" w:eastAsia="Arial" w:hAnsi="Arial"/>
          <w:sz w:val="18"/>
          <w:szCs w:val="18"/>
          <w:color w:val="auto"/>
        </w:rPr>
        <w:t>.</w:t>
      </w:r>
    </w:p>
    <w:p>
      <w:pPr>
        <w:spacing w:after="0" w:line="225"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applicable L/C Honor Date or refinanced as a Revolving Borrowing.</w:t>
      </w:r>
    </w:p>
    <w:p>
      <w:pPr>
        <w:spacing w:after="0" w:line="170"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or renewal thereof or extension of the expiry date thereof, or the reinstatement or increase of the amount thereof or any amendment thereto.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the L/C Issuer pursuant to a Letter of Credit.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with respect to any Revolving Lender at any time, its Applicable Percentage of the L/C Obligations.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Fronting Fee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3.2(b)(ii)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Honor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2.4(c)(i)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means Citizens Bank in its capacity as issuer of Letters of Credit hereunder.</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xml:space="preserve">” means, at any time, with respect to all of the Revolving Lenders, the sum, without duplication, of (a) the undrawn portion of all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of all Unreimbursed Amounts in respect of Letters of Credit (unless refinanced as a Revolving Borrowing), including all L/C Borrowings.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Participation Fee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3.2(b)(i)</w:t>
      </w:r>
      <w:r>
        <w:rPr>
          <w:rFonts w:ascii="Arial" w:cs="Arial" w:eastAsia="Arial" w:hAnsi="Arial"/>
          <w:sz w:val="18"/>
          <w:szCs w:val="18"/>
          <w:color w:val="auto"/>
        </w:rPr>
        <w:t>.</w:t>
      </w:r>
    </w:p>
    <w:p>
      <w:pPr>
        <w:spacing w:after="0" w:line="22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Sublimit</w:t>
      </w:r>
      <w:r>
        <w:rPr>
          <w:rFonts w:ascii="Arial" w:cs="Arial" w:eastAsia="Arial" w:hAnsi="Arial"/>
          <w:sz w:val="18"/>
          <w:szCs w:val="18"/>
          <w:color w:val="auto"/>
        </w:rPr>
        <w:t>” means an amount equal to the lesser of (a) $10,000,000 and (b) the aggregate amount of the Revolving Commitments. The L/C Sublimit is a sublimit of the Revolving Commitments.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4" w:name="page75"/>
    <w:bookmarkEnd w:id="74"/>
    <w:p>
      <w:pPr>
        <w:jc w:val="both"/>
        <w:ind w:firstLine="45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Lead Arrangers</w:t>
      </w:r>
      <w:r>
        <w:rPr>
          <w:rFonts w:ascii="Arial" w:cs="Arial" w:eastAsia="Arial" w:hAnsi="Arial"/>
          <w:sz w:val="17"/>
          <w:szCs w:val="17"/>
          <w:color w:val="auto"/>
        </w:rPr>
        <w:t>” means each of (i) Citizens Bank, (ii) Wells Fargo Bank, National Association and (iii) Silicon Valley Bank, in each case, in their respective capacities as joint lead arrangers and joint bookrunners of the credit facilities established under this Credit Agreement.</w:t>
      </w:r>
    </w:p>
    <w:p>
      <w:pPr>
        <w:spacing w:after="0" w:line="146" w:lineRule="exact"/>
        <w:rPr>
          <w:sz w:val="20"/>
          <w:szCs w:val="20"/>
          <w:color w:val="auto"/>
        </w:rPr>
      </w:pPr>
    </w:p>
    <w:p>
      <w:pPr>
        <w:jc w:val="both"/>
        <w:ind w:firstLine="45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xml:space="preserve">” means (a) the financial institutions listed on </w:t>
      </w:r>
      <w:r>
        <w:rPr>
          <w:rFonts w:ascii="Arial" w:cs="Arial" w:eastAsia="Arial" w:hAnsi="Arial"/>
          <w:sz w:val="16"/>
          <w:szCs w:val="16"/>
          <w:u w:val="single" w:color="auto"/>
          <w:color w:val="auto"/>
        </w:rPr>
        <w:t>Schedule 2.1</w:t>
      </w:r>
      <w:r>
        <w:rPr>
          <w:rFonts w:ascii="Arial" w:cs="Arial" w:eastAsia="Arial" w:hAnsi="Arial"/>
          <w:sz w:val="16"/>
          <w:szCs w:val="16"/>
          <w:color w:val="auto"/>
        </w:rPr>
        <w:t xml:space="preserve"> (other than any such financial institution that has ceased to be a party hereto pursuant to an Assignment and Acceptance) and (b) any financial institution that has become a party hereto pursuant to an Assignment and Assumption or pursuant to an Incremental Assumption Agreement. Unless the context clearly indicates otherwise, the term “Lenders” shall include the Swingline Lender.</w:t>
      </w:r>
    </w:p>
    <w:p>
      <w:pPr>
        <w:spacing w:after="0" w:line="149"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hereunder providing for the payment of cash upon the honoring of a presentation thereunder.</w:t>
      </w:r>
    </w:p>
    <w:p>
      <w:pPr>
        <w:spacing w:after="0" w:line="170"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L/C Issuer.</w:t>
      </w:r>
    </w:p>
    <w:p>
      <w:pPr>
        <w:spacing w:after="0" w:line="170"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Documents</w:t>
      </w:r>
      <w:r>
        <w:rPr>
          <w:rFonts w:ascii="Arial" w:cs="Arial" w:eastAsia="Arial" w:hAnsi="Arial"/>
          <w:sz w:val="18"/>
          <w:szCs w:val="18"/>
          <w:color w:val="auto"/>
        </w:rPr>
        <w:t>” means, with respect to each Letter of Credit, such Letter of Credit, any amendments thereto, any documents delivered in connection therewith, any Letter of Credit Application and any agreements, instruments, guarantees or other documents (whether general in application or applicable only to such Letter of Credit) governing or providing for (a) the rights and obligations of the parties concerned or (b) any collateral for such obligations.</w:t>
      </w:r>
    </w:p>
    <w:p>
      <w:pPr>
        <w:spacing w:after="0" w:line="187"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five Business Days prior to the Maturity Date of the Revolving Facility (or, if such day is not a Business Day, the next preceding Business Day).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FF0000"/>
          <w:strike w:val="1"/>
        </w:rPr>
        <w:t>“LIBOR Borrowing</w:t>
      </w:r>
      <w:r>
        <w:rPr>
          <w:rFonts w:ascii="Arial" w:cs="Arial" w:eastAsia="Arial" w:hAnsi="Arial"/>
          <w:sz w:val="18"/>
          <w:szCs w:val="18"/>
          <w:color w:val="FF0000"/>
        </w:rPr>
        <w:t xml:space="preserve">” </w:t>
      </w:r>
      <w:r>
        <w:rPr>
          <w:rFonts w:ascii="Arial" w:cs="Arial" w:eastAsia="Arial" w:hAnsi="Arial"/>
          <w:sz w:val="18"/>
          <w:szCs w:val="18"/>
          <w:color w:val="FF0000"/>
          <w:strike w:val="1"/>
        </w:rPr>
        <w:t>means, as to any Borrowing, the LIBOR Loans comprising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-10160</wp:posOffset>
            </wp:positionV>
            <wp:extent cx="91694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FF0000"/>
          <w:strike w:val="1"/>
        </w:rPr>
        <w:t>“LIBOR Loan</w:t>
      </w:r>
      <w:r>
        <w:rPr>
          <w:rFonts w:ascii="Arial" w:cs="Arial" w:eastAsia="Arial" w:hAnsi="Arial"/>
          <w:sz w:val="18"/>
          <w:szCs w:val="18"/>
          <w:color w:val="FF0000"/>
        </w:rPr>
        <w:t xml:space="preserve">” </w:t>
      </w:r>
      <w:r>
        <w:rPr>
          <w:rFonts w:ascii="Arial" w:cs="Arial" w:eastAsia="Arial" w:hAnsi="Arial"/>
          <w:sz w:val="18"/>
          <w:szCs w:val="18"/>
          <w:color w:val="FF0000"/>
          <w:strike w:val="1"/>
        </w:rPr>
        <w:t>means a Loan bearing interest based on the Adjusted LIBOR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-10160</wp:posOffset>
            </wp:positionV>
            <wp:extent cx="6565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5"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6"/>
          <w:szCs w:val="16"/>
          <w:color w:val="FF0000"/>
          <w:strike w:val="1"/>
        </w:rPr>
        <w:t>“LIBOR Rate</w:t>
      </w:r>
      <w:r>
        <w:rPr>
          <w:rFonts w:ascii="Arial" w:cs="Arial" w:eastAsia="Arial" w:hAnsi="Arial"/>
          <w:sz w:val="16"/>
          <w:szCs w:val="16"/>
          <w:color w:val="FF0000"/>
        </w:rPr>
        <w:t xml:space="preserve">” </w:t>
      </w:r>
      <w:r>
        <w:rPr>
          <w:rFonts w:ascii="Arial" w:cs="Arial" w:eastAsia="Arial" w:hAnsi="Arial"/>
          <w:sz w:val="16"/>
          <w:szCs w:val="16"/>
          <w:color w:val="FF0000"/>
          <w:strike w:val="1"/>
        </w:rPr>
        <w:t>means, with respect to each day during each Interest Period pertaining to an applicable Loan in Dollars, the rate per annum (rounded</w:t>
      </w:r>
      <w:r>
        <w:rPr>
          <w:rFonts w:ascii="Arial" w:cs="Arial" w:eastAsia="Arial" w:hAnsi="Arial"/>
          <w:sz w:val="16"/>
          <w:szCs w:val="16"/>
          <w:color w:val="FF0000"/>
        </w:rPr>
        <w:t xml:space="preserve"> </w:t>
      </w:r>
      <w:r>
        <w:rPr>
          <w:rFonts w:ascii="Arial" w:cs="Arial" w:eastAsia="Arial" w:hAnsi="Arial"/>
          <w:sz w:val="16"/>
          <w:szCs w:val="16"/>
          <w:color w:val="FF0000"/>
          <w:strike w:val="1"/>
        </w:rPr>
        <w:t>upwards, if necessary, to the nearest 1/100</w:t>
      </w:r>
      <w:r>
        <w:rPr>
          <w:rFonts w:ascii="Arial" w:cs="Arial" w:eastAsia="Arial" w:hAnsi="Arial"/>
          <w:sz w:val="26"/>
          <w:szCs w:val="26"/>
          <w:color w:val="FF0000"/>
          <w:strike w:val="1"/>
          <w:vertAlign w:val="superscript"/>
        </w:rPr>
        <w:t>th</w:t>
      </w:r>
      <w:r>
        <w:rPr>
          <w:rFonts w:ascii="Arial" w:cs="Arial" w:eastAsia="Arial" w:hAnsi="Arial"/>
          <w:sz w:val="16"/>
          <w:szCs w:val="16"/>
          <w:color w:val="FF0000"/>
          <w:strike w:val="1"/>
        </w:rPr>
        <w:t xml:space="preserve">) determined by the Administrative Agent to be the arithmetic average of the London Interbank Offered Rates administered by the ICE Benchmark Administration (or any Person that takes over administration of such rate) for deposits in Dollars for a duration equal to or comparable to the duration of such Interest Period which appear on the relevant Bloomberg page (or such other commercially available source providing quotations of the London Interbank Offered Rates for deposits in Dollars as may be designated by the Administrative Agent from time to time) at or about 11:00 a.m. (London time) on the Quotation Day for such Interest Period; </w:t>
      </w:r>
      <w:r>
        <w:rPr>
          <w:rFonts w:ascii="Arial" w:cs="Arial" w:eastAsia="Arial" w:hAnsi="Arial"/>
          <w:sz w:val="16"/>
          <w:szCs w:val="16"/>
          <w:u w:val="single" w:color="auto"/>
          <w:color w:val="FF0000"/>
          <w:strike w:val="1"/>
        </w:rPr>
        <w:t>provided</w:t>
      </w:r>
      <w:r>
        <w:rPr>
          <w:rFonts w:ascii="Arial" w:cs="Arial" w:eastAsia="Arial" w:hAnsi="Arial"/>
          <w:sz w:val="16"/>
          <w:szCs w:val="16"/>
          <w:color w:val="FF0000"/>
          <w:strike w:val="1"/>
        </w:rPr>
        <w:t xml:space="preserve"> that if such rate is not available at such time for any reason, then the “LIBOR Rate” with respect to such Loan for such period shall be the Interpolated Screen Rate, where applicable. Each calculation by the Administrative Agent of the LIBOR Rate hereunder shall be conclusive and binding on the parties hereto for all purposes, absent clearly manifest error. Notwithstanding the foregoing, for purposes of this Credit Agreement, the LIBOR Rate shall at no time be less than 0.50%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-1134745</wp:posOffset>
            </wp:positionV>
            <wp:extent cx="6311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31190" cy="8255"/>
                    </a:xfrm>
                    <a:prstGeom prst="rect">
                      <a:avLst/>
                    </a:prstGeom>
                    <a:noFill/>
                  </pic:spPr>
                </pic:pic>
              </a:graphicData>
            </a:graphic>
          </wp:anchor>
        </w:drawing>
        <w:drawing>
          <wp:anchor simplePos="0" relativeHeight="251657728" behindDoc="1" locked="0" layoutInCell="0" allowOverlap="1">
            <wp:simplePos x="0" y="0"/>
            <wp:positionH relativeFrom="column">
              <wp:posOffset>906780</wp:posOffset>
            </wp:positionH>
            <wp:positionV relativeFrom="paragraph">
              <wp:posOffset>-363220</wp:posOffset>
            </wp:positionV>
            <wp:extent cx="622681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226810" cy="8890"/>
                    </a:xfrm>
                    <a:prstGeom prst="rect">
                      <a:avLst/>
                    </a:prstGeom>
                    <a:noFill/>
                  </pic:spPr>
                </pic:pic>
              </a:graphicData>
            </a:graphic>
          </wp:anchor>
        </w:drawing>
      </w:r>
    </w:p>
    <w:p>
      <w:pPr>
        <w:spacing w:after="0" w:line="163"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asset, (a) any mortgage, deed of trust, lien, pledge, hypothecation, encumbrance, charge or security interest in, on or of such asset, (b) the interest of a vendor or a lessor under any conditional sale agreement, Finance Lease or title retention agreement relating to such asset, and (c) in the case of securities, any purchase option, call or similar right of a third party with respect to such securities.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5" w:name="page76"/>
    <w:bookmarkEnd w:id="75"/>
    <w:p>
      <w:pPr>
        <w:jc w:val="both"/>
        <w:ind w:right="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the Borrower under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in the form of a Term Loan, a Revolving Loan or a Swingline Loan (including any Incremental Term Loans).</w:t>
      </w:r>
    </w:p>
    <w:p>
      <w:pPr>
        <w:spacing w:after="0" w:line="170"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 Obligations</w:t>
      </w:r>
      <w:r>
        <w:rPr>
          <w:rFonts w:ascii="Arial" w:cs="Arial" w:eastAsia="Arial" w:hAnsi="Arial"/>
          <w:sz w:val="18"/>
          <w:szCs w:val="18"/>
          <w:color w:val="auto"/>
        </w:rPr>
        <w:t>” means the due and punctual payment and performance of all advances to, and debts, liabilities, obligations, covenants and duties of, any Loan Party under or pursuant to each of the Loan Documents or otherwise with respect to any Loan or Letter of Credit and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w:t>
      </w:r>
    </w:p>
    <w:p>
      <w:pPr>
        <w:spacing w:after="0" w:line="19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collectively, this Credit Agreement, the Notes, the Guarantee Agreement, each Incremental Assumption Agreement, each Letter of Credit Application, any agreement creating or perfecting rights in Cash Collateral pursuant to the provisions of </w:t>
      </w:r>
      <w:r>
        <w:rPr>
          <w:rFonts w:ascii="Arial" w:cs="Arial" w:eastAsia="Arial" w:hAnsi="Arial"/>
          <w:sz w:val="18"/>
          <w:szCs w:val="18"/>
          <w:u w:val="single" w:color="auto"/>
          <w:color w:val="auto"/>
        </w:rPr>
        <w:t>Section 2.10</w:t>
      </w:r>
      <w:r>
        <w:rPr>
          <w:rFonts w:ascii="Arial" w:cs="Arial" w:eastAsia="Arial" w:hAnsi="Arial"/>
          <w:sz w:val="18"/>
          <w:szCs w:val="18"/>
          <w:color w:val="auto"/>
        </w:rPr>
        <w:t>, the Fee Letter, the Collateral Documents and each other document entered into in connection herewith.</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(a) the Borrower and (b) the Guarantors.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in Regulation U.</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assigned to such term in the definition of “Swap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Intercompany Note</w:t>
      </w:r>
      <w:r>
        <w:rPr>
          <w:rFonts w:ascii="Arial" w:cs="Arial" w:eastAsia="Arial" w:hAnsi="Arial"/>
          <w:sz w:val="18"/>
          <w:szCs w:val="18"/>
          <w:color w:val="auto"/>
        </w:rPr>
        <w:t xml:space="preserve">” means a promissory note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225"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any event or circumstance that, taken alone or in conjunction with other events or circumstances, has or could be reasonably expected to have a material adverse effect on (a) the business, operations, properties, assets or financial condition of the Borrower and its subsidiaries, taken as a whole, or on the enforceability of any Loan Document, or on the validity, perfection or priority of the liens and security interests of the Administrative Agent on the Collateral securing the Loans and other Obligations taken as a whole; (b) the ability of the Borrower or any Guarantor to perform its obligations under the Loan Documents, including repayment of the amounts due under the Credit Agreement, the other Loan Documents and other indebtedness permitted hereunder; or (c) the rights and remedies of Administrative Agent or the Lenders under the Loan Documents or the ability of the Administrative Agent or the Lenders to enforce or collect the amounts due under the Loan Documents or to realize upon any material portion of the Collateral.</w:t>
      </w:r>
    </w:p>
    <w:p>
      <w:pPr>
        <w:spacing w:after="0" w:line="192"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as of any date, Indebtedness (other than Indebtedness under the Loan Documents) or obligations in respect of one or more Swap Agreements, of any one or more of the Loan Parties or any of their Subsidiaries in an aggregate principal amount exceeding the Threshold Amount. For purposes of determining Material Indebtedness, the “principal amount” of the obligations in respect of any Swap Agreement at any time shall be its Swap Termination Value.</w:t>
      </w:r>
    </w:p>
    <w:p>
      <w:pPr>
        <w:spacing w:after="0" w:line="187"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(a) with respect to the Revolving Facility, the Revolving Maturity Date, (b) with respect to the Term Loans, the Term Maturity Date, and (c) with respect to any Incremental Term Loan, the applicable Incremental Term Loan Maturity Date.</w:t>
      </w:r>
    </w:p>
    <w:p>
      <w:pPr>
        <w:spacing w:after="0" w:line="170"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xml:space="preserve">” means, at any date of determination, the most recently completed four consecutive fiscal quarters of the Borrower ending on or prior to such date for which financial statements have been or are required to be delivered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or, prior to the first such requirement, the four quarter period ended September 30, 2020. A Measurement Period may be designated by reference to the last day thereof (</w:t>
      </w:r>
      <w:r>
        <w:rPr>
          <w:rFonts w:ascii="Arial" w:cs="Arial" w:eastAsia="Arial" w:hAnsi="Arial"/>
          <w:sz w:val="18"/>
          <w:szCs w:val="18"/>
          <w:u w:val="single" w:color="auto"/>
          <w:color w:val="auto"/>
        </w:rPr>
        <w:t>e.g.</w:t>
      </w:r>
      <w:r>
        <w:rPr>
          <w:rFonts w:ascii="Arial" w:cs="Arial" w:eastAsia="Arial" w:hAnsi="Arial"/>
          <w:sz w:val="18"/>
          <w:szCs w:val="18"/>
          <w:color w:val="auto"/>
        </w:rPr>
        <w:t>, the December 31, 2020 Measurement Period refers to the period of four consecutive fiscal quarters of the Borrower ended December 31, 2020), and a Measurement Period shall be deemed to end on the last day thereof.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6" w:name="page77"/>
    <w:bookmarkEnd w:id="76"/>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Collateral Amount</w:t>
      </w:r>
      <w:r>
        <w:rPr>
          <w:rFonts w:ascii="Arial" w:cs="Arial" w:eastAsia="Arial" w:hAnsi="Arial"/>
          <w:sz w:val="16"/>
          <w:szCs w:val="16"/>
          <w:color w:val="auto"/>
        </w:rPr>
        <w:t>” means, with respect to any L/C Obligations at any time, an amount equal to 105% of such L/C Obligations at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MIRE Event</w:t>
      </w:r>
      <w:r>
        <w:rPr>
          <w:rFonts w:ascii="Arial" w:cs="Arial" w:eastAsia="Arial" w:hAnsi="Arial"/>
          <w:sz w:val="18"/>
          <w:szCs w:val="18"/>
          <w:color w:val="auto"/>
        </w:rPr>
        <w:t>” means if there are any Mortgaged Properties at any time, any increase, extension of the maturity or renewal of any of the Commitments or Loans (including any incremental credit facility hereunder, but excluding (i) any continuation or conversion of Borrowings, (ii) the making of any Revolving Loans or (iii) the issuance, renewal or extension of Letters of Credit).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xml:space="preserve">” means each parcel of Owned Real Property, if any, which shall be subject to a Mortgage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as applicable.</w:t>
      </w:r>
    </w:p>
    <w:p>
      <w:pPr>
        <w:spacing w:after="0" w:line="170"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Mortgages</w:t>
      </w:r>
      <w:r>
        <w:rPr>
          <w:rFonts w:ascii="Arial" w:cs="Arial" w:eastAsia="Arial" w:hAnsi="Arial"/>
          <w:sz w:val="18"/>
          <w:szCs w:val="18"/>
          <w:color w:val="auto"/>
        </w:rPr>
        <w:t xml:space="preserve">” means mortgages, deeds of trust, assignments of leases and rents, modifications and other collateral documents delivered pursuant </w:t>
      </w:r>
      <w:r>
        <w:rPr>
          <w:rFonts w:ascii="Arial" w:cs="Arial" w:eastAsia="Arial" w:hAnsi="Arial"/>
          <w:sz w:val="18"/>
          <w:szCs w:val="18"/>
          <w:u w:val="single" w:color="auto"/>
          <w:color w:val="auto"/>
        </w:rPr>
        <w:t>Section 6.12</w:t>
      </w:r>
      <w:r>
        <w:rPr>
          <w:rFonts w:ascii="Arial" w:cs="Arial" w:eastAsia="Arial" w:hAnsi="Arial"/>
          <w:sz w:val="18"/>
          <w:szCs w:val="18"/>
          <w:color w:val="auto"/>
        </w:rPr>
        <w:t>, each in form and substance reasonably satisfactory to the Administrative Agent.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Cash Proceeds</w:t>
      </w:r>
      <w:r>
        <w:rPr>
          <w:rFonts w:ascii="Arial" w:cs="Arial" w:eastAsia="Arial" w:hAnsi="Arial"/>
          <w:sz w:val="17"/>
          <w:szCs w:val="17"/>
          <w:color w:val="auto"/>
        </w:rPr>
        <w:t>” means, with respect to any (a) Disposition or Casualty Event by any Loan Party or any of its Subsidiaries, the cash proceeds (including cash proceeds subsequently received (as and when received) in respect of non-cash consideration initially received and including all insurance settlements and condemnation awards from any single event or series of related events) net of the sum, without duplication, of (i) transaction expenses (including reasonable broker’s fees or commissions, legal fees, accounting fees, investment banking fees and other professional fees, transfer and similar taxes and the Borrower’s good faith estimate of income taxes paid or payable in connection with the receipt of such cash proceeds), (ii) amounts set aside as a reserve, in accordance with GAAP, including pursuant to any escrow arrangement, against any liabilities under any indemnification obligations associated with such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and at the time any such amounts are released from such reserve, such amounts shall constitute Net Cash Proceeds), (iii) in the case of insurance settlements and condemnation awards related to a Casualty Event, amounts previously paid by such Loan Party or such Subsidiary to replace or restore the affected property, and (iv) the principal amount, premium or penalty, if any, interest and other amounts on any Indebtedness for borrowed money which is secured by a Lien on the asset sold in such Disposition which is senior in priority to the Liens securing Secured Obligations and is required to be repaid with such proceeds (other than any such Indebtedness assumed by the purchaser of such asset</w:t>
      </w:r>
      <w:r>
        <w:rPr>
          <w:rFonts w:ascii="Arial" w:cs="Arial" w:eastAsia="Arial" w:hAnsi="Arial"/>
          <w:sz w:val="17"/>
          <w:szCs w:val="17"/>
          <w:b w:val="1"/>
          <w:bCs w:val="1"/>
          <w:color w:val="auto"/>
        </w:rPr>
        <w:t>)</w:t>
      </w:r>
      <w:r>
        <w:rPr>
          <w:rFonts w:ascii="Arial" w:cs="Arial" w:eastAsia="Arial" w:hAnsi="Arial"/>
          <w:sz w:val="17"/>
          <w:szCs w:val="17"/>
          <w:color w:val="auto"/>
        </w:rPr>
        <w:t>, and (b) with respect to any Debt Incurrence, the cash proceeds thereof, net of all taxes and customary fees, commissions, costs and other expenses (including reasonable broker’s fees or commissions, legal fees, accounting fees, investment banking fees and other professional fees, and discounts and commissions) incurred in connection therewith.</w:t>
      </w:r>
    </w:p>
    <w:p>
      <w:pPr>
        <w:spacing w:after="0" w:line="184"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(a) requires the approval of all or all affected Lenders in accordance with the terms of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(b) has been approved by the Required Lenders.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Non-Loan Party Subsidiary</w:t>
      </w:r>
      <w:r>
        <w:rPr>
          <w:rFonts w:ascii="Arial" w:cs="Arial" w:eastAsia="Arial" w:hAnsi="Arial"/>
          <w:sz w:val="18"/>
          <w:szCs w:val="18"/>
          <w:color w:val="auto"/>
        </w:rPr>
        <w:t>” means any Subsidiary of the Borrower that is not a Loan Party.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7" w:name="page78"/>
    <w:bookmarkEnd w:id="77"/>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Nonrenewal Notice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2.4(b)(iii)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collectively, the Revolving Loan Notes, the Term Loan Notes and the Swingline Loan Notes.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 and any successor thereto.</w:t>
      </w:r>
    </w:p>
    <w:p>
      <w:pPr>
        <w:spacing w:after="0" w:line="225" w:lineRule="exact"/>
        <w:rPr>
          <w:sz w:val="20"/>
          <w:szCs w:val="20"/>
          <w:color w:val="auto"/>
        </w:rPr>
      </w:pPr>
    </w:p>
    <w:p>
      <w:pPr>
        <w:jc w:val="both"/>
        <w:ind w:firstLine="45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non-United States jurisdiction), (b) with respect to any limited liability company, the certificate or articles of formation or organization and operating or limited liability company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8"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3.7(b)</w:t>
      </w:r>
      <w:r>
        <w:rPr>
          <w:rFonts w:ascii="Arial" w:cs="Arial" w:eastAsia="Arial" w:hAnsi="Arial"/>
          <w:sz w:val="18"/>
          <w:szCs w:val="18"/>
          <w:color w:val="auto"/>
        </w:rPr>
        <w: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225"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(a) with respect to any Loan on any date, the outstanding principal amount thereof after giving effect to any borrowings and prepayments or repayments thereof (including any refinancing of outstanding Unreimbursed Amounts under Letters of Credit or L/C Borrowings as a Revolving Borrowing) occurring on such date, and (b) with respect to any Letter of Credit, Unreimbursed Amount, L/C Borrowing or L/C Obligations on any date, the outstanding amount thereof on such date after giving effect to any related L/C Credit Extension occurring on such date and any other changes thereto as of such date, including as a result of any reimbursements of outstanding Unreimbursed Amounts under related Letters of Credit (including any refinancing of outstanding Unreimbursed Amounts under related Letters of Credit or related L/C Credit Extensions as a Revolving Borrowing) or any reductions in the maximum amount available for drawing under related Letters of Credit taking effect on such date.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10.4(d)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10.4(d)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Security Agreement</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0000FF"/>
        </w:rPr>
        <w:t>“Payment Recipient” has the meaning assigned to such term in Section 9.13(a).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wp:posOffset>
            </wp:positionV>
            <wp:extent cx="362585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8" w:name="page79"/>
    <w:bookmarkEnd w:id="78"/>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w:t>
      </w:r>
    </w:p>
    <w:p>
      <w:pPr>
        <w:spacing w:after="0" w:line="225"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Pension Plan</w:t>
      </w:r>
      <w:r>
        <w:rPr>
          <w:rFonts w:ascii="Arial" w:cs="Arial" w:eastAsia="Arial" w:hAnsi="Arial"/>
          <w:sz w:val="17"/>
          <w:szCs w:val="17"/>
          <w:color w:val="auto"/>
        </w:rPr>
        <w:t>” means any employee pension benefit plan (other than a Multiemployer Plan) subject to the provisions of Title IV of ERISA or Section 412 or Section 430 of the Code or Section 302 or Section 303 of ERISA, and in respect of which any Loan Party or any ERISA Affiliate is (or, if such plan were terminated, would under Section 4069 of ERISA be deemed to be) an “employer” as defined in Section 3(5) of ERISA.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means a perfection certificate in a form acceptable to the Administrative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Acquisitions</w:t>
      </w:r>
      <w:r>
        <w:rPr>
          <w:rFonts w:ascii="Arial" w:cs="Arial" w:eastAsia="Arial" w:hAnsi="Arial"/>
          <w:sz w:val="18"/>
          <w:szCs w:val="18"/>
          <w:color w:val="auto"/>
        </w:rPr>
        <w:t>” means, collectively, each Acquisition which satisfies each of the following conditions:</w:t>
      </w:r>
    </w:p>
    <w:p>
      <w:pPr>
        <w:spacing w:after="0" w:line="225" w:lineRule="exact"/>
        <w:rPr>
          <w:sz w:val="20"/>
          <w:szCs w:val="20"/>
          <w:color w:val="auto"/>
        </w:rPr>
      </w:pPr>
    </w:p>
    <w:p>
      <w:pPr>
        <w:ind w:left="1460" w:hanging="552"/>
        <w:spacing w:after="0"/>
        <w:tabs>
          <w:tab w:leader="none" w:pos="1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at the time of and immediately before and after giving Pro Forma Effect thereto, no Default shall have occurred and be continuing;</w:t>
      </w:r>
    </w:p>
    <w:p>
      <w:pPr>
        <w:spacing w:after="0" w:line="236" w:lineRule="exact"/>
        <w:rPr>
          <w:rFonts w:ascii="Arial" w:cs="Arial" w:eastAsia="Arial" w:hAnsi="Arial"/>
          <w:sz w:val="17"/>
          <w:szCs w:val="17"/>
          <w:color w:val="auto"/>
        </w:rPr>
      </w:pPr>
    </w:p>
    <w:p>
      <w:pPr>
        <w:ind w:firstLine="908"/>
        <w:spacing w:after="0" w:line="277" w:lineRule="auto"/>
        <w:tabs>
          <w:tab w:leader="none" w:pos="17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such Acquisition shall be consensual and, if applicable, has been approved by the Acquisition target’s board of directors (or comparable governing body);</w:t>
      </w:r>
    </w:p>
    <w:p>
      <w:pPr>
        <w:spacing w:after="0" w:line="170" w:lineRule="exact"/>
        <w:rPr>
          <w:rFonts w:ascii="Arial" w:cs="Arial" w:eastAsia="Arial" w:hAnsi="Arial"/>
          <w:sz w:val="18"/>
          <w:szCs w:val="18"/>
          <w:color w:val="auto"/>
        </w:rPr>
      </w:pPr>
    </w:p>
    <w:p>
      <w:pPr>
        <w:ind w:left="1460" w:hanging="552"/>
        <w:spacing w:after="0"/>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Person, assets or business unit acquired in the Acquisition shall be engaged in an Approved Line of Business;</w:t>
      </w:r>
    </w:p>
    <w:p>
      <w:pPr>
        <w:spacing w:after="0" w:line="225" w:lineRule="exact"/>
        <w:rPr>
          <w:rFonts w:ascii="Arial" w:cs="Arial" w:eastAsia="Arial" w:hAnsi="Arial"/>
          <w:sz w:val="18"/>
          <w:szCs w:val="18"/>
          <w:color w:val="auto"/>
        </w:rPr>
      </w:pPr>
    </w:p>
    <w:p>
      <w:pPr>
        <w:ind w:firstLine="908"/>
        <w:spacing w:after="0" w:line="277" w:lineRule="auto"/>
        <w:tabs>
          <w:tab w:leader="none" w:pos="16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such Acquisition and all transactions related thereto shall be consummated in accordance with material laws, ordinances, rules, regulations and requirements of all Governmental Authorities;</w:t>
      </w:r>
    </w:p>
    <w:p>
      <w:pPr>
        <w:spacing w:after="0" w:line="170" w:lineRule="exact"/>
        <w:rPr>
          <w:rFonts w:ascii="Arial" w:cs="Arial" w:eastAsia="Arial" w:hAnsi="Arial"/>
          <w:sz w:val="18"/>
          <w:szCs w:val="18"/>
          <w:color w:val="auto"/>
        </w:rPr>
      </w:pPr>
    </w:p>
    <w:p>
      <w:pPr>
        <w:jc w:val="both"/>
        <w:ind w:firstLine="908"/>
        <w:spacing w:after="0" w:line="259" w:lineRule="auto"/>
        <w:tabs>
          <w:tab w:leader="none" w:pos="1467"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all actions, if any, required to be taken with respect to such newly created or acquired Subsidiary (including each Subsidiary thereof) or assets in order to satisfy the requirements set forth in the definition of the term “Collateral and Guarantee Requirement” to the extent applicable shall be taken (or arrangements for the taking of such actions reasonably satisfactory to the Administrative Agent shall have been made) within the time frames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908"/>
        <w:spacing w:after="0" w:line="263" w:lineRule="auto"/>
        <w:tabs>
          <w:tab w:leader="none" w:pos="14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to the extent required by the Collateral and Guarantee Requirement, (i) the property, assets, businesses and Equity Interests acquired in such Acquisition shall become Collateral and (ii) any newly created or acquired Subsidiary (other than an Excluded Subsidiary) shall become a Subsidiary Guarantor, in each case in accordance with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908"/>
        <w:spacing w:after="0" w:line="255" w:lineRule="auto"/>
        <w:tabs>
          <w:tab w:leader="none" w:pos="1482"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aggregate cash consideration (excluding any amounts paid for with equity contributions from any direct or indirect equity holder of any Loan Party or any of its Subsidiaries) paid by any Loan Party or any of its Subsidiaries in connection with all such Acquisitions shall not exceed $5,000,000 in the aggregate during the term of the Credit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cash consideration of Acquisitions of (i) Persons that do not become Guarantors as required pursuant to the “Collateral and Guarantee Requirement” or (ii) assets that are not made part of the Collateral as required pursuant to the “Collateral and Guarantee Requirement” that are acquired by the Borrower or a Guarantor, in each case, will be limited in an aggregate amount not to exceed $500,000;</w:t>
      </w:r>
    </w:p>
    <w:p>
      <w:pPr>
        <w:spacing w:after="0" w:line="192" w:lineRule="exact"/>
        <w:rPr>
          <w:rFonts w:ascii="Arial" w:cs="Arial" w:eastAsia="Arial" w:hAnsi="Arial"/>
          <w:sz w:val="18"/>
          <w:szCs w:val="18"/>
          <w:color w:val="auto"/>
        </w:rPr>
      </w:pPr>
    </w:p>
    <w:p>
      <w:pPr>
        <w:jc w:val="both"/>
        <w:ind w:firstLine="908"/>
        <w:spacing w:after="0" w:line="257" w:lineRule="auto"/>
        <w:tabs>
          <w:tab w:leader="none" w:pos="1659"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after giving Pro Forma Effect to such Acquisition and, if applicable, the making of a Credit Extension in connection with such Acquisition, the Consolidated Net Leverage Ratio shall not exceed the lesser of (i) the Consolidated Net Leverage Ratio as of the Closing Date (after giving effect of the initial funding of the Credit Facilities) and (ii) 0.25x lower than the Consolidated Net Leverage Ratio then permitted under </w:t>
      </w:r>
      <w:r>
        <w:rPr>
          <w:rFonts w:ascii="Arial" w:cs="Arial" w:eastAsia="Arial" w:hAnsi="Arial"/>
          <w:sz w:val="18"/>
          <w:szCs w:val="18"/>
          <w:u w:val="single" w:color="auto"/>
          <w:color w:val="auto"/>
        </w:rPr>
        <w:t>Section 7.12(a)</w:t>
      </w:r>
      <w:r>
        <w:rPr>
          <w:rFonts w:ascii="Arial" w:cs="Arial" w:eastAsia="Arial" w:hAnsi="Arial"/>
          <w:sz w:val="18"/>
          <w:szCs w:val="18"/>
          <w:color w:val="auto"/>
        </w:rPr>
        <w:t xml:space="preserve"> of this Credit Agreement for the most recently ended fiscal quarter (or Fiscal Year) for which financial statements were required to be delivered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6.1(b)</w:t>
      </w:r>
      <w:r>
        <w:rPr>
          <w:rFonts w:ascii="Arial" w:cs="Arial" w:eastAsia="Arial" w:hAnsi="Arial"/>
          <w:sz w:val="18"/>
          <w:szCs w:val="18"/>
          <w:color w:val="auto"/>
        </w:rPr>
        <w:t>, as applicable;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9" w:name="page80"/>
    <w:bookmarkEnd w:id="79"/>
    <w:p>
      <w:pPr>
        <w:jc w:val="both"/>
        <w:ind w:firstLine="908"/>
        <w:spacing w:after="0" w:line="286" w:lineRule="auto"/>
        <w:tabs>
          <w:tab w:leader="none" w:pos="1567" w:val="left"/>
        </w:tabs>
        <w:numPr>
          <w:ilvl w:val="1"/>
          <w:numId w:val="46"/>
        </w:numPr>
        <w:rPr>
          <w:rFonts w:ascii="Arial" w:cs="Arial" w:eastAsia="Arial" w:hAnsi="Arial"/>
          <w:sz w:val="16"/>
          <w:szCs w:val="16"/>
          <w:color w:val="auto"/>
        </w:rPr>
      </w:pPr>
      <w:r>
        <w:rPr>
          <w:rFonts w:ascii="Arial" w:cs="Arial" w:eastAsia="Arial" w:hAnsi="Arial"/>
          <w:sz w:val="16"/>
          <w:szCs w:val="16"/>
          <w:color w:val="auto"/>
        </w:rPr>
        <w:t>not later than 10 Business Days (or such shorter period as may be reasonably practicable, if approved by the Administrative Agent) prior to the consummation of any such Acquisition that is not funded solely with equity contributions, except with respect to an Acquisition in which the cash acquisition consideration is less than $2,500,000, the Borrower shall have delivered to the Administrative Agent (i) a description of the proposed Acquisition, (ii) to the extent obtained and available, a quality of earnings report and (iii) to the extent reasonably requested by the Administrative Agent,</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satisfactory environmental assessments and (B) financial statements for the Borrower including the Acquisition target on a Pro Forma Basis;</w:t>
      </w:r>
    </w:p>
    <w:p>
      <w:pPr>
        <w:spacing w:after="0" w:line="222" w:lineRule="exact"/>
        <w:rPr>
          <w:rFonts w:ascii="Arial" w:cs="Arial" w:eastAsia="Arial" w:hAnsi="Arial"/>
          <w:sz w:val="17"/>
          <w:szCs w:val="17"/>
          <w:color w:val="auto"/>
        </w:rPr>
      </w:pPr>
    </w:p>
    <w:p>
      <w:pPr>
        <w:jc w:val="both"/>
        <w:ind w:firstLine="908"/>
        <w:spacing w:after="0" w:line="279" w:lineRule="auto"/>
        <w:tabs>
          <w:tab w:leader="none" w:pos="1551" w:val="left"/>
        </w:tabs>
        <w:numPr>
          <w:ilvl w:val="1"/>
          <w:numId w:val="47"/>
        </w:numPr>
        <w:rPr>
          <w:rFonts w:ascii="Arial" w:cs="Arial" w:eastAsia="Arial" w:hAnsi="Arial"/>
          <w:sz w:val="17"/>
          <w:szCs w:val="17"/>
          <w:color w:val="auto"/>
        </w:rPr>
      </w:pPr>
      <w:r>
        <w:rPr>
          <w:rFonts w:ascii="Arial" w:cs="Arial" w:eastAsia="Arial" w:hAnsi="Arial"/>
          <w:sz w:val="17"/>
          <w:szCs w:val="17"/>
          <w:color w:val="auto"/>
        </w:rPr>
        <w:t>to the extent the cash purchase price of any such Acquisition is not funded solely with equity contributions, the Borrower shall have delivered to the Administrative Agent within five Business Days after the Acquisition, fully executed copies of the acquisition agreements for such Acquisition together with all schedules thereto, and, to the extent required to be obtained under the terms of the acquisition agreements for such Acquisition, the applicable party under such acquisition agreements shall have received all required regulatory and third party approvals; and</w:t>
      </w:r>
    </w:p>
    <w:p>
      <w:pPr>
        <w:spacing w:after="0" w:line="171" w:lineRule="exact"/>
        <w:rPr>
          <w:rFonts w:ascii="Arial" w:cs="Arial" w:eastAsia="Arial" w:hAnsi="Arial"/>
          <w:sz w:val="17"/>
          <w:szCs w:val="17"/>
          <w:color w:val="auto"/>
        </w:rPr>
      </w:pPr>
    </w:p>
    <w:p>
      <w:pPr>
        <w:ind w:left="1480" w:hanging="572"/>
        <w:spacing w:after="0"/>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unused availability under the Revolving Facility shall be least $2,500,000 after giving Pro Forma Effect to the Acquisition.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ind w:firstLine="908"/>
        <w:spacing w:after="0" w:line="277" w:lineRule="auto"/>
        <w:tabs>
          <w:tab w:leader="none" w:pos="14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Liens imposed by law for taxes, assessments or other governmental charges that are not yet due or are being Contested in Good Faith,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enforcement of such Liens is stayed pending such contest;</w:t>
      </w:r>
    </w:p>
    <w:p>
      <w:pPr>
        <w:spacing w:after="0" w:line="170" w:lineRule="exact"/>
        <w:rPr>
          <w:rFonts w:ascii="Arial" w:cs="Arial" w:eastAsia="Arial" w:hAnsi="Arial"/>
          <w:sz w:val="18"/>
          <w:szCs w:val="18"/>
          <w:color w:val="auto"/>
        </w:rPr>
      </w:pPr>
    </w:p>
    <w:p>
      <w:pPr>
        <w:jc w:val="both"/>
        <w:ind w:right="20" w:firstLine="908"/>
        <w:spacing w:after="0" w:line="263" w:lineRule="auto"/>
        <w:tabs>
          <w:tab w:leader="none" w:pos="15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landlords’, vendors’, carriers’, warehousemen’s, mechanics’, materialmen’s, repairmen’s and other like Liens imposed by law, arising in the ordinary course of business and securing obligations that are not overdue by more than 30 days or are being Contested in Good Faith,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enforcement of such Liens is stayed pending such contest;</w:t>
      </w:r>
    </w:p>
    <w:p>
      <w:pPr>
        <w:spacing w:after="0" w:line="183" w:lineRule="exact"/>
        <w:rPr>
          <w:rFonts w:ascii="Arial" w:cs="Arial" w:eastAsia="Arial" w:hAnsi="Arial"/>
          <w:sz w:val="18"/>
          <w:szCs w:val="18"/>
          <w:color w:val="auto"/>
        </w:rPr>
      </w:pPr>
    </w:p>
    <w:p>
      <w:pPr>
        <w:ind w:firstLine="908"/>
        <w:spacing w:after="0" w:line="277" w:lineRule="auto"/>
        <w:tabs>
          <w:tab w:leader="none" w:pos="1464" w:val="left"/>
        </w:tabs>
        <w:numPr>
          <w:ilvl w:val="0"/>
          <w:numId w:val="48"/>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and other social security laws or regulations;</w:t>
      </w:r>
    </w:p>
    <w:p>
      <w:pPr>
        <w:spacing w:after="0" w:line="170" w:lineRule="exact"/>
        <w:rPr>
          <w:rFonts w:ascii="Arial" w:cs="Arial" w:eastAsia="Arial" w:hAnsi="Arial"/>
          <w:sz w:val="18"/>
          <w:szCs w:val="18"/>
          <w:color w:val="auto"/>
        </w:rPr>
      </w:pPr>
    </w:p>
    <w:p>
      <w:pPr>
        <w:jc w:val="both"/>
        <w:ind w:firstLine="908"/>
        <w:spacing w:after="0" w:line="263" w:lineRule="auto"/>
        <w:tabs>
          <w:tab w:leader="none" w:pos="1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(other than contracts for the payment of money), leases (other than Finance Lease Obligations), statutory obligations, surety and appeal bonds, performance bonds and other obligations of a like nature, in each case incurred in the ordinary course of business;</w:t>
      </w:r>
    </w:p>
    <w:p>
      <w:pPr>
        <w:spacing w:after="0" w:line="183" w:lineRule="exact"/>
        <w:rPr>
          <w:rFonts w:ascii="Arial" w:cs="Arial" w:eastAsia="Arial" w:hAnsi="Arial"/>
          <w:sz w:val="18"/>
          <w:szCs w:val="18"/>
          <w:color w:val="auto"/>
        </w:rPr>
      </w:pPr>
    </w:p>
    <w:p>
      <w:pPr>
        <w:ind w:left="1460" w:hanging="552"/>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judgment liens in respect of judgments that do not constitute an Event of Default under </w:t>
      </w:r>
      <w:r>
        <w:rPr>
          <w:rFonts w:ascii="Arial" w:cs="Arial" w:eastAsia="Arial" w:hAnsi="Arial"/>
          <w:sz w:val="18"/>
          <w:szCs w:val="18"/>
          <w:u w:val="single" w:color="auto"/>
          <w:color w:val="auto"/>
        </w:rPr>
        <w:t>Section 8.1(k)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08"/>
        <w:spacing w:after="0" w:line="263" w:lineRule="auto"/>
        <w:tabs>
          <w:tab w:leader="none" w:pos="15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easements, zoning restrictions, rights of way and similar encumbrances on real property imposed by law or arising in the ordinary course of business that do not secure any monetary obligation and do not materially detract from the value of the affected property or interfere with the ordinary conduct of business of the Loan Parties and their respective Subsidiaries;</w:t>
      </w:r>
    </w:p>
    <w:p>
      <w:pPr>
        <w:spacing w:after="0" w:line="183" w:lineRule="exact"/>
        <w:rPr>
          <w:rFonts w:ascii="Arial" w:cs="Arial" w:eastAsia="Arial" w:hAnsi="Arial"/>
          <w:sz w:val="18"/>
          <w:szCs w:val="18"/>
          <w:color w:val="auto"/>
        </w:rPr>
      </w:pPr>
    </w:p>
    <w:p>
      <w:pPr>
        <w:jc w:val="both"/>
        <w:ind w:firstLine="908"/>
        <w:spacing w:after="0" w:line="263" w:lineRule="auto"/>
        <w:tabs>
          <w:tab w:leader="none" w:pos="14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any interest or title of a licensor, sublicensor, lessor or sublessor with respect to any assets under any license or lease agreement entered into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same do not in any material respect interfere with the business of the Loan Parties or their Subsidiaries or materially detract from the value of the relevant assets of the Loan Parties or its Subsidiaries;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0" w:name="page81"/>
    <w:bookmarkEnd w:id="80"/>
    <w:p>
      <w:pPr>
        <w:jc w:val="both"/>
        <w:ind w:firstLine="908"/>
        <w:spacing w:after="0" w:line="263" w:lineRule="auto"/>
        <w:tabs>
          <w:tab w:leader="none" w:pos="14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licenses, sublicenses, leases or subleases with respect to any assets granted to third Persons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same do not in any material respect interfere with the business of the Loan Parties or their Subsidiaries or materially detract from the value of the relevant assets of the Loan Parties or their Subsidiaries;</w:t>
      </w:r>
    </w:p>
    <w:p>
      <w:pPr>
        <w:spacing w:after="0" w:line="183" w:lineRule="exact"/>
        <w:rPr>
          <w:rFonts w:ascii="Arial" w:cs="Arial" w:eastAsia="Arial" w:hAnsi="Arial"/>
          <w:sz w:val="18"/>
          <w:szCs w:val="18"/>
          <w:color w:val="auto"/>
        </w:rPr>
      </w:pPr>
    </w:p>
    <w:p>
      <w:pPr>
        <w:jc w:val="both"/>
        <w:ind w:firstLine="908"/>
        <w:spacing w:after="0" w:line="263" w:lineRule="auto"/>
        <w:tabs>
          <w:tab w:leader="none" w:pos="1641"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customary rights of set off, bankers’ liens, refunds or charge backs, under deposit agreements, the Uniform Commercial Code or common law, of banks or other financial institutions where any Loan Party or any of such Loan Party’s Subsidiaries maintains deposits (other than deposits intended as cash collateral) in the ordinary course of business;</w:t>
      </w:r>
    </w:p>
    <w:p>
      <w:pPr>
        <w:spacing w:after="0" w:line="183" w:lineRule="exact"/>
        <w:rPr>
          <w:rFonts w:ascii="Arial" w:cs="Arial" w:eastAsia="Arial" w:hAnsi="Arial"/>
          <w:sz w:val="18"/>
          <w:szCs w:val="18"/>
          <w:color w:val="auto"/>
        </w:rPr>
      </w:pPr>
    </w:p>
    <w:p>
      <w:pPr>
        <w:ind w:left="1480" w:hanging="572"/>
        <w:spacing w:after="0"/>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on Margin Stock to the extent that a prohibition on such Liens would violate Regulation U;</w:t>
      </w:r>
    </w:p>
    <w:p>
      <w:pPr>
        <w:spacing w:after="0" w:line="225" w:lineRule="exact"/>
        <w:rPr>
          <w:rFonts w:ascii="Arial" w:cs="Arial" w:eastAsia="Arial" w:hAnsi="Arial"/>
          <w:sz w:val="18"/>
          <w:szCs w:val="18"/>
          <w:color w:val="auto"/>
        </w:rPr>
      </w:pPr>
    </w:p>
    <w:p>
      <w:pPr>
        <w:jc w:val="both"/>
        <w:ind w:firstLine="908"/>
        <w:spacing w:after="0" w:line="259" w:lineRule="auto"/>
        <w:tabs>
          <w:tab w:leader="none" w:pos="1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(i) on earnest money deposits made in cash by the Borrower or any of its Subsidiaries in connection with any letter of intent or purchase agreement in connection with a Permitted Acquisition or other Investment permitted under this Credit Agreement or (ii) on amounts deposited as “security deposits” (or their equivalent) in the ordinary course of business in connection with actions or transactions not prohibited by this Credit Agreement;</w:t>
      </w:r>
    </w:p>
    <w:p>
      <w:pPr>
        <w:spacing w:after="0" w:line="186" w:lineRule="exact"/>
        <w:rPr>
          <w:rFonts w:ascii="Arial" w:cs="Arial" w:eastAsia="Arial" w:hAnsi="Arial"/>
          <w:sz w:val="18"/>
          <w:szCs w:val="18"/>
          <w:color w:val="auto"/>
        </w:rPr>
      </w:pPr>
    </w:p>
    <w:p>
      <w:pPr>
        <w:ind w:firstLine="908"/>
        <w:spacing w:after="0" w:line="277" w:lineRule="auto"/>
        <w:tabs>
          <w:tab w:leader="none" w:pos="1562"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in the ordinary course of business as a matter of law to secure payment of customs duties in connection with the importation of goods;</w:t>
      </w:r>
    </w:p>
    <w:p>
      <w:pPr>
        <w:spacing w:after="0" w:line="170" w:lineRule="exact"/>
        <w:rPr>
          <w:rFonts w:ascii="Arial" w:cs="Arial" w:eastAsia="Arial" w:hAnsi="Arial"/>
          <w:sz w:val="18"/>
          <w:szCs w:val="18"/>
          <w:color w:val="auto"/>
        </w:rPr>
      </w:pPr>
    </w:p>
    <w:p>
      <w:pPr>
        <w:ind w:left="1480" w:hanging="572"/>
        <w:spacing w:after="0"/>
        <w:tabs>
          <w:tab w:leader="none" w:pos="1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Liens resulting from the filing of precautionary UCC-1 financing statements (or equivalent) with respect to operating leases;</w:t>
      </w:r>
    </w:p>
    <w:p>
      <w:pPr>
        <w:spacing w:after="0" w:line="236" w:lineRule="exact"/>
        <w:rPr>
          <w:rFonts w:ascii="Arial" w:cs="Arial" w:eastAsia="Arial" w:hAnsi="Arial"/>
          <w:sz w:val="17"/>
          <w:szCs w:val="17"/>
          <w:color w:val="auto"/>
        </w:rPr>
      </w:pPr>
    </w:p>
    <w:p>
      <w:pPr>
        <w:ind w:firstLine="908"/>
        <w:spacing w:after="0" w:line="277" w:lineRule="auto"/>
        <w:tabs>
          <w:tab w:leader="none" w:pos="14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any Loan Party or any of its Subsidiaries in the ordinary course of business; and</w:t>
      </w:r>
    </w:p>
    <w:p>
      <w:pPr>
        <w:spacing w:after="0" w:line="170" w:lineRule="exact"/>
        <w:rPr>
          <w:rFonts w:ascii="Arial" w:cs="Arial" w:eastAsia="Arial" w:hAnsi="Arial"/>
          <w:sz w:val="18"/>
          <w:szCs w:val="18"/>
          <w:color w:val="auto"/>
        </w:rPr>
      </w:pPr>
    </w:p>
    <w:p>
      <w:pPr>
        <w:ind w:firstLine="908"/>
        <w:spacing w:after="0" w:line="342" w:lineRule="auto"/>
        <w:tabs>
          <w:tab w:leader="none" w:pos="1473" w:val="left"/>
        </w:tabs>
        <w:numPr>
          <w:ilvl w:val="0"/>
          <w:numId w:val="49"/>
        </w:numPr>
        <w:rPr>
          <w:rFonts w:ascii="Arial" w:cs="Arial" w:eastAsia="Arial" w:hAnsi="Arial"/>
          <w:sz w:val="16"/>
          <w:szCs w:val="16"/>
          <w:color w:val="auto"/>
        </w:rPr>
      </w:pPr>
      <w:r>
        <w:rPr>
          <w:rFonts w:ascii="Arial" w:cs="Arial" w:eastAsia="Arial" w:hAnsi="Arial"/>
          <w:sz w:val="16"/>
          <w:szCs w:val="16"/>
          <w:color w:val="auto"/>
        </w:rPr>
        <w:t>Liens incurred in the ordinary course of business imposed by law in connection with the purchase or shipping of goods or assets (or the related assets and proceeds thereof), which Liens are in favor of the seller or shipper of such goods or assets and only attach to such goods or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 shall not include any Lien securing Indebtedness.</w:t>
      </w:r>
    </w:p>
    <w:p>
      <w:pPr>
        <w:spacing w:after="0" w:line="225"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means DebtX, Debt Domain, Intralinks, Syndtrak or a substantially similar electronic transmission system.</w:t>
      </w:r>
    </w:p>
    <w:p>
      <w:pPr>
        <w:spacing w:after="0" w:line="225"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a rate per annum equal to the prime rate of interest announced from time to time by Citizens Bank or its parent company (which is not necessarily the lowest rate charged to any customer), changing when and as said prime rate changes.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Balance Sheet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5.5(b)</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1" w:name="page82"/>
    <w:bookmarkEnd w:id="81"/>
    <w:p>
      <w:pPr>
        <w:jc w:val="both"/>
        <w:ind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means, with respect to any transaction, that such transaction shall be deemed to have occurred as of the first day of the four-quarter period (or twelve month period, as applicable) ending as of the most recent quarter end (or month end, as applicable) preceding the date of such transaction for which financial statement information is available. Each of the terms “</w:t>
      </w:r>
      <w:r>
        <w:rPr>
          <w:rFonts w:ascii="Arial" w:cs="Arial" w:eastAsia="Arial" w:hAnsi="Arial"/>
          <w:sz w:val="18"/>
          <w:szCs w:val="18"/>
          <w:b w:val="1"/>
          <w:bCs w:val="1"/>
          <w:i w:val="1"/>
          <w:iCs w:val="1"/>
          <w:u w:val="single" w:color="auto"/>
          <w:color w:val="auto"/>
        </w:rPr>
        <w:t>Pro Forma Compliance</w:t>
      </w:r>
      <w:r>
        <w:rPr>
          <w:rFonts w:ascii="Arial" w:cs="Arial" w:eastAsia="Arial" w:hAnsi="Arial"/>
          <w:sz w:val="18"/>
          <w:szCs w:val="18"/>
          <w:color w:val="auto"/>
        </w:rPr>
        <w:t>” and “</w:t>
      </w:r>
      <w:r>
        <w:rPr>
          <w:rFonts w:ascii="Arial" w:cs="Arial" w:eastAsia="Arial" w:hAnsi="Arial"/>
          <w:sz w:val="18"/>
          <w:szCs w:val="18"/>
          <w:b w:val="1"/>
          <w:bCs w:val="1"/>
          <w:i w:val="1"/>
          <w:iCs w:val="1"/>
          <w:u w:val="single" w:color="auto"/>
          <w:color w:val="auto"/>
        </w:rPr>
        <w:t>Pro Forma Effect</w:t>
      </w:r>
      <w:r>
        <w:rPr>
          <w:rFonts w:ascii="Arial" w:cs="Arial" w:eastAsia="Arial" w:hAnsi="Arial"/>
          <w:sz w:val="18"/>
          <w:szCs w:val="18"/>
          <w:color w:val="auto"/>
        </w:rPr>
        <w:t>” shall have an analogous meaning.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Financial Statements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5.5(b)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10.1(d)(i)</w:t>
      </w:r>
      <w:r>
        <w:rPr>
          <w:rFonts w:ascii="Arial" w:cs="Arial" w:eastAsia="Arial" w:hAnsi="Arial"/>
          <w:sz w:val="18"/>
          <w:szCs w:val="18"/>
          <w:color w:val="auto"/>
        </w:rPr>
        <w:t>.</w:t>
      </w:r>
    </w:p>
    <w:p>
      <w:pPr>
        <w:spacing w:after="0" w:line="225"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with respect to the Equity Interests of any Person, any Equity Interests other than Disqualified Equity Interests of such Person.</w:t>
      </w:r>
    </w:p>
    <w:p>
      <w:pPr>
        <w:spacing w:after="0" w:line="170"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u w:val="single" w:color="auto"/>
          <w:color w:val="FF0000"/>
        </w:rPr>
        <w:t>“Quotation Day</w:t>
      </w:r>
      <w:r>
        <w:rPr>
          <w:rFonts w:ascii="Arial" w:cs="Arial" w:eastAsia="Arial" w:hAnsi="Arial"/>
          <w:sz w:val="18"/>
          <w:szCs w:val="18"/>
          <w:color w:val="FF0000"/>
        </w:rPr>
        <w:t xml:space="preserve">” </w:t>
      </w:r>
      <w:r>
        <w:rPr>
          <w:rFonts w:ascii="Arial" w:cs="Arial" w:eastAsia="Arial" w:hAnsi="Arial"/>
          <w:sz w:val="18"/>
          <w:szCs w:val="18"/>
          <w:color w:val="FF0000"/>
          <w:strike w:val="1"/>
        </w:rPr>
        <w:t>means, with respect to any LIBOR Borrowing and any Interest Period, the day that is two Business Days prior to the first day of</w:t>
      </w:r>
      <w:r>
        <w:rPr>
          <w:rFonts w:ascii="Arial" w:cs="Arial" w:eastAsia="Arial" w:hAnsi="Arial"/>
          <w:sz w:val="18"/>
          <w:szCs w:val="18"/>
          <w:color w:val="FF0000"/>
        </w:rPr>
        <w:t xml:space="preserve"> </w:t>
      </w:r>
      <w:r>
        <w:rPr>
          <w:rFonts w:ascii="Arial" w:cs="Arial" w:eastAsia="Arial" w:hAnsi="Arial"/>
          <w:sz w:val="18"/>
          <w:szCs w:val="18"/>
          <w:color w:val="FF0000"/>
          <w:strike w:val="1"/>
        </w:rPr>
        <w:t>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-233680</wp:posOffset>
            </wp:positionV>
            <wp:extent cx="72644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440" cy="8890"/>
                    </a:xfrm>
                    <a:prstGeom prst="rect">
                      <a:avLst/>
                    </a:prstGeom>
                    <a:noFill/>
                  </pic:spPr>
                </pic:pic>
              </a:graphicData>
            </a:graphic>
          </wp:anchor>
        </w:drawing>
      </w:r>
    </w:p>
    <w:p>
      <w:pPr>
        <w:spacing w:after="0" w:line="150"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Real Property</w:t>
      </w:r>
      <w:r>
        <w:rPr>
          <w:rFonts w:ascii="Arial" w:cs="Arial" w:eastAsia="Arial" w:hAnsi="Arial"/>
          <w:sz w:val="17"/>
          <w:szCs w:val="17"/>
          <w:color w:val="auto"/>
        </w:rPr>
        <w:t>” means, collectively, all right, title and interest in and to any and all parcels of or interests in real property owned or leased by any Person, together with, in each case, all easements, hereditaments and appurtenances relating thereto, all improvements and appurtenant fixtures and equipment, all general intangibles and contract rights and other property and rights incidental to the ownership thereof.</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or the L/C Issuer, as applicable.</w:t>
      </w:r>
    </w:p>
    <w:p>
      <w:pPr>
        <w:spacing w:after="0" w:line="225" w:lineRule="exact"/>
        <w:rPr>
          <w:sz w:val="20"/>
          <w:szCs w:val="20"/>
          <w:color w:val="auto"/>
        </w:rPr>
      </w:pPr>
    </w:p>
    <w:p>
      <w:pPr>
        <w:jc w:val="both"/>
        <w:ind w:firstLine="45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Indebtedness</w:t>
      </w:r>
      <w:r>
        <w:rPr>
          <w:rFonts w:ascii="Arial" w:cs="Arial" w:eastAsia="Arial" w:hAnsi="Arial"/>
          <w:sz w:val="16"/>
          <w:szCs w:val="16"/>
          <w:color w:val="auto"/>
        </w:rPr>
        <w:t>” means Indebtedness of any Loan Party or its Subsidiaries arising after the Closing Date issued in exchange for, or the proceeds of which are used to extend, refinance, refund, replace, renew, continue or substitute for other Indebtedness (such extended, refinanced, refunded, replaced, renewed, continued or substituted Indebtedness, the “</w:t>
      </w:r>
      <w:r>
        <w:rPr>
          <w:rFonts w:ascii="Arial" w:cs="Arial" w:eastAsia="Arial" w:hAnsi="Arial"/>
          <w:sz w:val="16"/>
          <w:szCs w:val="16"/>
          <w:u w:val="single" w:color="auto"/>
          <w:color w:val="auto"/>
        </w:rPr>
        <w:t>Refinanced Obligations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of such Refinancing Indebtedness shall not exceed the principal amount of the Refinanced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interest capitalized in connection with such Refinanced Obligations, the amount of prepayment premium, if any, original issue discount, if any, and reasonable fees, costs, and expenses incurred in connection therewith), (b) such Refinancing Indebtedness shall have a final maturity that is no earlier than the final maturity date of such Refinanced Obligations, (c) such Refinancing Indebtedness shall have a Weighted Average Life to Maturity not less than the weighted average life to maturity of the Refinanced Obligations, (d) such Refinancing Indebtedness shall rank in right of payment no more senior than, and be subordinated (if subordinated) to the Secured Obligations on terms, taken as a whole, not materially less favorable to the Secured Parties than the Refinanced Obligations, (e) as of the date of incurring such Refinancing Indebtedness and after giving effect thereto, no Default shall exist or have occurred and be continuing, (f) if the Refinanced Obligations or any Guarantees thereof are unsecured, such Refinancing Indebtedness and any Guarantees thereof shall be unsecured, (g) if the Refinanced Obligations or any Guarantees thereof are secured, (1) such Refinancing Indebtedness and any Guarantees thereof shall be secured by substantially the same or less collateral, taken as a whole, as secured such Refinanced Obligations or any Guarantees thereof, on terms, taken as a whole, not materially less favorable to the Secured Parties and (2) the Liens to secure such Refinancing Indebtedness shall not have a priority, taken as a whole, more senior than the Liens securing the Refinanced Obligations and if subordinated to any other Liens on such property, shall be subordinated, taken as a whole, to the Administrative Agent’s Liens on terms and conditions, taken as a whole, not materially less favorable to the Secured Parties, (h) the obligors in respect of the Refinanced Obligations immediately prior to such refinancing, refunding, extending, renewing, continuing, substituting or replacing thereof shall be the only obligors on such Refinancing Indebtedness, and (i) the terms and conditions (excluding as to pricing, premiums and optional prepayment or redemption provisions) of any such Refinancing Indebtedness, taken as a whole, are not materially less favorable to the Loan Parties than the terms and conditions of the Refinanced Obligations.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2" w:name="page83"/>
    <w:bookmarkEnd w:id="82"/>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10.4(c)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FF0000"/>
        </w:rPr>
        <w:t>“Regulation D</w:t>
      </w:r>
      <w:r>
        <w:rPr>
          <w:rFonts w:ascii="Arial" w:cs="Arial" w:eastAsia="Arial" w:hAnsi="Arial"/>
          <w:sz w:val="18"/>
          <w:szCs w:val="18"/>
          <w:color w:val="FF0000"/>
        </w:rPr>
        <w:t xml:space="preserve">” </w:t>
      </w:r>
      <w:r>
        <w:rPr>
          <w:rFonts w:ascii="Arial" w:cs="Arial" w:eastAsia="Arial" w:hAnsi="Arial"/>
          <w:sz w:val="18"/>
          <w:szCs w:val="18"/>
          <w:color w:val="FF0000"/>
          <w:strike w:val="1"/>
        </w:rPr>
        <w:t>means Regulation D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-61595</wp:posOffset>
            </wp:positionV>
            <wp:extent cx="66294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62940" cy="8255"/>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 U or X</w:t>
      </w:r>
      <w:r>
        <w:rPr>
          <w:rFonts w:ascii="Arial" w:cs="Arial" w:eastAsia="Arial" w:hAnsi="Arial"/>
          <w:sz w:val="18"/>
          <w:szCs w:val="18"/>
          <w:color w:val="auto"/>
        </w:rPr>
        <w:t xml:space="preserve">” means Regulation T, U or X, respectively, of the </w:t>
      </w:r>
      <w:r>
        <w:rPr>
          <w:rFonts w:ascii="Arial" w:cs="Arial" w:eastAsia="Arial" w:hAnsi="Arial"/>
          <w:sz w:val="18"/>
          <w:szCs w:val="18"/>
          <w:u w:val="single" w:color="auto"/>
          <w:color w:val="0000FF"/>
        </w:rPr>
        <w:t>Federal Reserve</w:t>
      </w:r>
      <w:r>
        <w:rPr>
          <w:rFonts w:ascii="Arial" w:cs="Arial" w:eastAsia="Arial" w:hAnsi="Arial"/>
          <w:sz w:val="18"/>
          <w:szCs w:val="18"/>
          <w:color w:val="auto"/>
        </w:rPr>
        <w:t xml:space="preserv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6350</wp:posOffset>
            </wp:positionV>
            <wp:extent cx="7715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5" w:lineRule="exact"/>
        <w:rPr>
          <w:sz w:val="20"/>
          <w:szCs w:val="20"/>
          <w:color w:val="auto"/>
        </w:rPr>
      </w:pPr>
    </w:p>
    <w:p>
      <w:pPr>
        <w:jc w:val="both"/>
        <w:ind w:firstLine="45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means, with respect to any Person, such Person’s Affiliates and the partners, members, directors, officers, employees, agents, trustees, administrators, managers, advisors, attorneys-in-fact and representatives of such Person and of such Person’s Affiliates.</w:t>
      </w:r>
    </w:p>
    <w:p>
      <w:pPr>
        <w:spacing w:after="0" w:line="146"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actual or threatened releasing, spilling, leaking, pumping, pouring, leaching, seeping, emitting, migration, emptying, discharging, injecting, escaping, depositing, disposing, or dumping of Hazardous Materials into the indoor or outdoor environment, including the movement of any Hazardous Material through the air, soil, surface water, groundwater or property and any other conditions resulting in potential or actual human exposure to Hazardous Materials within a structure.</w:t>
      </w:r>
    </w:p>
    <w:p>
      <w:pPr>
        <w:spacing w:after="0" w:line="187"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xml:space="preserve">” means the Federal Reserve Board </w:t>
      </w:r>
      <w:r>
        <w:rPr>
          <w:rFonts w:ascii="Arial" w:cs="Arial" w:eastAsia="Arial" w:hAnsi="Arial"/>
          <w:sz w:val="18"/>
          <w:szCs w:val="18"/>
          <w:color w:val="FF0000"/>
          <w:strike w:val="1"/>
        </w:rPr>
        <w:t>and/</w:t>
      </w:r>
      <w:r>
        <w:rPr>
          <w:rFonts w:ascii="Arial" w:cs="Arial" w:eastAsia="Arial" w:hAnsi="Arial"/>
          <w:sz w:val="18"/>
          <w:szCs w:val="18"/>
          <w:color w:val="auto"/>
        </w:rPr>
        <w:t xml:space="preserve">or the Federal Reserve Bank of New York, or a committee officially endorsed or convened by the Federal Reserve Board and/or the Federal Reserve Bank of New York </w:t>
      </w:r>
      <w:r>
        <w:rPr>
          <w:rFonts w:ascii="Arial" w:cs="Arial" w:eastAsia="Arial" w:hAnsi="Arial"/>
          <w:sz w:val="18"/>
          <w:szCs w:val="18"/>
          <w:color w:val="FF0000"/>
        </w:rPr>
        <w:t>or any successor thereto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-96520</wp:posOffset>
            </wp:positionV>
            <wp:extent cx="112966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129665" cy="8890"/>
                    </a:xfrm>
                    <a:prstGeom prst="rect">
                      <a:avLst/>
                    </a:prstGeom>
                    <a:noFill/>
                  </pic:spPr>
                </pic:pic>
              </a:graphicData>
            </a:graphic>
          </wp:anchor>
        </w:drawing>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9.6(b)</w:t>
      </w:r>
      <w:r>
        <w:rPr>
          <w:rFonts w:ascii="Arial" w:cs="Arial" w:eastAsia="Arial" w:hAnsi="Arial"/>
          <w:sz w:val="18"/>
          <w:szCs w:val="18"/>
          <w:color w:val="auto"/>
        </w:rPr>
        <w:t>.</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Loans (other than Swingline Loans), a Committed Loan Notice, (b) with respect to a L/C Credit Extension, a Letter of Credit Application, and (c) with respect to a Swingline Loan, a Swingline Loan Notice.</w:t>
      </w:r>
    </w:p>
    <w:p>
      <w:pPr>
        <w:spacing w:after="0" w:line="184" w:lineRule="exact"/>
        <w:rPr>
          <w:sz w:val="20"/>
          <w:szCs w:val="20"/>
          <w:color w:val="auto"/>
        </w:rPr>
      </w:pPr>
    </w:p>
    <w:p>
      <w:pPr>
        <w:jc w:val="both"/>
        <w:ind w:firstLine="45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at any time, two or more unaffiliated Lenders having Total Credit Exposures representing more than 50% of the Total Credit Exposures of all Lenders. The Total Credit Exposure of any Defaulting Lender shall be disregarded in determining Required Lenders at any time.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9.6(a)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0000FF"/>
        </w:rPr>
        <w:t>“Resolution Authority” means an EEA Resolution Authority or, with respect to any UK Financial Institution, a UK 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wp:posOffset>
            </wp:positionV>
            <wp:extent cx="62750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20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vice president, chief financial officer, treasurer, assistant treasurer, or other similar officer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7" w:lineRule="exact"/>
        <w:rPr>
          <w:sz w:val="20"/>
          <w:szCs w:val="20"/>
          <w:color w:val="auto"/>
        </w:rPr>
      </w:pPr>
    </w:p>
    <w:p>
      <w:pPr>
        <w:jc w:val="both"/>
        <w:ind w:firstLine="450"/>
        <w:spacing w:after="0" w:line="219"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as to any Person, (a) any dividend or other distribution by such Person (whether in cash, securities or other property) with respect to any Equity Interests of such Person, (b) any payment (whether in cash, securities or other property), including any sinking fund or similar deposit, on account of the purchase, redemption, retirement, defeasance, acquisition, cancellation or termination of any such Equity Interest, or on account of any return of capital to the holders of Equity Interests of such Person, (c) the acquisition for value by such Person of any Equity Interests issued by such Person or any other Person that Controls such Person, (d) any payment with respect to any Earn</w:t>
      </w:r>
      <w:r>
        <w:rPr>
          <w:rFonts w:ascii="MS PGothic" w:cs="MS PGothic" w:eastAsia="MS PGothic" w:hAnsi="MS PGothic"/>
          <w:sz w:val="18"/>
          <w:szCs w:val="18"/>
          <w:color w:val="auto"/>
        </w:rPr>
        <w:t>‑</w:t>
      </w:r>
      <w:r>
        <w:rPr>
          <w:rFonts w:ascii="Arial" w:cs="Arial" w:eastAsia="Arial" w:hAnsi="Arial"/>
          <w:sz w:val="18"/>
          <w:szCs w:val="18"/>
          <w:color w:val="auto"/>
        </w:rPr>
        <w:t>out Obligation, and (e) with respect to clauses (a) through (d) any transaction that has a substantially similar effect.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3" w:name="page84"/>
    <w:bookmarkEnd w:id="83"/>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Borrowing</w:t>
      </w:r>
      <w:r>
        <w:rPr>
          <w:rFonts w:ascii="Arial" w:cs="Arial" w:eastAsia="Arial" w:hAnsi="Arial"/>
          <w:sz w:val="18"/>
          <w:szCs w:val="18"/>
          <w:color w:val="auto"/>
        </w:rPr>
        <w:t xml:space="preserve">” means a Borrowing consisting of Revolving Loans of the same Type made, converted or continued on the same date and, in the case of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as to which a single Interest Period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-27940</wp:posOffset>
            </wp:positionV>
            <wp:extent cx="29146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50" w:lineRule="exact"/>
        <w:rPr>
          <w:sz w:val="20"/>
          <w:szCs w:val="20"/>
          <w:color w:val="auto"/>
        </w:rPr>
      </w:pPr>
    </w:p>
    <w:p>
      <w:pPr>
        <w:jc w:val="both"/>
        <w:ind w:firstLine="45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Commitment</w:t>
      </w:r>
      <w:r>
        <w:rPr>
          <w:rFonts w:ascii="Arial" w:cs="Arial" w:eastAsia="Arial" w:hAnsi="Arial"/>
          <w:sz w:val="17"/>
          <w:szCs w:val="17"/>
          <w:color w:val="auto"/>
        </w:rPr>
        <w:t xml:space="preserve">” means, with respect to each Revolving Lender, the commitment hereunder of such Revolving Lender to make Revolving Loans and to acquire participations in Letters of Credit and Swingline Loans in an aggregate outstanding amount not exceeding the amount of such Revolving Lender’s Revolving Commitment as set forth on </w:t>
      </w:r>
      <w:r>
        <w:rPr>
          <w:rFonts w:ascii="Arial" w:cs="Arial" w:eastAsia="Arial" w:hAnsi="Arial"/>
          <w:sz w:val="17"/>
          <w:szCs w:val="17"/>
          <w:u w:val="single" w:color="auto"/>
          <w:color w:val="auto"/>
        </w:rPr>
        <w:t>Schedule 2.1</w:t>
      </w:r>
      <w:r>
        <w:rPr>
          <w:rFonts w:ascii="Arial" w:cs="Arial" w:eastAsia="Arial" w:hAnsi="Arial"/>
          <w:sz w:val="17"/>
          <w:szCs w:val="17"/>
          <w:color w:val="auto"/>
        </w:rPr>
        <w:t xml:space="preserve"> or in the Assignment and Assumption pursuant to which such Revolving Lender shall have assumed its Revolving Commitment in accordance with </w:t>
      </w:r>
      <w:r>
        <w:rPr>
          <w:rFonts w:ascii="Arial" w:cs="Arial" w:eastAsia="Arial" w:hAnsi="Arial"/>
          <w:sz w:val="17"/>
          <w:szCs w:val="17"/>
          <w:u w:val="single" w:color="auto"/>
          <w:color w:val="auto"/>
        </w:rPr>
        <w:t>Section 10.4(b)</w:t>
      </w:r>
      <w:r>
        <w:rPr>
          <w:rFonts w:ascii="Arial" w:cs="Arial" w:eastAsia="Arial" w:hAnsi="Arial"/>
          <w:sz w:val="17"/>
          <w:szCs w:val="17"/>
          <w:color w:val="auto"/>
        </w:rPr>
        <w:t xml:space="preserve">, as applicable, as such Revolving Commitment may be adjusted from time to time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or pursuant to assignments by or to such Revolving Lender pursuant to </w:t>
      </w:r>
      <w:r>
        <w:rPr>
          <w:rFonts w:ascii="Arial" w:cs="Arial" w:eastAsia="Arial" w:hAnsi="Arial"/>
          <w:sz w:val="17"/>
          <w:szCs w:val="17"/>
          <w:u w:val="single" w:color="auto"/>
          <w:color w:val="auto"/>
        </w:rPr>
        <w:t>Section 10.4</w:t>
      </w:r>
      <w:r>
        <w:rPr>
          <w:rFonts w:ascii="Arial" w:cs="Arial" w:eastAsia="Arial" w:hAnsi="Arial"/>
          <w:sz w:val="17"/>
          <w:szCs w:val="17"/>
          <w:color w:val="auto"/>
        </w:rPr>
        <w:t>. The initial aggregate amount of the Revolving Commitments on the Agreement Date is $25,000,000.</w:t>
      </w:r>
    </w:p>
    <w:p>
      <w:pPr>
        <w:spacing w:after="0" w:line="178"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xml:space="preserve">” means, as to any Lender at any time, the sum of (a) the Outstanding Amount of its Revolving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its L/C Exposure,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its Swingline Exposure.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w:t>
      </w:r>
      <w:r>
        <w:rPr>
          <w:rFonts w:ascii="Arial" w:cs="Arial" w:eastAsia="Arial" w:hAnsi="Arial"/>
          <w:sz w:val="18"/>
          <w:szCs w:val="18"/>
          <w:color w:val="auto"/>
        </w:rPr>
        <w:t>” means the credit facility established hereunder and evidenced by the Revolving Commitments.</w:t>
      </w:r>
    </w:p>
    <w:p>
      <w:pPr>
        <w:spacing w:after="0" w:line="22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 Lender having a Revolving Commitment or, if the Revolving Commitments have expired or terminated, having Revolving Exposure.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means a loan referred to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and made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jc w:val="both"/>
        <w:ind w:right="20" w:firstLine="45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Loan Note</w:t>
      </w:r>
      <w:r>
        <w:rPr>
          <w:rFonts w:ascii="Arial" w:cs="Arial" w:eastAsia="Arial" w:hAnsi="Arial"/>
          <w:sz w:val="17"/>
          <w:szCs w:val="17"/>
          <w:color w:val="auto"/>
        </w:rPr>
        <w:t xml:space="preserve">” means with respect to a Revolving Lender, a promissory note evidencing the Revolving Loans of such Lender payable to the order of such Lender (or, if required by such Lender, to such Lender and its registered assigns) substantially in the form of </w:t>
      </w:r>
      <w:r>
        <w:rPr>
          <w:rFonts w:ascii="Arial" w:cs="Arial" w:eastAsia="Arial" w:hAnsi="Arial"/>
          <w:sz w:val="17"/>
          <w:szCs w:val="17"/>
          <w:u w:val="single" w:color="auto"/>
          <w:color w:val="auto"/>
        </w:rPr>
        <w:t>Exhibit C-1.</w:t>
      </w:r>
    </w:p>
    <w:p>
      <w:pPr>
        <w:spacing w:after="0" w:line="146" w:lineRule="exact"/>
        <w:rPr>
          <w:sz w:val="20"/>
          <w:szCs w:val="20"/>
          <w:color w:val="auto"/>
        </w:rPr>
      </w:pPr>
    </w:p>
    <w:p>
      <w:pPr>
        <w:jc w:val="both"/>
        <w:ind w:firstLine="450"/>
        <w:spacing w:after="0" w:line="19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Maturity Date</w:t>
      </w:r>
      <w:r>
        <w:rPr>
          <w:rFonts w:ascii="Arial" w:cs="Arial" w:eastAsia="Arial" w:hAnsi="Arial"/>
          <w:sz w:val="18"/>
          <w:szCs w:val="18"/>
          <w:color w:val="auto"/>
        </w:rPr>
        <w:t>” means the fifth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anniversary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day is not a Business Day, the Revolving Maturity Date shall be the Business Day immediately preceding such day.</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S&amp;P Global Inc.</w:t>
      </w:r>
    </w:p>
    <w:p>
      <w:pPr>
        <w:spacing w:after="0" w:line="22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w:t>
      </w:r>
      <w:r>
        <w:rPr>
          <w:rFonts w:ascii="Arial" w:cs="Arial" w:eastAsia="Arial" w:hAnsi="Arial"/>
          <w:sz w:val="18"/>
          <w:szCs w:val="18"/>
          <w:color w:val="auto"/>
        </w:rPr>
        <w:t>” means any transaction or series of related transactions pursuant to which any Loan Party or any of its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w:t>
      </w:r>
    </w:p>
    <w:p>
      <w:pPr>
        <w:spacing w:after="0" w:line="187"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any country, territory or region which is itself the subject or target of any comprehensive Sanctions (</w:t>
      </w:r>
      <w:r>
        <w:rPr>
          <w:rFonts w:ascii="Arial" w:cs="Arial" w:eastAsia="Arial" w:hAnsi="Arial"/>
          <w:sz w:val="18"/>
          <w:szCs w:val="18"/>
          <w:color w:val="FF0000"/>
          <w:strike w:val="1"/>
        </w:rPr>
        <w:t>which may include</w:t>
      </w:r>
      <w:r>
        <w:rPr>
          <w:rFonts w:ascii="Arial" w:cs="Arial" w:eastAsia="Arial" w:hAnsi="Arial"/>
          <w:sz w:val="18"/>
          <w:szCs w:val="18"/>
          <w:color w:val="auto"/>
        </w:rPr>
        <w:t xml:space="preserve"> </w:t>
      </w:r>
      <w:r>
        <w:rPr>
          <w:rFonts w:ascii="Arial" w:cs="Arial" w:eastAsia="Arial" w:hAnsi="Arial"/>
          <w:sz w:val="18"/>
          <w:szCs w:val="18"/>
          <w:color w:val="FF0000"/>
          <w:strike w:val="1"/>
        </w:rPr>
        <w:t>the Crimean region of Ukraine,</w:t>
      </w:r>
      <w:r>
        <w:rPr>
          <w:rFonts w:ascii="Arial" w:cs="Arial" w:eastAsia="Arial" w:hAnsi="Arial"/>
          <w:sz w:val="18"/>
          <w:szCs w:val="18"/>
          <w:u w:val="single" w:color="auto"/>
          <w:color w:val="0000FF"/>
        </w:rPr>
        <w:t>including</w:t>
      </w:r>
      <w:r>
        <w:rPr>
          <w:rFonts w:ascii="Arial" w:cs="Arial" w:eastAsia="Arial" w:hAnsi="Arial"/>
          <w:sz w:val="18"/>
          <w:szCs w:val="18"/>
          <w:color w:val="FF0000"/>
        </w:rPr>
        <w:t xml:space="preserve"> </w:t>
      </w:r>
      <w:r>
        <w:rPr>
          <w:rFonts w:ascii="Arial" w:cs="Arial" w:eastAsia="Arial" w:hAnsi="Arial"/>
          <w:sz w:val="18"/>
          <w:szCs w:val="18"/>
          <w:color w:val="000000"/>
        </w:rPr>
        <w:t>Cuba, Iran, North Korea,</w:t>
      </w:r>
      <w:r>
        <w:rPr>
          <w:rFonts w:ascii="Arial" w:cs="Arial" w:eastAsia="Arial" w:hAnsi="Arial"/>
          <w:sz w:val="18"/>
          <w:szCs w:val="18"/>
          <w:color w:val="FF0000"/>
        </w:rPr>
        <w:t xml:space="preserve"> </w:t>
      </w:r>
      <w:r>
        <w:rPr>
          <w:rFonts w:ascii="Arial" w:cs="Arial" w:eastAsia="Arial" w:hAnsi="Arial"/>
          <w:sz w:val="18"/>
          <w:szCs w:val="18"/>
          <w:color w:val="FF0000"/>
          <w:strike w:val="1"/>
        </w:rPr>
        <w:t>Darfur, South Sudan and Syria</w:t>
      </w:r>
      <w:r>
        <w:rPr>
          <w:rFonts w:ascii="Arial" w:cs="Arial" w:eastAsia="Arial" w:hAnsi="Arial"/>
          <w:sz w:val="18"/>
          <w:szCs w:val="18"/>
          <w:u w:val="single" w:color="auto"/>
          <w:color w:val="0000FF"/>
        </w:rPr>
        <w:t>Syria, and the so-called Donetsk People’s Republic, the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so-called Luhansk People’s Republic, and Crimea regions of Ukraine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-156845</wp:posOffset>
            </wp:positionV>
            <wp:extent cx="46291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-156845</wp:posOffset>
            </wp:positionV>
            <wp:extent cx="258000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31629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164" w:lineRule="exact"/>
        <w:rPr>
          <w:sz w:val="20"/>
          <w:szCs w:val="20"/>
          <w:color w:val="auto"/>
        </w:rPr>
      </w:pPr>
    </w:p>
    <w:p>
      <w:pPr>
        <w:jc w:val="both"/>
        <w:ind w:firstLine="45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means (a) any Person or group listed in any Sanctions related list of designated Persons maintained by OFAC, including the List of Specially Designated Nationals and Blocked Persons, or the U.S. Department of State, the United Nations Security Council, the European Union or any EU member state, (b) any Person subject to any law that would prohibit all or substantially all financial or other transactions with that Person or would require that assets of that Person that come into the possession of a third-party be blocked (c) any legal entity organized or domiciled in a Sanctioned Country, (d) any agency, political subdivision or instrumentality of the government of a Sanctioned Country, (e) any natural person ordinarily resident in a Sanctioned Country, or (f) any Person 50% or more owned, directly or indirectly, individually or in the aggregate by any of the above.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4" w:name="page85"/>
    <w:bookmarkEnd w:id="84"/>
    <w:p>
      <w:pPr>
        <w:jc w:val="both"/>
        <w:ind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or any European Union member state, Her Majesty’s Treasury of the United Kingdom or other relevant sanctions authority.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Obligation Designation Notice</w:t>
      </w:r>
      <w:r>
        <w:rPr>
          <w:rFonts w:ascii="Arial" w:cs="Arial" w:eastAsia="Arial" w:hAnsi="Arial"/>
          <w:sz w:val="17"/>
          <w:szCs w:val="17"/>
          <w:color w:val="auto"/>
        </w:rPr>
        <w:t xml:space="preserve">” means a notice substantially in the form of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executed and delivered to the Administrative Agent by a counterparty (other than the Administrative Agent and its Affiliates) to a Swap Agreement or an agreement to provide Cash Management Services in order that the obligations in respect thereof constitute Swap Agreement Obligations or Cash Management Obligations.</w:t>
      </w:r>
    </w:p>
    <w:p>
      <w:pPr>
        <w:spacing w:after="0" w:line="16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xml:space="preserve">” means, collectively, (a) the Loan Document Obligations, (b) the Cash Management Obligations </w:t>
      </w:r>
      <w:r>
        <w:rPr>
          <w:rFonts w:ascii="Arial" w:cs="Arial" w:eastAsia="Arial" w:hAnsi="Arial"/>
          <w:sz w:val="18"/>
          <w:szCs w:val="18"/>
          <w:color w:val="FF0000"/>
        </w:rPr>
        <w:t>and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(c) the Swap Agreement Obligations </w:t>
      </w:r>
      <w:r>
        <w:rPr>
          <w:rFonts w:ascii="Arial" w:cs="Arial" w:eastAsia="Arial" w:hAnsi="Arial"/>
          <w:sz w:val="18"/>
          <w:szCs w:val="18"/>
          <w:color w:val="0000FF"/>
        </w:rPr>
        <w:t>and (d) the Erroneous Payment Subrogation Rights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5751830</wp:posOffset>
            </wp:positionH>
            <wp:positionV relativeFrom="paragraph">
              <wp:posOffset>-233680</wp:posOffset>
            </wp:positionV>
            <wp:extent cx="19367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-165100</wp:posOffset>
            </wp:positionV>
            <wp:extent cx="254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-27940</wp:posOffset>
            </wp:positionV>
            <wp:extent cx="236601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366010" cy="8890"/>
                    </a:xfrm>
                    <a:prstGeom prst="rect">
                      <a:avLst/>
                    </a:prstGeom>
                    <a:noFill/>
                  </pic:spPr>
                </pic:pic>
              </a:graphicData>
            </a:graphic>
          </wp:anchor>
        </w:drawing>
        <w:drawing>
          <wp:anchor simplePos="0" relativeHeight="251657728" behindDoc="1" locked="0" layoutInCell="0" allowOverlap="1">
            <wp:simplePos x="0" y="0"/>
            <wp:positionH relativeFrom="column">
              <wp:posOffset>538480</wp:posOffset>
            </wp:positionH>
            <wp:positionV relativeFrom="paragraph">
              <wp:posOffset>-45085</wp:posOffset>
            </wp:positionV>
            <wp:extent cx="236410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150"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collectively, (a) the Administrative Agent, (b) each Lender, (c) each L/C Issuer, (d) each Person to whom any Cash Management Obligations are owed, (e) each counterparty to any Swap Agreement the obligations under which constitute Swap Agreement Obligations, (f) the beneficiaries of each indemnification obligation undertaken by any Loan Party under any Loan Document and (g) the permitted successors and assigns of each of the foregoing.</w:t>
      </w:r>
    </w:p>
    <w:p>
      <w:pPr>
        <w:spacing w:after="0" w:line="187" w:lineRule="exact"/>
        <w:rPr>
          <w:sz w:val="20"/>
          <w:szCs w:val="20"/>
          <w:color w:val="auto"/>
        </w:rPr>
      </w:pPr>
    </w:p>
    <w:p>
      <w:pPr>
        <w:ind w:right="46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the Pledge and Security Agreement, dated as of the Closing Date, among the Loan Parties and the Administrative Agent.</w:t>
      </w:r>
    </w:p>
    <w:p>
      <w:pPr>
        <w:spacing w:after="0" w:line="170"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xml:space="preserve">” </w:t>
      </w:r>
      <w:r>
        <w:rPr>
          <w:rFonts w:ascii="Arial" w:cs="Arial" w:eastAsia="Arial" w:hAnsi="Arial"/>
          <w:sz w:val="18"/>
          <w:szCs w:val="18"/>
          <w:color w:val="FF0000"/>
          <w:strike w:val="1"/>
        </w:rPr>
        <w:t>with respect to any day means</w:t>
      </w:r>
      <w:r>
        <w:rPr>
          <w:rFonts w:ascii="Arial" w:cs="Arial" w:eastAsia="Arial" w:hAnsi="Arial"/>
          <w:sz w:val="18"/>
          <w:szCs w:val="18"/>
          <w:u w:val="single" w:color="auto"/>
          <w:color w:val="0000FF"/>
        </w:rPr>
        <w:t>means a rate equal to</w:t>
      </w:r>
      <w:r>
        <w:rPr>
          <w:rFonts w:ascii="Arial" w:cs="Arial" w:eastAsia="Arial" w:hAnsi="Arial"/>
          <w:sz w:val="18"/>
          <w:szCs w:val="18"/>
          <w:color w:val="auto"/>
        </w:rPr>
        <w:t xml:space="preserve"> the secured overnight financing rate </w:t>
      </w:r>
      <w:r>
        <w:rPr>
          <w:rFonts w:ascii="Arial" w:cs="Arial" w:eastAsia="Arial" w:hAnsi="Arial"/>
          <w:sz w:val="18"/>
          <w:szCs w:val="18"/>
          <w:u w:val="single" w:color="auto"/>
          <w:color w:val="0000FF"/>
        </w:rPr>
        <w:t>as</w:t>
      </w:r>
      <w:r>
        <w:rPr>
          <w:rFonts w:ascii="Arial" w:cs="Arial" w:eastAsia="Arial" w:hAnsi="Arial"/>
          <w:sz w:val="18"/>
          <w:szCs w:val="18"/>
          <w:color w:val="auto"/>
        </w:rPr>
        <w:t xml:space="preserve"> published </w:t>
      </w:r>
      <w:r>
        <w:rPr>
          <w:rFonts w:ascii="Arial" w:cs="Arial" w:eastAsia="Arial" w:hAnsi="Arial"/>
          <w:sz w:val="18"/>
          <w:szCs w:val="18"/>
          <w:color w:val="FF0000"/>
          <w:strike w:val="1"/>
        </w:rPr>
        <w:t>for such day by the Federal Reserve</w:t>
      </w:r>
      <w:r>
        <w:rPr>
          <w:rFonts w:ascii="Arial" w:cs="Arial" w:eastAsia="Arial" w:hAnsi="Arial"/>
          <w:sz w:val="18"/>
          <w:szCs w:val="18"/>
          <w:color w:val="auto"/>
        </w:rPr>
        <w:t xml:space="preserve"> </w:t>
      </w:r>
      <w:r>
        <w:rPr>
          <w:rFonts w:ascii="Arial" w:cs="Arial" w:eastAsia="Arial" w:hAnsi="Arial"/>
          <w:sz w:val="18"/>
          <w:szCs w:val="18"/>
          <w:color w:val="FF0000"/>
          <w:strike w:val="1"/>
        </w:rPr>
        <w:t>Bank of New York, as the administrator of the benchmark, (or a successor administrator) on the Federal Reserve Bank of New York</w:t>
      </w:r>
      <w:r>
        <w:rPr>
          <w:rFonts w:ascii="Arial" w:cs="Arial" w:eastAsia="Arial" w:hAnsi="Arial"/>
          <w:sz w:val="18"/>
          <w:szCs w:val="18"/>
          <w:color w:val="FF0000"/>
        </w:rPr>
        <w:t>’</w:t>
      </w:r>
      <w:r>
        <w:rPr>
          <w:rFonts w:ascii="Arial" w:cs="Arial" w:eastAsia="Arial" w:hAnsi="Arial"/>
          <w:sz w:val="18"/>
          <w:szCs w:val="18"/>
          <w:color w:val="FF0000"/>
          <w:strike w:val="1"/>
        </w:rPr>
        <w:t>s Website.</w:t>
      </w:r>
      <w:r>
        <w:rPr>
          <w:rFonts w:ascii="Arial" w:cs="Arial" w:eastAsia="Arial" w:hAnsi="Arial"/>
          <w:sz w:val="18"/>
          <w:szCs w:val="18"/>
          <w:u w:val="single" w:color="auto"/>
          <w:color w:val="0000FF"/>
        </w:rPr>
        <w:t>by the SOFR</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Administrator on the website of the SOFR Administrator, currently at http//www.newyorkfed.org (or any successor source for the secured overnight financing rate identified as such by the SOFR Administrator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-429260</wp:posOffset>
            </wp:positionV>
            <wp:extent cx="9861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-429260</wp:posOffset>
            </wp:positionV>
            <wp:extent cx="12001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-292100</wp:posOffset>
            </wp:positionV>
            <wp:extent cx="60007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2343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365188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FF"/>
        </w:rPr>
        <w:t>“SOFR Administrator” means the Federal Reserve Bank of New York (or a successor administrator of the secured overnight financing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13335</wp:posOffset>
            </wp:positionV>
            <wp:extent cx="641223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0000FF"/>
        </w:rPr>
        <w:t>“SOFR Borrowing” means, as to any Borrowing, the SOFR Loans comprising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wp:posOffset>
            </wp:positionV>
            <wp:extent cx="437197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205" w:lineRule="exact"/>
        <w:rPr>
          <w:sz w:val="20"/>
          <w:szCs w:val="20"/>
          <w:color w:val="auto"/>
        </w:rPr>
      </w:pPr>
    </w:p>
    <w:p>
      <w:pPr>
        <w:ind w:right="200" w:firstLine="450"/>
        <w:spacing w:after="0" w:line="277" w:lineRule="auto"/>
        <w:rPr>
          <w:sz w:val="20"/>
          <w:szCs w:val="20"/>
          <w:color w:val="auto"/>
        </w:rPr>
      </w:pPr>
      <w:r>
        <w:rPr>
          <w:rFonts w:ascii="Arial" w:cs="Arial" w:eastAsia="Arial" w:hAnsi="Arial"/>
          <w:sz w:val="18"/>
          <w:szCs w:val="18"/>
          <w:u w:val="single" w:color="auto"/>
          <w:color w:val="0000FF"/>
        </w:rPr>
        <w:t>“SOFR Loan” means a Loan that bears interest at a rate based on Term SOFR, other than pursuant to clause (c) of the definition of “Alternate Base Rate” or the definition of “Daily SOFR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-165100</wp:posOffset>
            </wp:positionV>
            <wp:extent cx="672084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21170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50" w:lineRule="exact"/>
        <w:rPr>
          <w:sz w:val="20"/>
          <w:szCs w:val="20"/>
          <w:color w:val="auto"/>
        </w:rPr>
      </w:pPr>
    </w:p>
    <w:p>
      <w:pPr>
        <w:ind w:right="56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Sold Entity or Business</w:t>
      </w:r>
      <w:r>
        <w:rPr>
          <w:rFonts w:ascii="Arial" w:cs="Arial" w:eastAsia="Arial" w:hAnsi="Arial"/>
          <w:sz w:val="18"/>
          <w:szCs w:val="18"/>
          <w:color w:val="auto"/>
        </w:rPr>
        <w:t>” means any Person or any property or assets constituting a line of business or a division of a Person Disposed of in a transaction permitted hereunder by the Borrower or any of its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Solvency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225" w:lineRule="exact"/>
        <w:rPr>
          <w:sz w:val="20"/>
          <w:szCs w:val="20"/>
          <w:color w:val="auto"/>
        </w:rPr>
      </w:pPr>
    </w:p>
    <w:p>
      <w:pPr>
        <w:ind w:right="20" w:firstLine="45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and “</w:t>
      </w:r>
      <w:r>
        <w:rPr>
          <w:rFonts w:ascii="Arial" w:cs="Arial" w:eastAsia="Arial" w:hAnsi="Arial"/>
          <w:sz w:val="16"/>
          <w:szCs w:val="16"/>
          <w:u w:val="single" w:color="auto"/>
          <w:color w:val="auto"/>
        </w:rPr>
        <w:t>Solvency</w:t>
      </w:r>
      <w:r>
        <w:rPr>
          <w:rFonts w:ascii="Arial" w:cs="Arial" w:eastAsia="Arial" w:hAnsi="Arial"/>
          <w:sz w:val="16"/>
          <w:szCs w:val="16"/>
          <w:color w:val="auto"/>
        </w:rPr>
        <w:t xml:space="preserve">” mean, with respect to any Person on any date of determination, that on such date (a) the fair value of the present assets of such Person and its Subsidiaries, taken as a whole, is not less than the sum of the debt (including contingent liabilities) of such Person and its Subsidiaries, taken as a whole, (b) the present fair salable value of the assets of such Person and its Subsidiaries, taken as a whole, is not less than the amount that will be required to pay the probable liabilities (including contingent liabilities) of such Person and its Subsidiaries, taken as a whole, on their debts as they become absolute and matured, (c) the capital of such Person and its Subsidiaries, taken as a whole, is not unreasonably small in relation to the business of such Person or its Subsidiaries, taken as a whole, contemplated as of such date and (d) such Person and its Subsidiaries, taken as a whole, do not intend to incur, or believe that they will incur, debts (including current obligations and contingent liabilities) beyond their ability to pay such debts as they mature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contingent liabilities at any time shall be computed as the amount that, in light of all the facts and circumstances existing at such time, represents the amount that can reasonably be expected to become an actual or matured liability.</w:t>
      </w:r>
    </w:p>
    <w:p>
      <w:pPr>
        <w:spacing w:after="0" w:line="166" w:lineRule="exact"/>
        <w:rPr>
          <w:sz w:val="20"/>
          <w:szCs w:val="20"/>
          <w:color w:val="auto"/>
        </w:rPr>
      </w:pPr>
    </w:p>
    <w:p>
      <w:pPr>
        <w:ind w:right="180" w:firstLine="45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Transaction</w:t>
      </w:r>
      <w:r>
        <w:rPr>
          <w:rFonts w:ascii="Arial" w:cs="Arial" w:eastAsia="Arial" w:hAnsi="Arial"/>
          <w:sz w:val="17"/>
          <w:szCs w:val="17"/>
          <w:color w:val="auto"/>
        </w:rPr>
        <w:t xml:space="preserve">” means any Investment, Disposition, incurrence or repayment of Indebtedness, Restricted Payment, Incremental Term Loan or Incremental Revolving Commitments that by the terms of this Credit Agreement requires a test to be calculated on a “Pro Forma Basis”, be given in “Pro Forma Compliance” with, or after giving “Pro Forma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increase in the Revolving Commitments above the amount of Revolving Commitments in effect on the Closing Date, for purposes of this definition, shall be deemed to be fully drawn.</w:t>
      </w:r>
    </w:p>
    <w:p>
      <w:pPr>
        <w:spacing w:after="0" w:line="171" w:lineRule="exact"/>
        <w:rPr>
          <w:sz w:val="20"/>
          <w:szCs w:val="20"/>
          <w:color w:val="auto"/>
        </w:rPr>
      </w:pPr>
    </w:p>
    <w:p>
      <w:pPr>
        <w:jc w:val="both"/>
        <w:ind w:firstLine="450"/>
        <w:spacing w:after="0" w:line="272" w:lineRule="auto"/>
        <w:rPr>
          <w:sz w:val="20"/>
          <w:szCs w:val="20"/>
          <w:color w:val="auto"/>
        </w:rPr>
      </w:pPr>
      <w:r>
        <w:rPr>
          <w:rFonts w:ascii="Arial" w:cs="Arial" w:eastAsia="Arial" w:hAnsi="Arial"/>
          <w:sz w:val="17"/>
          <w:szCs w:val="17"/>
          <w:u w:val="single" w:color="auto"/>
          <w:color w:val="FF0000"/>
        </w:rPr>
        <w:t>“Statutory Reserve Rate</w:t>
      </w:r>
      <w:r>
        <w:rPr>
          <w:rFonts w:ascii="Arial" w:cs="Arial" w:eastAsia="Arial" w:hAnsi="Arial"/>
          <w:sz w:val="17"/>
          <w:szCs w:val="17"/>
          <w:color w:val="FF0000"/>
        </w:rPr>
        <w:t xml:space="preserve">” </w:t>
      </w:r>
      <w:r>
        <w:rPr>
          <w:rFonts w:ascii="Arial" w:cs="Arial" w:eastAsia="Arial" w:hAnsi="Arial"/>
          <w:sz w:val="17"/>
          <w:szCs w:val="17"/>
          <w:color w:val="FF0000"/>
          <w:strike w:val="1"/>
        </w:rPr>
        <w:t>means a fraction (expressed as a decimal), the numerator of which is the number one and the denominator of which is the</w:t>
      </w:r>
      <w:r>
        <w:rPr>
          <w:rFonts w:ascii="Arial" w:cs="Arial" w:eastAsia="Arial" w:hAnsi="Arial"/>
          <w:sz w:val="17"/>
          <w:szCs w:val="17"/>
          <w:color w:val="FF0000"/>
        </w:rPr>
        <w:t xml:space="preserve"> </w:t>
      </w:r>
      <w:r>
        <w:rPr>
          <w:rFonts w:ascii="Arial" w:cs="Arial" w:eastAsia="Arial" w:hAnsi="Arial"/>
          <w:sz w:val="17"/>
          <w:szCs w:val="17"/>
          <w:color w:val="FF0000"/>
          <w:strike w:val="1"/>
        </w:rPr>
        <w:t xml:space="preserve">number one </w:t>
      </w:r>
      <w:r>
        <w:rPr>
          <w:rFonts w:ascii="Arial" w:cs="Arial" w:eastAsia="Arial" w:hAnsi="Arial"/>
          <w:sz w:val="17"/>
          <w:szCs w:val="17"/>
          <w:u w:val="single" w:color="auto"/>
          <w:color w:val="FF0000"/>
          <w:strike w:val="1"/>
        </w:rPr>
        <w:t>minus</w:t>
      </w:r>
      <w:r>
        <w:rPr>
          <w:rFonts w:ascii="Arial" w:cs="Arial" w:eastAsia="Arial" w:hAnsi="Arial"/>
          <w:sz w:val="17"/>
          <w:szCs w:val="17"/>
          <w:color w:val="FF0000"/>
          <w:strike w:val="1"/>
        </w:rPr>
        <w:t xml:space="preserve"> the aggregate of the maximum reserve percentages (including any basic, marginal, special, emergency, supplemental or other reserves) expressed as a decimal established by the Board to which the Administrative Agent is subject for eurocurrency funding (currently referred to as “eurocurrency liabilities” in Regulation D). Such reserve percentages shall include those imposed pursuant to Regulation D. LIBOR Loans and Swingline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-915035</wp:posOffset>
            </wp:positionV>
            <wp:extent cx="11125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11252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-503555</wp:posOffset>
            </wp:positionV>
            <wp:extent cx="82486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157" w:lineRule="exact"/>
        <w:rPr>
          <w:sz w:val="20"/>
          <w:szCs w:val="20"/>
          <w:color w:val="auto"/>
        </w:rPr>
      </w:pPr>
    </w:p>
    <w:p>
      <w:pPr>
        <w:ind w:right="680" w:firstLine="45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Subordinated Debt</w:t>
      </w:r>
      <w:r>
        <w:rPr>
          <w:rFonts w:ascii="Arial" w:cs="Arial" w:eastAsia="Arial" w:hAnsi="Arial"/>
          <w:sz w:val="17"/>
          <w:szCs w:val="17"/>
          <w:color w:val="auto"/>
        </w:rPr>
        <w:t>” means Indebtedness incurred by a Loan Party that is subordinated in right of payment to the prior payment of the Loan Document Obligations of such Loan Party and contains subordination and other terms acceptable to the Administrative Agent.</w:t>
      </w:r>
    </w:p>
    <w:p>
      <w:pPr>
        <w:spacing w:after="0" w:line="146"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Debt Documents</w:t>
      </w:r>
      <w:r>
        <w:rPr>
          <w:rFonts w:ascii="Arial" w:cs="Arial" w:eastAsia="Arial" w:hAnsi="Arial"/>
          <w:sz w:val="18"/>
          <w:szCs w:val="18"/>
          <w:color w:val="auto"/>
        </w:rPr>
        <w:t>” means any agreement, indenture or instrument pursuant to which any Subordinated Debt is issued, in each case as amended to the extent permitted under the Loan Documents.</w:t>
      </w:r>
    </w:p>
    <w:p>
      <w:pPr>
        <w:spacing w:after="0" w:line="170"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w:t>
      </w:r>
      <w:r>
        <w:rPr>
          <w:rFonts w:ascii="Arial" w:cs="Arial" w:eastAsia="Arial" w:hAnsi="Arial"/>
          <w:sz w:val="18"/>
          <w:szCs w:val="18"/>
          <w:u w:val="single" w:color="auto"/>
          <w:color w:val="auto"/>
        </w:rPr>
        <w:t>Topco</w:t>
      </w:r>
      <w:r>
        <w:rPr>
          <w:rFonts w:ascii="Arial" w:cs="Arial" w:eastAsia="Arial" w:hAnsi="Arial"/>
          <w:sz w:val="18"/>
          <w:szCs w:val="18"/>
          <w:color w:val="auto"/>
        </w:rPr>
        <w:t>”), as of any date, any corporation, limited liability company, partnership, association or other entity the accounts of which would be consolidated with those of Topco in Topco’s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is or, in the case of a partnership, more than 50% of the general partnership interests are, as of such date, owned, controlled or held by Topco or one or more subsidiaries of Topco.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6" w:name="page87"/>
    <w:bookmarkEnd w:id="86"/>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direct or indirect subsidiary of the Borrower or a Loan Party, as the context may require.</w:t>
      </w:r>
    </w:p>
    <w:p>
      <w:pPr>
        <w:spacing w:after="0" w:line="225" w:lineRule="exact"/>
        <w:rPr>
          <w:sz w:val="20"/>
          <w:szCs w:val="20"/>
          <w:color w:val="auto"/>
        </w:rPr>
      </w:pPr>
    </w:p>
    <w:p>
      <w:pPr>
        <w:ind w:right="60"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means each Subsidiary that executes and delivers the Guarantee Agreement and each other Domestic Subsidiary of the Borrower that becomes party thereto in by the execution and delivery of a Subsidiary Joinder Agreement, and the permitted successors and assigns of each such Person.</w:t>
      </w:r>
    </w:p>
    <w:p>
      <w:pPr>
        <w:spacing w:after="0" w:line="184" w:lineRule="exact"/>
        <w:rPr>
          <w:sz w:val="20"/>
          <w:szCs w:val="20"/>
          <w:color w:val="auto"/>
        </w:rPr>
      </w:pPr>
    </w:p>
    <w:p>
      <w:pPr>
        <w:ind w:firstLine="45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Joinder Agreement</w:t>
      </w:r>
      <w:r>
        <w:rPr>
          <w:rFonts w:ascii="Arial" w:cs="Arial" w:eastAsia="Arial" w:hAnsi="Arial"/>
          <w:sz w:val="16"/>
          <w:szCs w:val="16"/>
          <w:color w:val="auto"/>
        </w:rPr>
        <w:t xml:space="preserve">” means a Subsidiary Joinder Agreement, substantially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pursuant to which a Subsidiary (other than an Excluded Subsidiary) becomes a party to the Guarantee Agreement, to the Security Agreement and to each other applicable Loan Document.</w:t>
      </w:r>
    </w:p>
    <w:p>
      <w:pPr>
        <w:spacing w:after="0" w:line="124" w:lineRule="exact"/>
        <w:rPr>
          <w:sz w:val="20"/>
          <w:szCs w:val="20"/>
          <w:color w:val="auto"/>
        </w:rPr>
      </w:pPr>
    </w:p>
    <w:p>
      <w:pPr>
        <w:ind w:right="20" w:firstLine="45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including any such obligations or liabilities under any Master Agreement.</w:t>
      </w:r>
    </w:p>
    <w:p>
      <w:pPr>
        <w:spacing w:after="0" w:line="166" w:lineRule="exact"/>
        <w:rPr>
          <w:sz w:val="20"/>
          <w:szCs w:val="20"/>
          <w:color w:val="auto"/>
        </w:rPr>
      </w:pPr>
    </w:p>
    <w:p>
      <w:pPr>
        <w:ind w:right="40" w:firstLine="45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 Obligations</w:t>
      </w:r>
      <w:r>
        <w:rPr>
          <w:rFonts w:ascii="Arial" w:cs="Arial" w:eastAsia="Arial" w:hAnsi="Arial"/>
          <w:sz w:val="18"/>
          <w:szCs w:val="18"/>
          <w:color w:val="auto"/>
        </w:rPr>
        <w:t xml:space="preserve">” means all obligations of the Loan Parties under each Swap Agreement to which any Loan Party or its Subsidiary is a party and that that (a) is with a counterparty that is the Administrative Agent or any of its Affiliates, (b) is in effect on the Closing Date with a counterparty that is a Lender or an Affiliate of a Lender as of the Closing Date or (c) is entered into after the Closing Date with any counterparty that is a Lender or an Affiliate of a Lender at the time such Swap Agreement is entered into or becomes a Lender or an Affiliate of a Lender after it has entered into such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counterparty (other than the Administrative Agent or its Affiliates) executes and delivers a Secured Obligation Designation Notice to the Administrative Agent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Swap Agreement Obligations shall not include, with respect to any Guarantor, Excluded CEA Swap Obligations of such Guarantor.</w:t>
      </w:r>
    </w:p>
    <w:p>
      <w:pPr>
        <w:spacing w:after="0" w:line="195" w:lineRule="exact"/>
        <w:rPr>
          <w:sz w:val="20"/>
          <w:szCs w:val="20"/>
          <w:color w:val="auto"/>
        </w:rPr>
      </w:pPr>
    </w:p>
    <w:p>
      <w:pPr>
        <w:ind w:right="280" w:firstLine="45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mark-to-market value(s) for such Swap Agreements, as determined based upon one or more mid-market or other readily available quotations provided by any recognized dealer in such Swap Agreements (which may include a Lender or any Affiliate of a Lender).</w:t>
      </w:r>
    </w:p>
    <w:p>
      <w:pPr>
        <w:spacing w:after="0" w:line="161" w:lineRule="exact"/>
        <w:rPr>
          <w:sz w:val="20"/>
          <w:szCs w:val="20"/>
          <w:color w:val="auto"/>
        </w:rPr>
      </w:pPr>
    </w:p>
    <w:p>
      <w:pPr>
        <w:ind w:right="58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with respect to any Revolving Lender at any time, its Applicable Percentage of the Outstanding Amount of the Swingline Loans.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Citizens Bank in its capacity as lender of Swingline Loans.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7" w:name="page88"/>
    <w:bookmarkEnd w:id="87"/>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 loan referred to and made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right="220" w:firstLine="45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Loan Note</w:t>
      </w:r>
      <w:r>
        <w:rPr>
          <w:rFonts w:ascii="Arial" w:cs="Arial" w:eastAsia="Arial" w:hAnsi="Arial"/>
          <w:sz w:val="16"/>
          <w:szCs w:val="16"/>
          <w:color w:val="auto"/>
        </w:rPr>
        <w:t xml:space="preserve">” means with respect to the Swingline Lender, a promissory note evidencing the Swingline Loans of such Lender payable to the order of such Lender (or, if required by such Lender, to such Lender and its registered assigns) substantially in the form of </w:t>
      </w:r>
      <w:r>
        <w:rPr>
          <w:rFonts w:ascii="Arial" w:cs="Arial" w:eastAsia="Arial" w:hAnsi="Arial"/>
          <w:sz w:val="16"/>
          <w:szCs w:val="16"/>
          <w:u w:val="single" w:color="auto"/>
          <w:color w:val="auto"/>
        </w:rPr>
        <w:t>Exhibit C-3</w:t>
      </w:r>
      <w:r>
        <w:rPr>
          <w:rFonts w:ascii="Arial" w:cs="Arial" w:eastAsia="Arial" w:hAnsi="Arial"/>
          <w:sz w:val="16"/>
          <w:szCs w:val="16"/>
          <w:color w:val="auto"/>
        </w:rPr>
        <w:t>.</w:t>
      </w:r>
    </w:p>
    <w:p>
      <w:pPr>
        <w:spacing w:after="0" w:line="124" w:lineRule="exact"/>
        <w:rPr>
          <w:sz w:val="20"/>
          <w:szCs w:val="20"/>
          <w:color w:val="auto"/>
        </w:rPr>
      </w:pPr>
    </w:p>
    <w:p>
      <w:pPr>
        <w:ind w:right="6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 Notice</w:t>
      </w:r>
      <w:r>
        <w:rPr>
          <w:rFonts w:ascii="Arial" w:cs="Arial" w:eastAsia="Arial" w:hAnsi="Arial"/>
          <w:sz w:val="18"/>
          <w:szCs w:val="18"/>
          <w:color w:val="auto"/>
        </w:rPr>
        <w:t xml:space="preserve">” means a notice of a Swingline Borrowing pursuant to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Sublimit</w:t>
      </w:r>
      <w:r>
        <w:rPr>
          <w:rFonts w:ascii="Arial" w:cs="Arial" w:eastAsia="Arial" w:hAnsi="Arial"/>
          <w:sz w:val="18"/>
          <w:szCs w:val="18"/>
          <w:color w:val="auto"/>
        </w:rPr>
        <w:t>” means $10,000,000. The Swingline Sublimit is a sublimit of the Revolving Commitments.</w:t>
      </w:r>
    </w:p>
    <w:p>
      <w:pPr>
        <w:spacing w:after="0" w:line="225"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Debt</w:t>
      </w:r>
      <w:r>
        <w:rPr>
          <w:rFonts w:ascii="Arial" w:cs="Arial" w:eastAsia="Arial" w:hAnsi="Arial"/>
          <w:sz w:val="18"/>
          <w:szCs w:val="18"/>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87" w:lineRule="exact"/>
        <w:rPr>
          <w:sz w:val="20"/>
          <w:szCs w:val="20"/>
          <w:color w:val="auto"/>
        </w:rPr>
      </w:pPr>
    </w:p>
    <w:p>
      <w:pPr>
        <w:ind w:right="240"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Lease Obligation</w:t>
      </w:r>
      <w:r>
        <w:rPr>
          <w:rFonts w:ascii="Arial" w:cs="Arial" w:eastAsia="Arial" w:hAnsi="Arial"/>
          <w:sz w:val="18"/>
          <w:szCs w:val="18"/>
          <w:color w:val="auto"/>
        </w:rPr>
        <w:t>” means the monetary obligation of a Person at any time of determination under (i) a so called synthetic, off balance sheet or tax retention lease, or (ii) an agreement for the use or possession of property, in each case, creating obligations that do not appear on the balance sheet of such Person but which could be characterized as the indebtedness of such Person (without regard to accounting treatment) (other than operating leases arising as a result of Sale and Leaseback transactions).</w:t>
      </w:r>
    </w:p>
    <w:p>
      <w:pPr>
        <w:spacing w:after="0" w:line="187" w:lineRule="exact"/>
        <w:rPr>
          <w:sz w:val="20"/>
          <w:szCs w:val="20"/>
          <w:color w:val="auto"/>
        </w:rPr>
      </w:pPr>
    </w:p>
    <w:p>
      <w:pPr>
        <w:ind w:right="380" w:firstLine="45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6" w:lineRule="exact"/>
        <w:rPr>
          <w:sz w:val="20"/>
          <w:szCs w:val="20"/>
          <w:color w:val="auto"/>
        </w:rPr>
      </w:pPr>
    </w:p>
    <w:p>
      <w:pPr>
        <w:ind w:right="38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Facility</w:t>
      </w:r>
      <w:r>
        <w:rPr>
          <w:rFonts w:ascii="Arial" w:cs="Arial" w:eastAsia="Arial" w:hAnsi="Arial"/>
          <w:sz w:val="18"/>
          <w:szCs w:val="18"/>
          <w:color w:val="auto"/>
        </w:rPr>
        <w:t>” means, the credit facility evidenced by the Term Loan Commitment. Unless the context shall otherwise require, the term “Term Facility” shall include Incremental Term Facilities.</w:t>
      </w:r>
    </w:p>
    <w:p>
      <w:pPr>
        <w:spacing w:after="0" w:line="170" w:lineRule="exact"/>
        <w:rPr>
          <w:sz w:val="20"/>
          <w:szCs w:val="20"/>
          <w:color w:val="auto"/>
        </w:rPr>
      </w:pPr>
    </w:p>
    <w:p>
      <w:pPr>
        <w:ind w:right="28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a Lender with a Term Loan Commitment or, if the Term Loan Commitments have expired or terminated, outstanding Term Loans. Unless the context shall otherwise require, the term “Term Lenders” shall include Incremental Term Lenders.</w:t>
      </w:r>
    </w:p>
    <w:p>
      <w:pPr>
        <w:spacing w:after="0" w:line="170"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means a loan referred to in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and made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Unless the context shall otherwise require, the term “Term Loans” shall include any Incremental Term Loans.</w:t>
      </w:r>
    </w:p>
    <w:p>
      <w:pPr>
        <w:spacing w:after="0" w:line="170"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Borrowing</w:t>
      </w:r>
      <w:r>
        <w:rPr>
          <w:rFonts w:ascii="Arial" w:cs="Arial" w:eastAsia="Arial" w:hAnsi="Arial"/>
          <w:sz w:val="18"/>
          <w:szCs w:val="18"/>
          <w:color w:val="auto"/>
        </w:rPr>
        <w:t xml:space="preserve">” means a Borrowing consisting of Term Loans of the same Type made, converted or continued on the same date and, in the case of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as to which a single Interest Period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-27940</wp:posOffset>
            </wp:positionV>
            <wp:extent cx="28321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line="150" w:lineRule="exact"/>
        <w:rPr>
          <w:sz w:val="20"/>
          <w:szCs w:val="20"/>
          <w:color w:val="auto"/>
        </w:rPr>
      </w:pPr>
    </w:p>
    <w:p>
      <w:pPr>
        <w:ind w:right="40" w:firstLine="450"/>
        <w:spacing w:after="0" w:line="272" w:lineRule="auto"/>
        <w:rPr>
          <w:sz w:val="20"/>
          <w:szCs w:val="20"/>
          <w:color w:val="auto"/>
        </w:rPr>
      </w:pPr>
      <w:r>
        <w:rPr>
          <w:rFonts w:ascii="Arial" w:cs="Arial" w:eastAsia="Arial" w:hAnsi="Arial"/>
          <w:sz w:val="17"/>
          <w:szCs w:val="17"/>
          <w:u w:val="single" w:color="auto"/>
          <w:color w:val="auto"/>
        </w:rPr>
        <w:t>“Term Loan Commitment</w:t>
      </w:r>
      <w:r>
        <w:rPr>
          <w:rFonts w:ascii="Arial" w:cs="Arial" w:eastAsia="Arial" w:hAnsi="Arial"/>
          <w:sz w:val="17"/>
          <w:szCs w:val="17"/>
          <w:color w:val="auto"/>
        </w:rPr>
        <w:t xml:space="preserve">” means, with respect to each Term Lender, the commitment of such Term Lender to make a single Term Loan on the Closing Date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in an amount not exceeding the amount of such Term Lender’s Term Loan Commitment as set forth on </w:t>
      </w:r>
      <w:r>
        <w:rPr>
          <w:rFonts w:ascii="Arial" w:cs="Arial" w:eastAsia="Arial" w:hAnsi="Arial"/>
          <w:sz w:val="17"/>
          <w:szCs w:val="17"/>
          <w:u w:val="single" w:color="auto"/>
          <w:color w:val="auto"/>
        </w:rPr>
        <w:t>Schedule 2.1</w:t>
      </w:r>
      <w:r>
        <w:rPr>
          <w:rFonts w:ascii="Arial" w:cs="Arial" w:eastAsia="Arial" w:hAnsi="Arial"/>
          <w:sz w:val="17"/>
          <w:szCs w:val="17"/>
          <w:color w:val="auto"/>
        </w:rPr>
        <w:t xml:space="preserve"> or in the Assignment and Assumption pursuant to which such Term Lender shall have assumed its Term Loan Commitment, in accordance with </w:t>
      </w:r>
      <w:r>
        <w:rPr>
          <w:rFonts w:ascii="Arial" w:cs="Arial" w:eastAsia="Arial" w:hAnsi="Arial"/>
          <w:sz w:val="17"/>
          <w:szCs w:val="17"/>
          <w:u w:val="single" w:color="auto"/>
          <w:color w:val="auto"/>
        </w:rPr>
        <w:t>Section 10.4(b)</w:t>
      </w:r>
      <w:r>
        <w:rPr>
          <w:rFonts w:ascii="Arial" w:cs="Arial" w:eastAsia="Arial" w:hAnsi="Arial"/>
          <w:sz w:val="17"/>
          <w:szCs w:val="17"/>
          <w:color w:val="auto"/>
        </w:rPr>
        <w:t xml:space="preserve">, as applicable, as such Term Loan Commitment may be adjusted from time to time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or pursuant to assignments by or to such Term Lender pursuant to </w:t>
      </w:r>
      <w:r>
        <w:rPr>
          <w:rFonts w:ascii="Arial" w:cs="Arial" w:eastAsia="Arial" w:hAnsi="Arial"/>
          <w:sz w:val="17"/>
          <w:szCs w:val="17"/>
          <w:u w:val="single" w:color="auto"/>
          <w:color w:val="auto"/>
        </w:rPr>
        <w:t>Section 10.4</w:t>
      </w:r>
      <w:r>
        <w:rPr>
          <w:rFonts w:ascii="Arial" w:cs="Arial" w:eastAsia="Arial" w:hAnsi="Arial"/>
          <w:sz w:val="17"/>
          <w:szCs w:val="17"/>
          <w:color w:val="auto"/>
        </w:rPr>
        <w:t>. The aggregate amount of the Term Loan Commitments on the Agreement Date is $40,000,000. Unless the context shall otherwise require, after the effectiveness of any Incremental Term Loan Commitment, the term “Term Loan Commitment” shall include such Incremental Term Loan Commitment.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8" w:name="page89"/>
    <w:bookmarkEnd w:id="88"/>
    <w:p>
      <w:pPr>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Note</w:t>
      </w:r>
      <w:r>
        <w:rPr>
          <w:rFonts w:ascii="Arial" w:cs="Arial" w:eastAsia="Arial" w:hAnsi="Arial"/>
          <w:sz w:val="18"/>
          <w:szCs w:val="18"/>
          <w:color w:val="auto"/>
        </w:rPr>
        <w:t xml:space="preserve">” means with respect to a Term Lender, a promissory note evidencing the Term Loans of such Lender payable to the order of such Lender (or, if required by such Lender, to such Lender and its registered assigns) substantially in the form of </w:t>
      </w:r>
      <w:r>
        <w:rPr>
          <w:rFonts w:ascii="Arial" w:cs="Arial" w:eastAsia="Arial" w:hAnsi="Arial"/>
          <w:sz w:val="18"/>
          <w:szCs w:val="18"/>
          <w:u w:val="single" w:color="auto"/>
          <w:color w:val="auto"/>
        </w:rPr>
        <w:t>Exhibit C-2.</w:t>
      </w:r>
    </w:p>
    <w:p>
      <w:pPr>
        <w:spacing w:after="0" w:line="170" w:lineRule="exact"/>
        <w:rPr>
          <w:sz w:val="20"/>
          <w:szCs w:val="20"/>
          <w:color w:val="auto"/>
        </w:rPr>
      </w:pPr>
    </w:p>
    <w:p>
      <w:pPr>
        <w:ind w:right="100" w:firstLine="450"/>
        <w:spacing w:after="0" w:line="19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Maturity Date</w:t>
      </w:r>
      <w:r>
        <w:rPr>
          <w:rFonts w:ascii="Arial" w:cs="Arial" w:eastAsia="Arial" w:hAnsi="Arial"/>
          <w:sz w:val="18"/>
          <w:szCs w:val="18"/>
          <w:color w:val="auto"/>
        </w:rPr>
        <w:t>” means the fifth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anniversary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day is not a Business Day, the Term Maturity Date shall be the Business Day immediately preceding such day.</w:t>
      </w:r>
    </w:p>
    <w:p>
      <w:pPr>
        <w:spacing w:after="0" w:line="202" w:lineRule="exact"/>
        <w:rPr>
          <w:sz w:val="20"/>
          <w:szCs w:val="20"/>
          <w:color w:val="auto"/>
        </w:rPr>
      </w:pPr>
    </w:p>
    <w:p>
      <w:pPr>
        <w:ind w:right="20" w:firstLine="450"/>
        <w:spacing w:after="0" w:line="284" w:lineRule="auto"/>
        <w:rPr>
          <w:sz w:val="20"/>
          <w:szCs w:val="20"/>
          <w:color w:val="auto"/>
        </w:rPr>
      </w:pPr>
      <w:r>
        <w:rPr>
          <w:rFonts w:ascii="Arial" w:cs="Arial" w:eastAsia="Arial" w:hAnsi="Arial"/>
          <w:sz w:val="16"/>
          <w:szCs w:val="16"/>
          <w:u w:val="single" w:color="auto"/>
          <w:color w:val="0000FF"/>
        </w:rPr>
        <w:t>“Term SOFR” means a rate per annum equal to the greater of (a) the sum of (i) Term SOFR Reference Rate for a tenor comparable to the applicable Interest Period on the day (such day, the “Term SOFR Determination Day”) that is two (2) Government Securities Business Days prior to the first day of such Interest Period; provided, however, that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Government Securities Business Day for which such Term SOFR Reference Rate for such tenor was published by the Term SOFR Administrator so long as such first preceding Government Securities Business Day is not more than three (3) Government Securities Business Days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-829310</wp:posOffset>
            </wp:positionV>
            <wp:extent cx="676338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-692150</wp:posOffset>
            </wp:positionV>
            <wp:extent cx="69691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wp:posOffset>
            </wp:positionV>
            <wp:extent cx="69519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08088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0808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0628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68148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2343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such Term SOFR Determination Day plus (ii) the Term SOFR Adjustment, and (b) the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2519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191" w:lineRule="exact"/>
        <w:rPr>
          <w:sz w:val="20"/>
          <w:szCs w:val="20"/>
          <w:color w:val="auto"/>
        </w:rPr>
      </w:pPr>
    </w:p>
    <w:p>
      <w:pPr>
        <w:ind w:right="560" w:firstLine="450"/>
        <w:spacing w:after="0" w:line="277" w:lineRule="auto"/>
        <w:rPr>
          <w:sz w:val="20"/>
          <w:szCs w:val="20"/>
          <w:color w:val="auto"/>
        </w:rPr>
      </w:pPr>
      <w:r>
        <w:rPr>
          <w:rFonts w:ascii="Arial" w:cs="Arial" w:eastAsia="Arial" w:hAnsi="Arial"/>
          <w:sz w:val="18"/>
          <w:szCs w:val="18"/>
          <w:u w:val="single" w:color="auto"/>
          <w:color w:val="0000FF"/>
        </w:rPr>
        <w:t>“Term SOFR Adjustment” means (a) with respect to an Interest Period of one month, 0.10000%, (b) with respect to an Interest Period of three months, 0.15000% and (c) with respect to an Interest Period of six months, 0.25000%.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-165100</wp:posOffset>
            </wp:positionV>
            <wp:extent cx="64979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394335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943350" cy="8890"/>
                    </a:xfrm>
                    <a:prstGeom prst="rect">
                      <a:avLst/>
                    </a:prstGeom>
                    <a:noFill/>
                  </pic:spPr>
                </pic:pic>
              </a:graphicData>
            </a:graphic>
          </wp:anchor>
        </w:drawing>
      </w:r>
    </w:p>
    <w:p>
      <w:pPr>
        <w:spacing w:after="0" w:line="150" w:lineRule="exact"/>
        <w:rPr>
          <w:sz w:val="20"/>
          <w:szCs w:val="20"/>
          <w:color w:val="auto"/>
        </w:rPr>
      </w:pPr>
    </w:p>
    <w:p>
      <w:pPr>
        <w:ind w:right="600" w:firstLine="450"/>
        <w:spacing w:after="0" w:line="277" w:lineRule="auto"/>
        <w:rPr>
          <w:sz w:val="20"/>
          <w:szCs w:val="20"/>
          <w:color w:val="auto"/>
        </w:rPr>
      </w:pPr>
      <w:r>
        <w:rPr>
          <w:rFonts w:ascii="Arial" w:cs="Arial" w:eastAsia="Arial" w:hAnsi="Arial"/>
          <w:sz w:val="18"/>
          <w:szCs w:val="18"/>
          <w:u w:val="single" w:color="auto"/>
          <w:color w:val="0000FF"/>
        </w:rPr>
        <w:t>“Term SOFR Administrator” means CME Group Benchmark Administration Limited (CBA) (or a successor administrator of the Term SOFR Reference Rate selected by the 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-165100</wp:posOffset>
            </wp:positionV>
            <wp:extent cx="64719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374586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0000FF"/>
        </w:rPr>
        <w:t>“Term SOFR Determination Day” has the meaning specified in the definition of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wp:posOffset>
            </wp:positionV>
            <wp:extent cx="437197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371975" cy="8890"/>
                    </a:xfrm>
                    <a:prstGeom prst="rect">
                      <a:avLst/>
                    </a:prstGeom>
                    <a:noFill/>
                  </pic:spPr>
                </pic:pic>
              </a:graphicData>
            </a:graphic>
          </wp:anchor>
        </w:drawing>
      </w:r>
    </w:p>
    <w:p>
      <w:pPr>
        <w:spacing w:after="0" w:line="205" w:lineRule="exact"/>
        <w:rPr>
          <w:sz w:val="20"/>
          <w:szCs w:val="20"/>
          <w:color w:val="auto"/>
        </w:rPr>
      </w:pPr>
    </w:p>
    <w:p>
      <w:pPr>
        <w:ind w:right="700" w:firstLine="45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Reference Rate</w:t>
      </w:r>
      <w:r>
        <w:rPr>
          <w:rFonts w:ascii="Arial" w:cs="Arial" w:eastAsia="Arial" w:hAnsi="Arial"/>
          <w:sz w:val="18"/>
          <w:szCs w:val="18"/>
          <w:color w:val="auto"/>
        </w:rPr>
        <w:t xml:space="preserve">” means the forward-looking term rate based on SOFR </w:t>
      </w:r>
      <w:r>
        <w:rPr>
          <w:rFonts w:ascii="Arial" w:cs="Arial" w:eastAsia="Arial" w:hAnsi="Arial"/>
          <w:sz w:val="18"/>
          <w:szCs w:val="18"/>
          <w:color w:val="FF0000"/>
          <w:strike w:val="1"/>
        </w:rPr>
        <w:t>that has been selected or recommended by the Relevant</w:t>
      </w:r>
      <w:r>
        <w:rPr>
          <w:rFonts w:ascii="Arial" w:cs="Arial" w:eastAsia="Arial" w:hAnsi="Arial"/>
          <w:sz w:val="18"/>
          <w:szCs w:val="18"/>
          <w:color w:val="auto"/>
        </w:rPr>
        <w:t xml:space="preserve"> </w:t>
      </w:r>
      <w:r>
        <w:rPr>
          <w:rFonts w:ascii="Arial" w:cs="Arial" w:eastAsia="Arial" w:hAnsi="Arial"/>
          <w:sz w:val="18"/>
          <w:szCs w:val="18"/>
          <w:color w:val="FF0000"/>
          <w:strike w:val="1"/>
        </w:rPr>
        <w:t>Governmental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-144145</wp:posOffset>
            </wp:positionV>
            <wp:extent cx="70294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ind w:right="600"/>
        <w:spacing w:after="0" w:line="260" w:lineRule="auto"/>
        <w:rPr>
          <w:sz w:val="20"/>
          <w:szCs w:val="20"/>
          <w:color w:val="auto"/>
        </w:rPr>
      </w:pPr>
      <w:r>
        <w:rPr>
          <w:rFonts w:ascii="Arial" w:cs="Arial" w:eastAsia="Arial" w:hAnsi="Arial"/>
          <w:sz w:val="18"/>
          <w:szCs w:val="18"/>
          <w:u w:val="single" w:color="auto"/>
          <w:color w:val="0000FF"/>
        </w:rPr>
        <w:t>published by the Term SOFR Administrator and displayed on CME’s Market Data Platform (or other commercially available source providing such quotations as may be selected by the Administrative Agent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675513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35915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65" w:lineRule="exact"/>
        <w:rPr>
          <w:sz w:val="20"/>
          <w:szCs w:val="20"/>
          <w:color w:val="auto"/>
        </w:rPr>
      </w:pPr>
    </w:p>
    <w:p>
      <w:pPr>
        <w:ind w:right="20" w:firstLine="45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Date</w:t>
      </w:r>
      <w:r>
        <w:rPr>
          <w:rFonts w:ascii="Arial" w:cs="Arial" w:eastAsia="Arial" w:hAnsi="Arial"/>
          <w:sz w:val="16"/>
          <w:szCs w:val="16"/>
          <w:color w:val="auto"/>
        </w:rPr>
        <w:t>” means the date upon which all Commitments have terminated, no Letters of Credit are outstanding (or if Letters of Credit remain outstanding, the same are Backstopped), and the Loans and L/C Obligations (other than with respect to the undrawn portion of outstanding Letters of Credit), together with all interest and fees related thereto and other Loan Document Obligations (other than unasserted contingent indemnification and unasserted expense reimbursement obligations in each case not yet due and payable), have been indefeasibly paid in full in cash.</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$2,500,000.</w:t>
      </w:r>
    </w:p>
    <w:p>
      <w:pPr>
        <w:spacing w:after="0" w:line="225" w:lineRule="exact"/>
        <w:rPr>
          <w:sz w:val="20"/>
          <w:szCs w:val="20"/>
          <w:color w:val="auto"/>
        </w:rPr>
      </w:pPr>
    </w:p>
    <w:p>
      <w:pPr>
        <w:ind w:right="24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Credit Exposure</w:t>
      </w:r>
      <w:r>
        <w:rPr>
          <w:rFonts w:ascii="Arial" w:cs="Arial" w:eastAsia="Arial" w:hAnsi="Arial"/>
          <w:sz w:val="18"/>
          <w:szCs w:val="18"/>
          <w:color w:val="auto"/>
        </w:rPr>
        <w:t>” means, as to any Lender at any time, the unused Commitments, Revolving Exposure and outstanding Term Loans of such Lender at such time.</w:t>
      </w:r>
    </w:p>
    <w:p>
      <w:pPr>
        <w:spacing w:after="0" w:line="170" w:lineRule="exact"/>
        <w:rPr>
          <w:sz w:val="20"/>
          <w:szCs w:val="20"/>
          <w:color w:val="auto"/>
        </w:rPr>
      </w:pPr>
    </w:p>
    <w:p>
      <w:pPr>
        <w:ind w:right="88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Outstandings</w:t>
      </w:r>
      <w:r>
        <w:rPr>
          <w:rFonts w:ascii="Arial" w:cs="Arial" w:eastAsia="Arial" w:hAnsi="Arial"/>
          <w:sz w:val="18"/>
          <w:szCs w:val="18"/>
          <w:color w:val="auto"/>
        </w:rPr>
        <w:t>” means at any time, the aggregate Outstanding Amount of all Revolving Loans, Swingline Loans and L/C Obligations at such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Security Agreement</w:t>
      </w:r>
      <w:r>
        <w:rPr>
          <w:rFonts w:ascii="Arial" w:cs="Arial" w:eastAsia="Arial" w:hAnsi="Arial"/>
          <w:sz w:val="18"/>
          <w:szCs w:val="18"/>
          <w:color w:val="auto"/>
        </w:rPr>
        <w:t>” has the meaning set forth in the Security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9" w:name="page90"/>
    <w:bookmarkEnd w:id="89"/>
    <w:p>
      <w:pPr>
        <w:ind w:right="200" w:firstLine="45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Expenses</w:t>
      </w:r>
      <w:r>
        <w:rPr>
          <w:rFonts w:ascii="Arial" w:cs="Arial" w:eastAsia="Arial" w:hAnsi="Arial"/>
          <w:sz w:val="16"/>
          <w:szCs w:val="16"/>
          <w:color w:val="auto"/>
        </w:rPr>
        <w:t>” means any fees, premiums, expenses or other costs incurred or paid by the Borrower, or any Subsidiary in connection with the Transactions, this Credit Agreement and the other Loan Documents and the transactions contemplated hereby and thereby in connection therewith.</w:t>
      </w:r>
    </w:p>
    <w:p>
      <w:pPr>
        <w:spacing w:after="0" w:line="124" w:lineRule="exact"/>
        <w:rPr>
          <w:sz w:val="20"/>
          <w:szCs w:val="20"/>
          <w:color w:val="auto"/>
        </w:rPr>
      </w:pPr>
    </w:p>
    <w:p>
      <w:pPr>
        <w:ind w:firstLine="45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means (a) the execution, delivery and performance by each Loan Party of each Loan Document to which it is a party, (b) the borrowing of the Loans and the issuance of the Letters of Credit, (c) the use of the proceeds of the Loans and the Letters of Credit, (d) the satisfaction of the Collateral and Guarantee Requirement, (e) the Existing Credit Agreement Refinancing and (f) the payment of Transaction Expenses.</w:t>
      </w:r>
    </w:p>
    <w:p>
      <w:pPr>
        <w:spacing w:after="0" w:line="149" w:lineRule="exact"/>
        <w:rPr>
          <w:sz w:val="20"/>
          <w:szCs w:val="20"/>
          <w:color w:val="auto"/>
        </w:rPr>
      </w:pPr>
    </w:p>
    <w:p>
      <w:pPr>
        <w:ind w:right="48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xml:space="preserve">”, when used in reference to any Loan or Borrowing, refers to whether the rate of interest on such Loan, or on the Loans comprising such Borrowing, is determined by reference to </w:t>
      </w:r>
      <w:r>
        <w:rPr>
          <w:rFonts w:ascii="Arial" w:cs="Arial" w:eastAsia="Arial" w:hAnsi="Arial"/>
          <w:sz w:val="18"/>
          <w:szCs w:val="18"/>
          <w:color w:val="FF0000"/>
          <w:strike w:val="1"/>
        </w:rPr>
        <w:t>the Adjusted LIBOR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or the Alternate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-27940</wp:posOffset>
            </wp:positionV>
            <wp:extent cx="55753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150"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u w:val="single" w:color="auto"/>
          <w:color w:val="0000FF"/>
        </w:rPr>
        <w:t>“UK Financial Institution”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-429260</wp:posOffset>
            </wp:positionV>
            <wp:extent cx="643763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00341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0628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25374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7" w:lineRule="exact"/>
        <w:rPr>
          <w:sz w:val="20"/>
          <w:szCs w:val="20"/>
          <w:color w:val="auto"/>
        </w:rPr>
      </w:pPr>
    </w:p>
    <w:p>
      <w:pPr>
        <w:ind w:right="240" w:firstLine="450"/>
        <w:spacing w:after="0" w:line="277" w:lineRule="auto"/>
        <w:rPr>
          <w:sz w:val="20"/>
          <w:szCs w:val="20"/>
          <w:color w:val="auto"/>
        </w:rPr>
      </w:pPr>
      <w:r>
        <w:rPr>
          <w:rFonts w:ascii="Arial" w:cs="Arial" w:eastAsia="Arial" w:hAnsi="Arial"/>
          <w:sz w:val="18"/>
          <w:szCs w:val="18"/>
          <w:u w:val="single" w:color="auto"/>
          <w:color w:val="0000FF"/>
        </w:rPr>
        <w:t>“UK Resolution Authority” means the Bank of England or any other public administrative authority having responsibility for the resolution of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-165100</wp:posOffset>
            </wp:positionV>
            <wp:extent cx="669480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114871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Unadjusted Benchmark Replacement</w:t>
      </w:r>
      <w:r>
        <w:rPr>
          <w:rFonts w:ascii="Arial" w:cs="Arial" w:eastAsia="Arial" w:hAnsi="Arial"/>
          <w:sz w:val="16"/>
          <w:szCs w:val="16"/>
          <w:color w:val="auto"/>
        </w:rPr>
        <w:t xml:space="preserve">” means the </w:t>
      </w:r>
      <w:r>
        <w:rPr>
          <w:rFonts w:ascii="Arial" w:cs="Arial" w:eastAsia="Arial" w:hAnsi="Arial"/>
          <w:sz w:val="16"/>
          <w:szCs w:val="16"/>
          <w:u w:val="single" w:color="auto"/>
          <w:color w:val="0000FF"/>
        </w:rPr>
        <w:t>applicable</w:t>
      </w:r>
      <w:r>
        <w:rPr>
          <w:rFonts w:ascii="Arial" w:cs="Arial" w:eastAsia="Arial" w:hAnsi="Arial"/>
          <w:sz w:val="16"/>
          <w:szCs w:val="16"/>
          <w:color w:val="auto"/>
        </w:rPr>
        <w:t xml:space="preserve"> Benchmark Replacement excluding the </w:t>
      </w:r>
      <w:r>
        <w:rPr>
          <w:rFonts w:ascii="Arial" w:cs="Arial" w:eastAsia="Arial" w:hAnsi="Arial"/>
          <w:sz w:val="16"/>
          <w:szCs w:val="16"/>
          <w:u w:val="single" w:color="auto"/>
          <w:color w:val="0000FF"/>
        </w:rPr>
        <w:t>related</w:t>
      </w:r>
      <w:r>
        <w:rPr>
          <w:rFonts w:ascii="Arial" w:cs="Arial" w:eastAsia="Arial" w:hAnsi="Arial"/>
          <w:sz w:val="16"/>
          <w:szCs w:val="16"/>
          <w:color w:val="auto"/>
        </w:rPr>
        <w:t xml:space="preserve"> Benchmark Replacement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20955</wp:posOffset>
            </wp:positionV>
            <wp:extent cx="49720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20955</wp:posOffset>
            </wp:positionV>
            <wp:extent cx="34290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28" w:lineRule="exact"/>
        <w:rPr>
          <w:sz w:val="20"/>
          <w:szCs w:val="20"/>
          <w:color w:val="auto"/>
        </w:rPr>
      </w:pPr>
    </w:p>
    <w:p>
      <w:pPr>
        <w:ind w:firstLine="45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Unaudited Financial Statements</w:t>
      </w:r>
      <w:r>
        <w:rPr>
          <w:rFonts w:ascii="Arial" w:cs="Arial" w:eastAsia="Arial" w:hAnsi="Arial"/>
          <w:sz w:val="17"/>
          <w:szCs w:val="17"/>
          <w:color w:val="auto"/>
        </w:rPr>
        <w:t>” means the Form 10-Q containing the unaudited consolidated balance sheets and related statements of income, comprehensive income, changes in equity and cash flows of the Borrower and its Subsidiaries, covering any of the first three fiscal quarters that have ended after the most recent Fiscal Year covered by the Audited Financial Statements and at least 45 days before the Closing Date.</w:t>
      </w:r>
    </w:p>
    <w:p>
      <w:pPr>
        <w:spacing w:after="0" w:line="165" w:lineRule="exact"/>
        <w:rPr>
          <w:sz w:val="20"/>
          <w:szCs w:val="20"/>
          <w:color w:val="auto"/>
        </w:rPr>
      </w:pPr>
    </w:p>
    <w:p>
      <w:pPr>
        <w:ind w:right="260" w:firstLine="45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or “</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the same may from time to time be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“Uniform Commercial Code” or “UCC” means the Uniform Commercial Code as in effect from time to time in such other jurisdiction for purposes of the provisions hereof relating to such perfection, effect of perfection or non-perfection or priority.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2.4(c)(i)</w:t>
      </w:r>
      <w:r>
        <w:rPr>
          <w:rFonts w:ascii="Arial" w:cs="Arial" w:eastAsia="Arial" w:hAnsi="Arial"/>
          <w:sz w:val="18"/>
          <w:szCs w:val="18"/>
          <w:color w:val="auto"/>
        </w:rPr>
        <w:t>.</w:t>
      </w:r>
    </w:p>
    <w:p>
      <w:pPr>
        <w:spacing w:after="0" w:line="225"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(Title III of Pub. L. No. 107-56 (signed into law October 26, 2001)).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3.6(g)(v)</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0" w:name="page91"/>
    <w:bookmarkEnd w:id="90"/>
    <w:p>
      <w:pPr>
        <w:ind w:right="2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Equity Interests</w:t>
      </w:r>
      <w:r>
        <w:rPr>
          <w:rFonts w:ascii="Arial" w:cs="Arial" w:eastAsia="Arial" w:hAnsi="Arial"/>
          <w:sz w:val="18"/>
          <w:szCs w:val="18"/>
          <w:color w:val="auto"/>
        </w:rPr>
        <w:t>” means, with respect to any Person, shares of such Person’s Equity Interests having the right to vote for the election of the members of the board of directors or other managing person of such Person under ordinary circumstances.</w:t>
      </w:r>
    </w:p>
    <w:p>
      <w:pPr>
        <w:spacing w:after="0" w:line="170" w:lineRule="exact"/>
        <w:rPr>
          <w:sz w:val="20"/>
          <w:szCs w:val="20"/>
          <w:color w:val="auto"/>
        </w:rPr>
      </w:pPr>
    </w:p>
    <w:p>
      <w:pPr>
        <w:ind w:right="60" w:firstLine="45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71" w:lineRule="exact"/>
        <w:rPr>
          <w:sz w:val="20"/>
          <w:szCs w:val="20"/>
          <w:color w:val="auto"/>
        </w:rPr>
      </w:pPr>
    </w:p>
    <w:p>
      <w:pPr>
        <w:jc w:val="both"/>
        <w:ind w:right="60" w:firstLine="45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w:t>
      </w:r>
      <w:r>
        <w:rPr>
          <w:rFonts w:ascii="Arial" w:cs="Arial" w:eastAsia="Arial" w:hAnsi="Arial"/>
          <w:sz w:val="18"/>
          <w:szCs w:val="18"/>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84" w:lineRule="exact"/>
        <w:rPr>
          <w:sz w:val="20"/>
          <w:szCs w:val="20"/>
          <w:color w:val="auto"/>
        </w:rPr>
      </w:pPr>
    </w:p>
    <w:p>
      <w:pPr>
        <w:ind w:right="2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Withdrawal Liability</w:t>
      </w:r>
      <w:r>
        <w:rPr>
          <w:rFonts w:ascii="Arial" w:cs="Arial" w:eastAsia="Arial" w:hAnsi="Arial"/>
          <w:sz w:val="18"/>
          <w:szCs w:val="18"/>
          <w:color w:val="auto"/>
        </w:rPr>
        <w:t>” means a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Withholding Agent</w:t>
      </w:r>
      <w:r>
        <w:rPr>
          <w:rFonts w:ascii="Arial" w:cs="Arial" w:eastAsia="Arial" w:hAnsi="Arial"/>
          <w:sz w:val="18"/>
          <w:szCs w:val="18"/>
          <w:color w:val="auto"/>
        </w:rPr>
        <w:t>” means any Loan Party and the Administrative Agent.</w:t>
      </w:r>
    </w:p>
    <w:p>
      <w:pPr>
        <w:spacing w:after="0" w:line="225" w:lineRule="exact"/>
        <w:rPr>
          <w:sz w:val="20"/>
          <w:szCs w:val="20"/>
          <w:color w:val="auto"/>
        </w:rPr>
      </w:pPr>
    </w:p>
    <w:p>
      <w:pPr>
        <w:ind w:right="60" w:firstLine="45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xml:space="preserve">” means, </w:t>
      </w:r>
      <w:r>
        <w:rPr>
          <w:rFonts w:ascii="Arial" w:cs="Arial" w:eastAsia="Arial" w:hAnsi="Arial"/>
          <w:sz w:val="17"/>
          <w:szCs w:val="17"/>
          <w:u w:val="single" w:color="auto"/>
          <w:color w:val="0000FF"/>
        </w:rPr>
        <w:t>(a)</w:t>
      </w:r>
      <w:r>
        <w:rPr>
          <w:rFonts w:ascii="Arial" w:cs="Arial" w:eastAsia="Arial" w:hAnsi="Arial"/>
          <w:sz w:val="17"/>
          <w:szCs w:val="17"/>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Arial" w:cs="Arial" w:eastAsia="Arial" w:hAnsi="Arial"/>
          <w:sz w:val="17"/>
          <w:szCs w:val="17"/>
          <w:color w:val="FF0000"/>
          <w:strike w:val="1"/>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 </w:t>
      </w:r>
      <w:r>
        <w:rPr>
          <w:rFonts w:ascii="Arial" w:cs="Arial" w:eastAsia="Arial" w:hAnsi="Arial"/>
          <w:sz w:val="17"/>
          <w:szCs w:val="17"/>
          <w:color w:val="0000FF"/>
        </w:rPr>
        <w:t>and (b) with respect to the United Kingdom, any powers of the applicable Resolution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-846455</wp:posOffset>
            </wp:positionV>
            <wp:extent cx="15430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-572135</wp:posOffset>
            </wp:positionV>
            <wp:extent cx="391731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-589280</wp:posOffset>
            </wp:positionV>
            <wp:extent cx="391858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918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676338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03770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037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09803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479171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 Differential</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2.11(c)</w:t>
      </w:r>
      <w:r>
        <w:rPr>
          <w:rFonts w:ascii="Arial" w:cs="Arial" w:eastAsia="Arial" w:hAnsi="Arial"/>
          <w:sz w:val="18"/>
          <w:szCs w:val="18"/>
          <w:color w:val="auto"/>
        </w:rPr>
        <w:t>.</w:t>
      </w:r>
    </w:p>
    <w:p>
      <w:pPr>
        <w:spacing w:after="0" w:line="22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Credit Agreement, Loans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Revolving Loan</w:t>
      </w:r>
      <w:r>
        <w:rPr>
          <w:rFonts w:ascii="Arial" w:cs="Arial" w:eastAsia="Arial" w:hAnsi="Arial"/>
          <w:sz w:val="18"/>
          <w:szCs w:val="18"/>
          <w:color w:val="auto"/>
        </w:rPr>
        <w:t>”) or by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w:t>
      </w:r>
      <w:r>
        <w:rPr>
          <w:rFonts w:ascii="Arial" w:cs="Arial" w:eastAsia="Arial" w:hAnsi="Arial"/>
          <w:sz w:val="18"/>
          <w:szCs w:val="18"/>
          <w:color w:val="auto"/>
        </w:rPr>
        <w:t>”)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Loan</w:t>
      </w:r>
      <w:r>
        <w:rPr>
          <w:rFonts w:ascii="Arial" w:cs="Arial" w:eastAsia="Arial" w:hAnsi="Arial"/>
          <w:sz w:val="18"/>
          <w:szCs w:val="18"/>
          <w:color w:val="auto"/>
        </w:rPr>
        <w:t>”). Borrowings may also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Revolving Borrowing</w:t>
      </w:r>
      <w:r>
        <w:rPr>
          <w:rFonts w:ascii="Arial" w:cs="Arial" w:eastAsia="Arial" w:hAnsi="Arial"/>
          <w:sz w:val="18"/>
          <w:szCs w:val="18"/>
          <w:color w:val="auto"/>
        </w:rPr>
        <w:t>”) or by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w:t>
      </w:r>
      <w:r>
        <w:rPr>
          <w:rFonts w:ascii="Arial" w:cs="Arial" w:eastAsia="Arial" w:hAnsi="Arial"/>
          <w:sz w:val="18"/>
          <w:szCs w:val="18"/>
          <w:u w:val="single" w:color="auto"/>
          <w:color w:val="auto"/>
        </w:rPr>
        <w:t>Borrowing</w:t>
      </w:r>
      <w:r>
        <w:rPr>
          <w:rFonts w:ascii="Arial" w:cs="Arial" w:eastAsia="Arial" w:hAnsi="Arial"/>
          <w:sz w:val="18"/>
          <w:szCs w:val="18"/>
          <w:color w:val="auto"/>
        </w:rPr>
        <w:t>”)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Borrowing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-292100</wp:posOffset>
            </wp:positionV>
            <wp:extent cx="28321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-292100</wp:posOffset>
            </wp:positionV>
            <wp:extent cx="28257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-154940</wp:posOffset>
            </wp:positionV>
            <wp:extent cx="29146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-17780</wp:posOffset>
            </wp:positionV>
            <wp:extent cx="28257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67" w:lineRule="exact"/>
        <w:rPr>
          <w:sz w:val="20"/>
          <w:szCs w:val="20"/>
          <w:color w:val="auto"/>
        </w:rPr>
      </w:pPr>
    </w:p>
    <w:p>
      <w:pPr>
        <w:jc w:val="both"/>
        <w:ind w:firstLine="450"/>
        <w:spacing w:after="0" w:line="284"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In the computation of periods of time from a specified date to a later specified date, the word “from” means “from and including”; the words “to” and “until” each mean “to but excluding”; and the word “through” means “to and including.”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reference herein to any Person shall be construed to include such Person’s successors and assigns,</w:t>
      </w:r>
    </w:p>
    <w:p>
      <w:pPr>
        <w:spacing w:after="0" w:line="1" w:lineRule="exact"/>
        <w:rPr>
          <w:sz w:val="20"/>
          <w:szCs w:val="20"/>
          <w:color w:val="auto"/>
        </w:rPr>
      </w:pPr>
    </w:p>
    <w:p>
      <w:pPr>
        <w:jc w:val="both"/>
        <w:ind w:firstLine="8"/>
        <w:spacing w:after="0" w:line="268" w:lineRule="auto"/>
        <w:tabs>
          <w:tab w:leader="none" w:pos="246"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the words “herein,” “hereof” and “hereunder,” and words of similar import, shall be construed to refer to this Credit Agreement in its entirety and not to any particular provision hereof, (d) all references herein to Articles, Sections, Exhibits and Schedules shall be construed to refer to Articles and Sections of, and Exhibits and Schedules to, this Credit Agreement,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 Any terms used in this Credit Agreement that are defined in the UCC shall be construed and defined as set forth in the UCC unless otherwise defined herein; </w:t>
      </w:r>
      <w:r>
        <w:rPr>
          <w:rFonts w:ascii="Arial" w:cs="Arial" w:eastAsia="Arial" w:hAnsi="Arial"/>
          <w:sz w:val="17"/>
          <w:szCs w:val="17"/>
          <w:u w:val="single" w:color="auto"/>
          <w:color w:val="auto"/>
        </w:rPr>
        <w:t>provided</w:t>
      </w:r>
      <w:r>
        <w:rPr>
          <w:rFonts w:ascii="Arial" w:cs="Arial" w:eastAsia="Arial" w:hAnsi="Arial"/>
          <w:sz w:val="17"/>
          <w:szCs w:val="17"/>
          <w:color w:val="auto"/>
        </w:rPr>
        <w:t>, that to the extent that the UCC is used to define any term herein and such term is defined differently in different Articles of the UCC, the definition of such term contained in Article 9 of the UCC shall govern.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1" w:name="page92"/>
    <w:bookmarkEnd w:id="91"/>
    <w:p>
      <w:pPr>
        <w:ind w:left="460"/>
        <w:spacing w:after="0"/>
        <w:tabs>
          <w:tab w:leader="none" w:pos="156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Accounting Terms; GAAP</w:t>
      </w:r>
      <w:r>
        <w:rPr>
          <w:rFonts w:ascii="Arial" w:cs="Arial" w:eastAsia="Arial" w:hAnsi="Arial"/>
          <w:sz w:val="16"/>
          <w:szCs w:val="16"/>
          <w:color w:val="auto"/>
        </w:rPr>
        <w:t>.</w:t>
      </w:r>
    </w:p>
    <w:p>
      <w:pPr>
        <w:spacing w:after="0" w:line="225" w:lineRule="exact"/>
        <w:rPr>
          <w:sz w:val="20"/>
          <w:szCs w:val="20"/>
          <w:color w:val="auto"/>
        </w:rPr>
      </w:pPr>
    </w:p>
    <w:p>
      <w:pPr>
        <w:jc w:val="both"/>
        <w:ind w:firstLine="1106"/>
        <w:spacing w:after="0" w:line="311" w:lineRule="auto"/>
        <w:tabs>
          <w:tab w:leader="none" w:pos="1696"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accounting terms not specifically or completely defined herein shall be construed in conformity with, and all financial data (including financial ratios and other financial calculations) required to be submitted pursuant to this Credit Agreement shall be prepared in conformity with, GAAP, applied in a manner consistent with that used in preparing the Audited Financial Statements, except as otherwise specifically prescribed herein.</w:t>
      </w:r>
    </w:p>
    <w:p>
      <w:pPr>
        <w:spacing w:after="0" w:line="148" w:lineRule="exact"/>
        <w:rPr>
          <w:rFonts w:ascii="Arial" w:cs="Arial" w:eastAsia="Arial" w:hAnsi="Arial"/>
          <w:sz w:val="16"/>
          <w:szCs w:val="16"/>
          <w:color w:val="auto"/>
        </w:rPr>
      </w:pPr>
    </w:p>
    <w:p>
      <w:pPr>
        <w:jc w:val="both"/>
        <w:ind w:firstLine="1106"/>
        <w:spacing w:after="0" w:line="259" w:lineRule="auto"/>
        <w:tabs>
          <w:tab w:leader="none" w:pos="1603"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Notwithstanding anything to the contrary herein, for purposes of determining compliance with any test contained in this Credit Agreement with respect to any period during which any Specified Transaction occurs, Consolidated EBITDA, Consolidated Fixed Charge Coverage Ratio and Consolidated Net Leverage Ratio (and all component definitions of any of the foregoing) shall be calculated with respect to such period and all Specified Transactions occurring during such period on a Pro Forma Basis.</w:t>
      </w:r>
    </w:p>
    <w:p>
      <w:pPr>
        <w:spacing w:after="0" w:line="186" w:lineRule="exact"/>
        <w:rPr>
          <w:rFonts w:ascii="Arial" w:cs="Arial" w:eastAsia="Arial" w:hAnsi="Arial"/>
          <w:sz w:val="18"/>
          <w:szCs w:val="18"/>
          <w:color w:val="auto"/>
        </w:rPr>
      </w:pPr>
    </w:p>
    <w:p>
      <w:pPr>
        <w:jc w:val="both"/>
        <w:ind w:firstLine="1106"/>
        <w:spacing w:after="0" w:line="254" w:lineRule="auto"/>
        <w:tabs>
          <w:tab w:leader="none" w:pos="1834"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Credit Agreement or as reasonably requested hereunder setting forth a reconciliation between calculations of such ratio or requirement made before and after giving effect to such change in GAAP.</w:t>
      </w:r>
    </w:p>
    <w:p>
      <w:pPr>
        <w:spacing w:after="0" w:line="195"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Rounding</w:t>
      </w:r>
      <w:r>
        <w:rPr>
          <w:rFonts w:ascii="Arial" w:cs="Arial" w:eastAsia="Arial" w:hAnsi="Arial"/>
          <w:sz w:val="17"/>
          <w:szCs w:val="17"/>
          <w:color w:val="auto"/>
        </w:rPr>
        <w:t>. Any financial ratios required to be maintained by the Borrower pursuant to this Credit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5"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References to Time</w:t>
      </w:r>
      <w:r>
        <w:rPr>
          <w:rFonts w:ascii="Arial" w:cs="Arial" w:eastAsia="Arial" w:hAnsi="Arial"/>
          <w:sz w:val="18"/>
          <w:szCs w:val="18"/>
          <w:color w:val="auto"/>
        </w:rPr>
        <w:t>. Unless the context otherwise requires, references to a time shall refer to Eastern Standard Time or Eastern Daylight Savings Time, as applicable.</w:t>
      </w:r>
    </w:p>
    <w:p>
      <w:pPr>
        <w:spacing w:after="0" w:line="170"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Resolution of Drafting Ambiguities</w:t>
      </w:r>
      <w:r>
        <w:rPr>
          <w:rFonts w:ascii="Arial" w:cs="Arial" w:eastAsia="Arial" w:hAnsi="Arial"/>
          <w:sz w:val="18"/>
          <w:szCs w:val="18"/>
          <w:color w:val="auto"/>
        </w:rPr>
        <w:t>. Each Loan Party acknowledges and agrees that it was represented by counsel in connection with the execution and delivery of the Loan Documents to which it is a party, that it and its counsel reviewed and participated in the preparation and negotiation hereof and thereof and that any rule of construction to the effect that ambiguities are to be resolved against the drafting party shall not be employed in the interpretation hereof or thereof.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2" w:name="page93"/>
    <w:bookmarkEnd w:id="92"/>
    <w:p>
      <w:pPr>
        <w:jc w:val="both"/>
        <w:ind w:firstLine="450"/>
        <w:spacing w:after="0" w:line="270"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Status of Loan Document Obligations</w:t>
      </w:r>
      <w:r>
        <w:rPr>
          <w:rFonts w:ascii="Arial" w:cs="Arial" w:eastAsia="Arial" w:hAnsi="Arial"/>
          <w:sz w:val="17"/>
          <w:szCs w:val="17"/>
          <w:color w:val="auto"/>
        </w:rPr>
        <w:t>. In the event that any Loan Party shall at any time issue or have outstanding any Subordinated Debt, the Borrower shall take or cause each other Loan Party to take all such actions as shall be necessary to cause the Loan Document Obligations to constitute senior indebtedness (however denominated) in respect of such Subordinated Debt and to enable the Administrative Agent and the Lenders to have and exercise any payment blockage or other remedies available or potentially available to holders of senior indebtedness under the terms of such Subordinated Debt. Without limiting the foregoing, the Loan Document Obligations are hereby designated as “senior indebtedness” and as “designated senior indebtedness” and words of similar import under and in respect of the Subordinated Debt Documents under which such Subordinated Debt is issued and are further given all such other designations as shall be required under the terms of any such Subordinated Debt in order that the Administrative Agent and the Lenders may have and exercise any payment blockage or other remedies available or potentially available to holders of senior indebtedness under the terms of such Subordinated Debt.</w:t>
      </w:r>
    </w:p>
    <w:p>
      <w:pPr>
        <w:spacing w:after="0" w:line="181"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450"/>
        <w:spacing w:after="0" w:line="282"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FF0000"/>
          <w:strike w:val="1"/>
        </w:rPr>
        <w:t>Interest; LIBOR Notification</w:t>
      </w:r>
      <w:r>
        <w:rPr>
          <w:rFonts w:ascii="Arial" w:cs="Arial" w:eastAsia="Arial" w:hAnsi="Arial"/>
          <w:sz w:val="16"/>
          <w:szCs w:val="16"/>
          <w:color w:val="FF0000"/>
          <w:strike w:val="1"/>
        </w:rPr>
        <w:t>. The interest rate on LIBOR Rate Loans is determined by reference to the LIBOR Rate, which is</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“IBA”) for purposes of the IBA setting the London interbank offered rate. As a result, it is possible that, in the future, the London interbank offered rate may become unavailable or may no longer be deemed an appropriate reference rate upon which to determine the interest rate on LIBOR Rate Loans. In light of this eventuality, public and private sector industry initiatives are currently underway to identify new or alternative reference rates to be used in place of the London interbank offered rate. In the event that the London interbank offered rate is no longer available or in certain other circumstances as set forth in </w:t>
      </w:r>
      <w:r>
        <w:rPr>
          <w:rFonts w:ascii="Arial" w:cs="Arial" w:eastAsia="Arial" w:hAnsi="Arial"/>
          <w:sz w:val="16"/>
          <w:szCs w:val="16"/>
          <w:u w:val="single" w:color="auto"/>
          <w:color w:val="FF0000"/>
          <w:strike w:val="1"/>
        </w:rPr>
        <w:t>Section 3.3</w:t>
      </w:r>
      <w:r>
        <w:rPr>
          <w:rFonts w:ascii="Arial" w:cs="Arial" w:eastAsia="Arial" w:hAnsi="Arial"/>
          <w:sz w:val="16"/>
          <w:szCs w:val="16"/>
          <w:color w:val="FF0000"/>
          <w:strike w:val="1"/>
        </w:rPr>
        <w:t xml:space="preserve">, an alternative rate of interest may be selected and implemented in accordance with the mechanism contained in such Section. The Administrative Agent will notify the Borrower, pursuant to </w:t>
      </w:r>
      <w:r>
        <w:rPr>
          <w:rFonts w:ascii="Arial" w:cs="Arial" w:eastAsia="Arial" w:hAnsi="Arial"/>
          <w:sz w:val="16"/>
          <w:szCs w:val="16"/>
          <w:u w:val="single" w:color="auto"/>
          <w:color w:val="FF0000"/>
          <w:strike w:val="1"/>
        </w:rPr>
        <w:t>Section 3.3</w:t>
      </w:r>
      <w:r>
        <w:rPr>
          <w:rFonts w:ascii="Arial" w:cs="Arial" w:eastAsia="Arial" w:hAnsi="Arial"/>
          <w:sz w:val="16"/>
          <w:szCs w:val="16"/>
          <w:color w:val="FF0000"/>
          <w:strike w:val="1"/>
        </w:rPr>
        <w:t>, in advance of any change to the reference rate upon which the interest rate on LIBOR Rate Loans is based. However, the</w:t>
      </w:r>
      <w:r>
        <w:rPr>
          <w:rFonts w:ascii="Arial" w:cs="Arial" w:eastAsia="Arial" w:hAnsi="Arial"/>
          <w:sz w:val="16"/>
          <w:szCs w:val="16"/>
          <w:u w:val="single" w:color="auto"/>
          <w:color w:val="0000FF"/>
          <w:strike w:val="1"/>
        </w:rPr>
        <w:t>Rates. The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Administrative Agent does not warrant,</w:t>
      </w:r>
      <w:r>
        <w:rPr>
          <w:rFonts w:ascii="Arial" w:cs="Arial" w:eastAsia="Arial" w:hAnsi="Arial"/>
          <w:sz w:val="16"/>
          <w:szCs w:val="16"/>
          <w:color w:val="FF0000"/>
          <w:strike w:val="1"/>
        </w:rPr>
        <w:t xml:space="preserve"> nor </w:t>
      </w:r>
      <w:r>
        <w:rPr>
          <w:rFonts w:ascii="Arial" w:cs="Arial" w:eastAsia="Arial" w:hAnsi="Arial"/>
          <w:sz w:val="16"/>
          <w:szCs w:val="16"/>
          <w:u w:val="single" w:color="auto"/>
          <w:color w:val="0000FF"/>
          <w:strike w:val="1"/>
        </w:rPr>
        <w:t>or</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accept responsibility </w:t>
      </w:r>
      <w:r>
        <w:rPr>
          <w:rFonts w:ascii="Arial" w:cs="Arial" w:eastAsia="Arial" w:hAnsi="Arial"/>
          <w:sz w:val="16"/>
          <w:szCs w:val="16"/>
          <w:u w:val="single" w:color="auto"/>
          <w:color w:val="0000FF"/>
          <w:strike w:val="1"/>
        </w:rPr>
        <w:t>for</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nor</w:t>
      </w:r>
      <w:r>
        <w:rPr>
          <w:rFonts w:ascii="Arial" w:cs="Arial" w:eastAsia="Arial" w:hAnsi="Arial"/>
          <w:sz w:val="16"/>
          <w:szCs w:val="16"/>
          <w:u w:val="single" w:color="auto"/>
          <w:color w:val="0000FF"/>
          <w:strike w:val="1"/>
        </w:rPr>
        <w:t>and</w:t>
      </w:r>
      <w:r>
        <w:rPr>
          <w:rFonts w:ascii="Arial" w:cs="Arial" w:eastAsia="Arial" w:hAnsi="Arial"/>
          <w:sz w:val="16"/>
          <w:szCs w:val="16"/>
          <w:color w:val="000000"/>
          <w:strike w:val="1"/>
        </w:rPr>
        <w:t xml:space="preserve"> shall </w:t>
      </w:r>
      <w:r>
        <w:rPr>
          <w:rFonts w:ascii="Arial" w:cs="Arial" w:eastAsia="Arial" w:hAnsi="Arial"/>
          <w:sz w:val="16"/>
          <w:szCs w:val="16"/>
          <w:color w:val="FF0000"/>
          <w:strike w:val="1"/>
        </w:rPr>
        <w:t>the Administrative Agent</w:t>
      </w:r>
      <w:r>
        <w:rPr>
          <w:rFonts w:ascii="Arial" w:cs="Arial" w:eastAsia="Arial" w:hAnsi="Arial"/>
          <w:sz w:val="16"/>
          <w:szCs w:val="16"/>
          <w:u w:val="single" w:color="auto"/>
          <w:color w:val="0000FF"/>
          <w:strike w:val="1"/>
        </w:rPr>
        <w:t>not</w:t>
      </w:r>
      <w:r>
        <w:rPr>
          <w:rFonts w:ascii="Arial" w:cs="Arial" w:eastAsia="Arial" w:hAnsi="Arial"/>
          <w:sz w:val="16"/>
          <w:szCs w:val="16"/>
          <w:color w:val="000000"/>
          <w:strike w:val="1"/>
        </w:rPr>
        <w:t xml:space="preserve"> have any liability with respect to </w:t>
      </w:r>
      <w:r>
        <w:rPr>
          <w:rFonts w:ascii="Arial" w:cs="Arial" w:eastAsia="Arial" w:hAnsi="Arial"/>
          <w:sz w:val="16"/>
          <w:szCs w:val="16"/>
          <w:color w:val="FF0000"/>
          <w:strike w:val="1"/>
        </w:rPr>
        <w:t>the</w:t>
      </w:r>
      <w:r>
        <w:rPr>
          <w:rFonts w:ascii="Arial" w:cs="Arial" w:eastAsia="Arial" w:hAnsi="Arial"/>
          <w:sz w:val="16"/>
          <w:szCs w:val="16"/>
          <w:u w:val="single" w:color="auto"/>
          <w:color w:val="0000FF"/>
          <w:strike w:val="1"/>
        </w:rPr>
        <w:t>(a)</w:t>
      </w:r>
      <w:r>
        <w:rPr>
          <w:rFonts w:ascii="Arial" w:cs="Arial" w:eastAsia="Arial" w:hAnsi="Arial"/>
          <w:sz w:val="16"/>
          <w:szCs w:val="16"/>
          <w:color w:val="000000"/>
          <w:strike w:val="1"/>
        </w:rPr>
        <w:t xml:space="preserve"> administration, </w:t>
      </w:r>
      <w:r>
        <w:rPr>
          <w:rFonts w:ascii="Arial" w:cs="Arial" w:eastAsia="Arial" w:hAnsi="Arial"/>
          <w:sz w:val="16"/>
          <w:szCs w:val="16"/>
          <w:color w:val="FF0000"/>
          <w:strike w:val="1"/>
        </w:rPr>
        <w:t>submission</w:t>
      </w:r>
      <w:r>
        <w:rPr>
          <w:rFonts w:ascii="Arial" w:cs="Arial" w:eastAsia="Arial" w:hAnsi="Arial"/>
          <w:sz w:val="16"/>
          <w:szCs w:val="16"/>
          <w:u w:val="single" w:color="auto"/>
          <w:color w:val="0000FF"/>
          <w:strike w:val="1"/>
        </w:rPr>
        <w:t>construction,</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calculation, publication, continuation, discontinuation, movement, or regulation of</w:t>
      </w:r>
      <w:r>
        <w:rPr>
          <w:rFonts w:ascii="Arial" w:cs="Arial" w:eastAsia="Arial" w:hAnsi="Arial"/>
          <w:sz w:val="16"/>
          <w:szCs w:val="16"/>
          <w:u w:val="single" w:color="auto"/>
          <w:color w:val="000000"/>
          <w:strike w:val="1"/>
        </w:rPr>
        <w:t>,</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or any other matter related to</w:t>
      </w:r>
      <w:r>
        <w:rPr>
          <w:rFonts w:ascii="Arial" w:cs="Arial" w:eastAsia="Arial" w:hAnsi="Arial"/>
          <w:sz w:val="16"/>
          <w:szCs w:val="16"/>
          <w:u w:val="single" w:color="auto"/>
          <w:color w:val="000000"/>
          <w:strike w:val="1"/>
        </w:rPr>
        <w:t>,</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the</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rates in the definition of</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“LIBOR</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Rate” or with respect to any comparable or successor rate thereto or replacement rate thereof, including, without limitation, whether the composition or characteristics of any such</w:t>
      </w:r>
      <w:r>
        <w:rPr>
          <w:rFonts w:ascii="Arial" w:cs="Arial" w:eastAsia="Arial" w:hAnsi="Arial"/>
          <w:sz w:val="16"/>
          <w:szCs w:val="16"/>
          <w:u w:val="single" w:color="auto"/>
          <w:color w:val="0000FF"/>
          <w:strike w:val="1"/>
        </w:rPr>
        <w:t>Alternate Base Rate, the Benchmark, or any</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alternative, successor or replacement</w:t>
      </w:r>
      <w:r>
        <w:rPr>
          <w:rFonts w:ascii="Arial" w:cs="Arial" w:eastAsia="Arial" w:hAnsi="Arial"/>
          <w:sz w:val="16"/>
          <w:szCs w:val="16"/>
          <w:color w:val="FF0000"/>
          <w:strike w:val="1"/>
        </w:rPr>
        <w:t xml:space="preserve"> reference </w:t>
      </w:r>
      <w:r>
        <w:rPr>
          <w:rFonts w:ascii="Arial" w:cs="Arial" w:eastAsia="Arial" w:hAnsi="Arial"/>
          <w:sz w:val="16"/>
          <w:szCs w:val="16"/>
          <w:color w:val="000000"/>
          <w:strike w:val="1"/>
        </w:rPr>
        <w:t>rate</w:t>
      </w:r>
      <w:r>
        <w:rPr>
          <w:rFonts w:ascii="Arial" w:cs="Arial" w:eastAsia="Arial" w:hAnsi="Arial"/>
          <w:sz w:val="16"/>
          <w:szCs w:val="16"/>
          <w:color w:val="FF0000"/>
          <w:strike w:val="1"/>
        </w:rPr>
        <w:t xml:space="preserve">, as it may or may not be adjusted pursuant to </w:t>
      </w:r>
      <w:r>
        <w:rPr>
          <w:rFonts w:ascii="Arial" w:cs="Arial" w:eastAsia="Arial" w:hAnsi="Arial"/>
          <w:sz w:val="16"/>
          <w:szCs w:val="16"/>
          <w:u w:val="single" w:color="auto"/>
          <w:color w:val="FF0000"/>
          <w:strike w:val="1"/>
        </w:rPr>
        <w:t>Section 3.3</w:t>
      </w:r>
      <w:r>
        <w:rPr>
          <w:rFonts w:ascii="Arial" w:cs="Arial" w:eastAsia="Arial" w:hAnsi="Arial"/>
          <w:sz w:val="16"/>
          <w:szCs w:val="16"/>
          <w:color w:val="FF0000"/>
          <w:strike w:val="1"/>
        </w:rPr>
        <w:t xml:space="preserve">, will be </w:t>
      </w:r>
      <w:r>
        <w:rPr>
          <w:rFonts w:ascii="Arial" w:cs="Arial" w:eastAsia="Arial" w:hAnsi="Arial"/>
          <w:sz w:val="16"/>
          <w:szCs w:val="16"/>
          <w:u w:val="single" w:color="auto"/>
          <w:color w:val="0000FF"/>
          <w:strike w:val="1"/>
        </w:rPr>
        <w:t>thereto (including any Benchmark Replacement), any component definition thereof or rates referred to in the definition</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thereof, including whether any Benchmark is</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similar to, or</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will</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produce the same value or economic equivalence of,</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the LIBOR Rate or</w:t>
      </w:r>
      <w:r>
        <w:rPr>
          <w:rFonts w:ascii="Arial" w:cs="Arial" w:eastAsia="Arial" w:hAnsi="Arial"/>
          <w:sz w:val="16"/>
          <w:szCs w:val="16"/>
          <w:u w:val="single" w:color="auto"/>
          <w:color w:val="0000FF"/>
          <w:strike w:val="1"/>
        </w:rPr>
        <w:t>any other rate or</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whether financial instruments referencing or underlying the Benchmark will</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have the same volume or liquidity as</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did the London interbank offered rate</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prior to its discontinuance or unavailability.</w:t>
      </w:r>
      <w:r>
        <w:rPr>
          <w:rFonts w:ascii="Arial" w:cs="Arial" w:eastAsia="Arial" w:hAnsi="Arial"/>
          <w:sz w:val="16"/>
          <w:szCs w:val="16"/>
          <w:u w:val="single" w:color="auto"/>
          <w:color w:val="0000FF"/>
          <w:strike w:val="1"/>
        </w:rPr>
        <w:t>those referencing or underlying any other rate, (b) the impact of any regulatory statements about, or actions</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taken with respect to any Benchmark (or component thereof), (c) changes made by any administrator to the methodology used to calculate any Benchmark (or component thereof) or (d) the effect, implementation or composition of any Conforming Changes. The Administrative Agent and its affiliates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-2212975</wp:posOffset>
            </wp:positionV>
            <wp:extent cx="19685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-1372870</wp:posOffset>
            </wp:positionV>
            <wp:extent cx="49720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-1372870</wp:posOffset>
            </wp:positionV>
            <wp:extent cx="939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-1252855</wp:posOffset>
            </wp:positionV>
            <wp:extent cx="5397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3975"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-1235710</wp:posOffset>
            </wp:positionV>
            <wp:extent cx="13716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-1235710</wp:posOffset>
            </wp:positionV>
            <wp:extent cx="16256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-1235710</wp:posOffset>
            </wp:positionV>
            <wp:extent cx="14605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-1235710</wp:posOffset>
            </wp:positionV>
            <wp:extent cx="5918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918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-1098550</wp:posOffset>
            </wp:positionV>
            <wp:extent cx="38487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848735" cy="8255"/>
                    </a:xfrm>
                    <a:prstGeom prst="rect">
                      <a:avLst/>
                    </a:prstGeom>
                    <a:noFill/>
                  </pic:spPr>
                </pic:pic>
              </a:graphicData>
            </a:graphic>
          </wp:anchor>
        </w:drawing>
        <w:drawing>
          <wp:anchor simplePos="0" relativeHeight="251657728" behindDoc="1" locked="0" layoutInCell="0" allowOverlap="1">
            <wp:simplePos x="0" y="0"/>
            <wp:positionH relativeFrom="column">
              <wp:posOffset>264795</wp:posOffset>
            </wp:positionH>
            <wp:positionV relativeFrom="paragraph">
              <wp:posOffset>-1029970</wp:posOffset>
            </wp:positionV>
            <wp:extent cx="68707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70700" cy="825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-824230</wp:posOffset>
            </wp:positionV>
            <wp:extent cx="201485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014855" cy="889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-687070</wp:posOffset>
            </wp:positionV>
            <wp:extent cx="56235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-549910</wp:posOffset>
            </wp:positionV>
            <wp:extent cx="297434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97434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-549910</wp:posOffset>
            </wp:positionV>
            <wp:extent cx="77152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-412750</wp:posOffset>
            </wp:positionV>
            <wp:extent cx="354901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54901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-275590</wp:posOffset>
            </wp:positionV>
            <wp:extent cx="508317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083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spacing w:after="0" w:line="281" w:lineRule="auto"/>
        <w:rPr>
          <w:sz w:val="20"/>
          <w:szCs w:val="20"/>
          <w:color w:val="auto"/>
        </w:rPr>
      </w:pPr>
      <w:r>
        <w:rPr>
          <w:rFonts w:ascii="Arial" w:cs="Arial" w:eastAsia="Arial" w:hAnsi="Arial"/>
          <w:sz w:val="16"/>
          <w:szCs w:val="16"/>
          <w:u w:val="single" w:color="auto"/>
          <w:color w:val="0000FF"/>
        </w:rPr>
        <w:t>related entities may engage in transactions that affect the calculation of the Alternate Base Rate, the Benchmark, any alternative, successor or replacement rate (including any Benchmark Replacement) or any relevant adjustments thereto, in each case, in a manner adverse to the Borrower. The Administrative Agent does not warrant or accept responsibility for, and shall not have any liability with respect to, such transactions. The Administrative Agent may select information sources or services in its reasonable discretion to ascertain the Alternate Base Rate, the Benchmark, or any alternative, successor or replacement rate (including any Benchmark Replacement), in each case pursuant to the terms of this Credit Agreement, and shall have no liability to the Borrower, any Lender or any other person or entity for damages of any kind, including direct or indirect, special, punitive, incidental or consequential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712343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2343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2343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0000FF"/>
        </w:rPr>
        <w:t>damages, costs, losses or expenses (whether in tort, contract or otherwise and whether at law or in equity), for any error or calculation of any such rate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component thereof) provided by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30898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3" w:name="page94"/>
    <w:bookmarkEnd w:id="93"/>
    <w:p>
      <w:pPr>
        <w:jc w:val="both"/>
        <w:ind w:firstLine="450"/>
        <w:spacing w:after="0" w:line="259"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Division: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CREDITS</w:t>
      </w:r>
    </w:p>
    <w:p>
      <w:pPr>
        <w:spacing w:after="0" w:line="225"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Commitments</w:t>
      </w:r>
      <w:r>
        <w:rPr>
          <w:rFonts w:ascii="Arial" w:cs="Arial" w:eastAsia="Arial" w:hAnsi="Arial"/>
          <w:sz w:val="16"/>
          <w:szCs w:val="16"/>
          <w:color w:val="auto"/>
        </w:rPr>
        <w:t>.</w:t>
      </w:r>
    </w:p>
    <w:p>
      <w:pPr>
        <w:spacing w:after="0" w:line="225" w:lineRule="exact"/>
        <w:rPr>
          <w:sz w:val="20"/>
          <w:szCs w:val="20"/>
          <w:color w:val="auto"/>
        </w:rPr>
      </w:pPr>
    </w:p>
    <w:p>
      <w:pPr>
        <w:jc w:val="both"/>
        <w:ind w:firstLine="1106"/>
        <w:spacing w:after="0" w:line="255" w:lineRule="auto"/>
        <w:tabs>
          <w:tab w:leader="none" w:pos="1671"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Revolving Commitments</w:t>
      </w:r>
      <w:r>
        <w:rPr>
          <w:rFonts w:ascii="Arial" w:cs="Arial" w:eastAsia="Arial" w:hAnsi="Arial"/>
          <w:sz w:val="18"/>
          <w:szCs w:val="18"/>
          <w:color w:val="auto"/>
        </w:rPr>
        <w:t>. Subject to the terms and conditions hereof and relying upon the representations and warranties herein set forth, each Revolving Lender agrees, severally and not jointly, to make Revolving Loans to the Borrower in Dollars from time to time during the Availability Period in an aggregate principal amount that will not result in (i) such Revolving Lender’s Revolving Exposure exceeding such Revolving Lender’s Revolving Commitment</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w:t>
      </w:r>
      <w:r>
        <w:rPr>
          <w:rFonts w:ascii="Arial" w:cs="Arial" w:eastAsia="Arial" w:hAnsi="Arial"/>
          <w:sz w:val="18"/>
          <w:szCs w:val="18"/>
          <w:color w:val="auto"/>
        </w:rPr>
        <w:t xml:space="preserve"> (ii) the Total Revolving Outstandings exceeding the aggregate Revolving Commitments. Within the foregoing limits and subject to the terms and conditions set forth herein, the Borrower may borrow, prepay and reborrow Revolving Loans. Revolving Loans may be ABR Loans or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as further provided herein.</w:t>
      </w:r>
    </w:p>
    <w:p>
      <w:pPr>
        <w:spacing w:after="0" w:line="192" w:lineRule="exact"/>
        <w:rPr>
          <w:rFonts w:ascii="Arial" w:cs="Arial" w:eastAsia="Arial" w:hAnsi="Arial"/>
          <w:sz w:val="18"/>
          <w:szCs w:val="18"/>
          <w:color w:val="auto"/>
        </w:rPr>
      </w:pPr>
    </w:p>
    <w:p>
      <w:pPr>
        <w:jc w:val="both"/>
        <w:ind w:firstLine="1106"/>
        <w:spacing w:after="0" w:line="279" w:lineRule="auto"/>
        <w:tabs>
          <w:tab w:leader="none" w:pos="1667"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Term Loan Commitments</w:t>
      </w:r>
      <w:r>
        <w:rPr>
          <w:rFonts w:ascii="Arial" w:cs="Arial" w:eastAsia="Arial" w:hAnsi="Arial"/>
          <w:sz w:val="17"/>
          <w:szCs w:val="17"/>
          <w:color w:val="auto"/>
        </w:rPr>
        <w:t>. Subject to the terms and conditions hereof and relying upon the representations and warranties herein set forth, each Term Lender agrees, severally and not jointly, to make a single loan (each such loan, a “</w:t>
      </w:r>
      <w:r>
        <w:rPr>
          <w:rFonts w:ascii="Arial" w:cs="Arial" w:eastAsia="Arial" w:hAnsi="Arial"/>
          <w:sz w:val="17"/>
          <w:szCs w:val="17"/>
          <w:u w:val="single" w:color="auto"/>
          <w:color w:val="auto"/>
        </w:rPr>
        <w:t>Term Loan</w:t>
      </w:r>
      <w:r>
        <w:rPr>
          <w:rFonts w:ascii="Arial" w:cs="Arial" w:eastAsia="Arial" w:hAnsi="Arial"/>
          <w:sz w:val="17"/>
          <w:szCs w:val="17"/>
          <w:color w:val="auto"/>
        </w:rPr>
        <w:t xml:space="preserve">”) to the Borrower in Dollars on the Closing Date in an principal amount not exceeding such Term Lender’s Term Loan Commitment. Term Loans which are prepaid or repaid, in whole or in part, may not be reborrowed. Term Loans may be ABR Loans or </w:t>
      </w:r>
      <w:r>
        <w:rPr>
          <w:rFonts w:ascii="Arial" w:cs="Arial" w:eastAsia="Arial" w:hAnsi="Arial"/>
          <w:sz w:val="17"/>
          <w:szCs w:val="17"/>
          <w:color w:val="FF0000"/>
          <w:strike w:val="1"/>
        </w:rPr>
        <w:t>LIBOR</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Loans, as further provided herein.</w:t>
      </w:r>
    </w:p>
    <w:p>
      <w:pPr>
        <w:spacing w:after="0" w:line="171" w:lineRule="exact"/>
        <w:rPr>
          <w:rFonts w:ascii="Arial" w:cs="Arial" w:eastAsia="Arial" w:hAnsi="Arial"/>
          <w:sz w:val="17"/>
          <w:szCs w:val="17"/>
          <w:color w:val="auto"/>
        </w:rPr>
      </w:pPr>
    </w:p>
    <w:p>
      <w:pPr>
        <w:jc w:val="both"/>
        <w:ind w:firstLine="1106"/>
        <w:spacing w:after="0" w:line="255" w:lineRule="auto"/>
        <w:tabs>
          <w:tab w:leader="none" w:pos="18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Incremental Term Loan Commitments</w:t>
      </w:r>
      <w:r>
        <w:rPr>
          <w:rFonts w:ascii="Arial" w:cs="Arial" w:eastAsia="Arial" w:hAnsi="Arial"/>
          <w:sz w:val="18"/>
          <w:szCs w:val="18"/>
          <w:color w:val="auto"/>
        </w:rPr>
        <w:t xml:space="preserve">. Subject to the terms and conditions hereof and relying upon the representations and warranties herein set forth, each Incremental Term Lender agrees, severally and not jointly, if such Incremental Term Lender has so committed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to make Incremental Term Loans in Dollars to the Borrower in an aggregate principal amount not to exceed its Incremental Term Loan Commitment and otherwise on the terms and subject to the conditions set forth in the Incremental Assumption Agreement to which such Lender is a party. Incremental Term Loans which are prepaid or repaid, in whole or in part, may not be reborrowed. Incremental Term Loans may be ABR Loans or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FF0000"/>
        </w:rPr>
        <w:t xml:space="preserve"> </w:t>
      </w:r>
      <w:r>
        <w:rPr>
          <w:rFonts w:ascii="Arial" w:cs="Arial" w:eastAsia="Arial" w:hAnsi="Arial"/>
          <w:sz w:val="18"/>
          <w:szCs w:val="18"/>
          <w:color w:val="000000"/>
        </w:rPr>
        <w:t>Loans, as further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-1934210</wp:posOffset>
            </wp:positionV>
            <wp:extent cx="12890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-1659890</wp:posOffset>
            </wp:positionV>
            <wp:extent cx="29146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-974090</wp:posOffset>
            </wp:positionV>
            <wp:extent cx="28321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-13970</wp:posOffset>
            </wp:positionV>
            <wp:extent cx="28321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line="172" w:lineRule="exact"/>
        <w:rPr>
          <w:sz w:val="20"/>
          <w:szCs w:val="20"/>
          <w:color w:val="auto"/>
        </w:rPr>
      </w:pPr>
    </w:p>
    <w:p>
      <w:pPr>
        <w:ind w:left="160"/>
        <w:spacing w:after="0"/>
        <w:tabs>
          <w:tab w:leader="none" w:pos="126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Borrowings, Conversions and Continuations of Loans</w:t>
      </w:r>
      <w:r>
        <w:rPr>
          <w:rFonts w:ascii="Arial" w:cs="Arial" w:eastAsia="Arial" w:hAnsi="Arial"/>
          <w:sz w:val="16"/>
          <w:szCs w:val="16"/>
          <w:color w:val="auto"/>
        </w:rPr>
        <w:t>.</w:t>
      </w:r>
    </w:p>
    <w:p>
      <w:pPr>
        <w:spacing w:after="0" w:line="225" w:lineRule="exact"/>
        <w:rPr>
          <w:sz w:val="20"/>
          <w:szCs w:val="20"/>
          <w:color w:val="auto"/>
        </w:rPr>
      </w:pPr>
    </w:p>
    <w:p>
      <w:pPr>
        <w:jc w:val="both"/>
        <w:ind w:firstLine="1106"/>
        <w:spacing w:after="0" w:line="293" w:lineRule="auto"/>
        <w:tabs>
          <w:tab w:leader="none" w:pos="1677"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Each Borrowing (other than a Swingline Borrowing which shall be made in accordance with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each conversion of Loans from one Type to the other, and each continuation of </w:t>
      </w:r>
      <w:r>
        <w:rPr>
          <w:rFonts w:ascii="Arial" w:cs="Arial" w:eastAsia="Arial" w:hAnsi="Arial"/>
          <w:sz w:val="16"/>
          <w:szCs w:val="16"/>
          <w:color w:val="FF0000"/>
          <w:strike w:val="1"/>
        </w:rPr>
        <w:t>LIBOR</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Loans shall be made upon the Borrower’s irrevocable notice, to the Administrative Agent, which may be given by telephone. Each such notice must be made in writing (or in the case of telephonic notice, promptly confirmed in writing) substantially in the form of a Committed Loan Notice appropriately completed and signed by a Responsible Officer of the Borrower and received by the Administrative Agent (i) in the case of an ABR Borrowing, not later than 11:00 a.m. on the date of the proposed Borrowing, or (ii) in the case of any other Borrowing, not later than 11:00 a.m. three </w:t>
      </w:r>
      <w:r>
        <w:rPr>
          <w:rFonts w:ascii="Arial" w:cs="Arial" w:eastAsia="Arial" w:hAnsi="Arial"/>
          <w:sz w:val="16"/>
          <w:szCs w:val="16"/>
          <w:u w:val="single" w:color="auto"/>
          <w:color w:val="0000FF"/>
        </w:rPr>
        <w:t>Government Securities</w:t>
      </w:r>
      <w:r>
        <w:rPr>
          <w:rFonts w:ascii="Arial" w:cs="Arial" w:eastAsia="Arial" w:hAnsi="Arial"/>
          <w:sz w:val="16"/>
          <w:szCs w:val="16"/>
          <w:color w:val="auto"/>
        </w:rPr>
        <w:t xml:space="preserve"> Business Days before the date of the proposed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-580390</wp:posOffset>
            </wp:positionV>
            <wp:extent cx="28321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-31750</wp:posOffset>
            </wp:positionV>
            <wp:extent cx="107124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4" w:name="page95"/>
    <w:bookmarkEnd w:id="94"/>
    <w:p>
      <w:pPr>
        <w:jc w:val="both"/>
        <w:ind w:firstLine="1106"/>
        <w:spacing w:after="0" w:line="284" w:lineRule="auto"/>
        <w:tabs>
          <w:tab w:leader="none" w:pos="17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2.3(c)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2.4(c)</w:t>
      </w:r>
      <w:r>
        <w:rPr>
          <w:rFonts w:ascii="Arial" w:cs="Arial" w:eastAsia="Arial" w:hAnsi="Arial"/>
          <w:sz w:val="16"/>
          <w:szCs w:val="16"/>
          <w:color w:val="auto"/>
        </w:rPr>
        <w:t xml:space="preserve">, each Borrowing or conversion of Loans shall be in a principal amount of the Borrowing Minimum or a whole multiple of the Borrowing Multiple in excess thereof. Each Committed Loan Notice (whether telephonic or written) shall specify (A) whether the Borrower is requesting a Borrowing, a conversion of Loans from one Type to the other, or a continuation of </w:t>
      </w:r>
      <w:r>
        <w:rPr>
          <w:rFonts w:ascii="Arial" w:cs="Arial" w:eastAsia="Arial" w:hAnsi="Arial"/>
          <w:sz w:val="16"/>
          <w:szCs w:val="16"/>
          <w:color w:val="FF0000"/>
          <w:strike w:val="1"/>
        </w:rPr>
        <w:t>LIBOR</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Loans, (B) the requested date of the Borrowing, conversion or continuation, as the case may be (which shall be a Business Day), (C) the Class and principal amount of Loans to be borrowed, converted or continued, (D) the Type of Loans to be borrowed or to which existing Loans are to be converted, (E) if applicable, the duration of the Interest Period with respect thereto which shall be a period contemplated by the definition of the term “Interest Period”, and</w:t>
      </w:r>
    </w:p>
    <w:p>
      <w:pPr>
        <w:spacing w:after="0" w:line="4" w:lineRule="exact"/>
        <w:rPr>
          <w:rFonts w:ascii="Arial" w:cs="Arial" w:eastAsia="Arial" w:hAnsi="Arial"/>
          <w:sz w:val="16"/>
          <w:szCs w:val="16"/>
          <w:color w:val="auto"/>
        </w:rPr>
      </w:pPr>
    </w:p>
    <w:p>
      <w:pPr>
        <w:ind w:right="60" w:firstLine="8"/>
        <w:spacing w:after="0" w:line="260" w:lineRule="auto"/>
        <w:tabs>
          <w:tab w:leader="none" w:pos="287"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location and number of the Borrower’s account to which funds are to be disbursed, which shall comply with the requirements of </w:t>
      </w:r>
      <w:r>
        <w:rPr>
          <w:rFonts w:ascii="Arial" w:cs="Arial" w:eastAsia="Arial" w:hAnsi="Arial"/>
          <w:sz w:val="18"/>
          <w:szCs w:val="18"/>
          <w:u w:val="single" w:color="auto"/>
          <w:color w:val="auto"/>
        </w:rPr>
        <w:t>Section 2.2</w:t>
      </w:r>
      <w:r>
        <w:rPr>
          <w:rFonts w:ascii="Arial" w:cs="Arial" w:eastAsia="Arial" w:hAnsi="Arial"/>
          <w:sz w:val="18"/>
          <w:szCs w:val="18"/>
          <w:color w:val="auto"/>
        </w:rPr>
        <w:t>. Notwithstanding anything in this Credit Agreement to the contrary, if the Borrower:</w:t>
      </w:r>
    </w:p>
    <w:p>
      <w:pPr>
        <w:spacing w:after="0" w:line="185" w:lineRule="exact"/>
        <w:rPr>
          <w:rFonts w:ascii="Arial" w:cs="Arial" w:eastAsia="Arial" w:hAnsi="Arial"/>
          <w:sz w:val="18"/>
          <w:szCs w:val="18"/>
          <w:color w:val="auto"/>
        </w:rPr>
      </w:pPr>
    </w:p>
    <w:p>
      <w:pPr>
        <w:ind w:firstLine="1592"/>
        <w:spacing w:after="0" w:line="277" w:lineRule="auto"/>
        <w:tabs>
          <w:tab w:leader="none" w:pos="2172" w:val="left"/>
        </w:tabs>
        <w:numPr>
          <w:ilvl w:val="2"/>
          <w:numId w:val="55"/>
        </w:numPr>
        <w:rPr>
          <w:rFonts w:ascii="Arial" w:cs="Arial" w:eastAsia="Arial" w:hAnsi="Arial"/>
          <w:sz w:val="18"/>
          <w:szCs w:val="18"/>
          <w:color w:val="auto"/>
        </w:rPr>
      </w:pPr>
      <w:r>
        <w:rPr>
          <w:rFonts w:ascii="Arial" w:cs="Arial" w:eastAsia="Arial" w:hAnsi="Arial"/>
          <w:sz w:val="18"/>
          <w:szCs w:val="18"/>
          <w:color w:val="auto"/>
        </w:rPr>
        <w:t xml:space="preserve">requests a Borrowing of, conversion to, or continuation of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in any such Committed Loan Notice, but fails to specify an Interest Period, it will be deemed to have specified an Interest Period of one month; </w:t>
      </w:r>
      <w:r>
        <w:rPr>
          <w:rFonts w:ascii="Arial" w:cs="Arial" w:eastAsia="Arial" w:hAnsi="Arial"/>
          <w:sz w:val="18"/>
          <w:szCs w:val="18"/>
          <w:color w:val="FF0000"/>
          <w:strike w:val="1"/>
        </w:rPr>
        <w:t>and</w:t>
      </w:r>
      <w:r>
        <w:rPr>
          <w:rFonts w:ascii="Arial" w:cs="Arial" w:eastAsia="Arial" w:hAnsi="Arial"/>
          <w:sz w:val="18"/>
          <w:szCs w:val="18"/>
          <w:u w:val="single" w:color="auto"/>
          <w:color w:val="0000FF"/>
        </w:rPr>
        <w:t>or</w:t>
      </w:r>
    </w:p>
    <w:p>
      <w:pPr>
        <w:spacing w:after="0" w:line="170" w:lineRule="exact"/>
        <w:rPr>
          <w:rFonts w:ascii="Arial" w:cs="Arial" w:eastAsia="Arial" w:hAnsi="Arial"/>
          <w:sz w:val="18"/>
          <w:szCs w:val="18"/>
          <w:color w:val="auto"/>
        </w:rPr>
      </w:pPr>
    </w:p>
    <w:p>
      <w:pPr>
        <w:ind w:firstLine="1592"/>
        <w:spacing w:after="0" w:line="277" w:lineRule="auto"/>
        <w:tabs>
          <w:tab w:leader="none" w:pos="2326" w:val="left"/>
        </w:tabs>
        <w:numPr>
          <w:ilvl w:val="2"/>
          <w:numId w:val="55"/>
        </w:numPr>
        <w:rPr>
          <w:rFonts w:ascii="Arial" w:cs="Arial" w:eastAsia="Arial" w:hAnsi="Arial"/>
          <w:sz w:val="18"/>
          <w:szCs w:val="18"/>
          <w:color w:val="auto"/>
        </w:rPr>
      </w:pPr>
      <w:r>
        <w:rPr>
          <w:rFonts w:ascii="Arial" w:cs="Arial" w:eastAsia="Arial" w:hAnsi="Arial"/>
          <w:sz w:val="18"/>
          <w:szCs w:val="18"/>
          <w:color w:val="auto"/>
        </w:rPr>
        <w:t>fails to specify a Type of Loan in a Committed Loan Notice or fails to give a timely notice requesting a conversion or continuation, then the applicable Loans shall be made as, continued as, or converted to, ABR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-1536700</wp:posOffset>
            </wp:positionV>
            <wp:extent cx="28321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-576580</wp:posOffset>
            </wp:positionV>
            <wp:extent cx="28257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-439420</wp:posOffset>
            </wp:positionV>
            <wp:extent cx="939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For avoidance of doubt, the Borrower and Lenders acknowledge and agree that any conversion or continuation of an existing Loan shall be deemed to be a continuation of that Loan with a converted interest rate methodology and not a new Loan. Any automatic conversion or continuation as provided above shall be effective as of the last day of the Interest Period then in effect with respect to the applicable </w:t>
      </w:r>
      <w:r>
        <w:rPr>
          <w:rFonts w:ascii="Arial" w:cs="Arial" w:eastAsia="Arial" w:hAnsi="Arial"/>
          <w:sz w:val="17"/>
          <w:szCs w:val="17"/>
          <w:color w:val="FF0000"/>
          <w:strike w:val="1"/>
        </w:rPr>
        <w:t>LIBOR</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-31115</wp:posOffset>
            </wp:positionV>
            <wp:extent cx="29146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45" w:lineRule="exact"/>
        <w:rPr>
          <w:sz w:val="20"/>
          <w:szCs w:val="20"/>
          <w:color w:val="auto"/>
        </w:rPr>
      </w:pPr>
    </w:p>
    <w:p>
      <w:pPr>
        <w:jc w:val="both"/>
        <w:ind w:firstLine="1106"/>
        <w:spacing w:after="0" w:line="269" w:lineRule="auto"/>
        <w:tabs>
          <w:tab w:leader="none" w:pos="1783"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Following receipt of a Committed Loan Notice, the Administrative Agent shall promptly notify each Appropriate Lender of the amount of its Applicable Percentage of the applicable Class of Loans, and if no timely notice of a conversion or continuation is provided by the Borrower, the Administrative Agent shall notify each Appropriate Lender of the details of any automatic conversion or continuation described in </w:t>
      </w:r>
      <w:r>
        <w:rPr>
          <w:rFonts w:ascii="Arial" w:cs="Arial" w:eastAsia="Arial" w:hAnsi="Arial"/>
          <w:sz w:val="17"/>
          <w:szCs w:val="17"/>
          <w:u w:val="single" w:color="auto"/>
          <w:color w:val="auto"/>
        </w:rPr>
        <w:t>Section 2.2(b)</w:t>
      </w:r>
      <w:r>
        <w:rPr>
          <w:rFonts w:ascii="Arial" w:cs="Arial" w:eastAsia="Arial" w:hAnsi="Arial"/>
          <w:sz w:val="17"/>
          <w:szCs w:val="17"/>
          <w:color w:val="auto"/>
        </w:rPr>
        <w:t xml:space="preserve">. In the case of each Borrowing, each Appropriate Lender shall make (or cause its Applicable Lending Office to make) the amount of its Loan available to the Administrative Agent, by transfer in immediately available funds to the account of the Administrative Agent most recently designated by it for such purpose by notice to the Lenders, not later than 1:00 p.m. on the Business Day specified in the applicable Committed Loan Notice. Upon satisfaction or waiver of the applicable conditions set forth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(and, if such Borrowing is the initial Credit Extension,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the Administrative Agent shall make all funds so received available to the Borrower in like funds as received by transfer to the account of the Borrower maintained with Citizens Bank and designated in the Commitment Loan Notice the amount of such funds;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on the date the Committed Loan Notice with respect to such Borrowing is given by the Borrower, there are Swingline Loans or L/C Borrowings outstanding, then the proceeds of such Borrowing shall be applied first, to the payment in full of any such L/C Borrowings, second, to the payment in full of any such Swingline Loans, and third, to the Borrower as provided above.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5" w:name="page96"/>
    <w:bookmarkEnd w:id="95"/>
    <w:p>
      <w:pPr>
        <w:jc w:val="both"/>
        <w:ind w:firstLine="1106"/>
        <w:spacing w:after="0" w:line="279" w:lineRule="auto"/>
        <w:tabs>
          <w:tab w:leader="none" w:pos="1691"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Except as otherwise provided herein, a </w:t>
      </w:r>
      <w:r>
        <w:rPr>
          <w:rFonts w:ascii="Arial" w:cs="Arial" w:eastAsia="Arial" w:hAnsi="Arial"/>
          <w:sz w:val="17"/>
          <w:szCs w:val="17"/>
          <w:color w:val="FF0000"/>
          <w:strike w:val="1"/>
        </w:rPr>
        <w:t>LIBOR</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 may be continued or converted only on the last day of an Interest Period for such Loan unless the Borrower pays the amount due, if any, under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in connection therewith. During the existence of an Event of Default, the Administrative Agent or the Required Lenders may require that (i) no Loans may be requested as, converted to or continued as </w:t>
      </w:r>
      <w:r>
        <w:rPr>
          <w:rFonts w:ascii="Arial" w:cs="Arial" w:eastAsia="Arial" w:hAnsi="Arial"/>
          <w:sz w:val="17"/>
          <w:szCs w:val="17"/>
          <w:color w:val="FF0000"/>
          <w:strike w:val="1"/>
        </w:rPr>
        <w:t>LIBOR</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Loans and (ii) unless repaid, each </w:t>
      </w:r>
      <w:r>
        <w:rPr>
          <w:rFonts w:ascii="Arial" w:cs="Arial" w:eastAsia="Arial" w:hAnsi="Arial"/>
          <w:sz w:val="17"/>
          <w:szCs w:val="17"/>
          <w:color w:val="FF0000"/>
          <w:strike w:val="1"/>
        </w:rPr>
        <w:t>LIBOR</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 be converted to an ABR Loan at the end of the Interest Period applicable thereto.</w:t>
      </w:r>
    </w:p>
    <w:p>
      <w:pPr>
        <w:spacing w:after="0" w:line="171" w:lineRule="exact"/>
        <w:rPr>
          <w:rFonts w:ascii="Arial" w:cs="Arial" w:eastAsia="Arial" w:hAnsi="Arial"/>
          <w:sz w:val="17"/>
          <w:szCs w:val="17"/>
          <w:color w:val="auto"/>
        </w:rPr>
      </w:pPr>
    </w:p>
    <w:p>
      <w:pPr>
        <w:jc w:val="both"/>
        <w:ind w:right="20" w:firstLine="1106"/>
        <w:spacing w:after="0" w:line="263" w:lineRule="auto"/>
        <w:tabs>
          <w:tab w:leader="none" w:pos="17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Administrative Agent shall promptly notify the Borrower and the Appropriate Lenders of the interest rate applicable to any Interest Period for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upon determination of such interest rate. </w:t>
      </w:r>
      <w:r>
        <w:rPr>
          <w:rFonts w:ascii="Arial" w:cs="Arial" w:eastAsia="Arial" w:hAnsi="Arial"/>
          <w:sz w:val="18"/>
          <w:szCs w:val="18"/>
          <w:color w:val="FF0000"/>
          <w:strike w:val="1"/>
        </w:rPr>
        <w:t>The determination of the Adjusted LIBOR Rate by the Administrative</w:t>
      </w:r>
      <w:r>
        <w:rPr>
          <w:rFonts w:ascii="Arial" w:cs="Arial" w:eastAsia="Arial" w:hAnsi="Arial"/>
          <w:sz w:val="18"/>
          <w:szCs w:val="18"/>
          <w:color w:val="auto"/>
        </w:rPr>
        <w:t xml:space="preserve"> </w:t>
      </w:r>
      <w:r>
        <w:rPr>
          <w:rFonts w:ascii="Arial" w:cs="Arial" w:eastAsia="Arial" w:hAnsi="Arial"/>
          <w:sz w:val="18"/>
          <w:szCs w:val="18"/>
          <w:color w:val="FF0000"/>
          <w:strike w:val="1"/>
        </w:rPr>
        <w:t>Agent shall be conclusive in the absence of manifest error.</w:t>
      </w:r>
    </w:p>
    <w:p>
      <w:pPr>
        <w:spacing w:after="0" w:line="183" w:lineRule="exact"/>
        <w:rPr>
          <w:rFonts w:ascii="Arial" w:cs="Arial" w:eastAsia="Arial" w:hAnsi="Arial"/>
          <w:sz w:val="18"/>
          <w:szCs w:val="18"/>
          <w:color w:val="auto"/>
        </w:rPr>
      </w:pPr>
    </w:p>
    <w:p>
      <w:pPr>
        <w:jc w:val="both"/>
        <w:ind w:firstLine="1106"/>
        <w:spacing w:after="0" w:line="263" w:lineRule="auto"/>
        <w:tabs>
          <w:tab w:leader="none" w:pos="1706"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Anything in clauses (a) through (d) above to the contrary notwithstanding, after giving effect to all Borrowings, all conversions of Loans from one Type to the other, and all continuations of Loans as the same Type, there shall not be more than six (6) Interest Periods in effect at any time for all Borrowings of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w:t>
      </w:r>
    </w:p>
    <w:p>
      <w:pPr>
        <w:spacing w:after="0" w:line="183" w:lineRule="exact"/>
        <w:rPr>
          <w:rFonts w:ascii="Arial" w:cs="Arial" w:eastAsia="Arial" w:hAnsi="Arial"/>
          <w:sz w:val="18"/>
          <w:szCs w:val="18"/>
          <w:color w:val="auto"/>
        </w:rPr>
      </w:pPr>
    </w:p>
    <w:p>
      <w:pPr>
        <w:jc w:val="both"/>
        <w:ind w:firstLine="1106"/>
        <w:spacing w:after="0" w:line="275" w:lineRule="auto"/>
        <w:tabs>
          <w:tab w:leader="none" w:pos="1675"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The failure of any Appropriate Lender to make any Loan required to be made by it shall not relieve any other Appropriate Lender of its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Commitments of the Lenders are several, and no Lender shall be responsible for any other Lender’s failure to make Loans as required. All Borrowings made on the Closing Date must be made as ABR Borrowings unless the Borrower shall have given a Committed Loan Notice requesting a </w:t>
      </w:r>
      <w:r>
        <w:rPr>
          <w:rFonts w:ascii="Arial" w:cs="Arial" w:eastAsia="Arial" w:hAnsi="Arial"/>
          <w:sz w:val="17"/>
          <w:szCs w:val="17"/>
          <w:color w:val="FF0000"/>
          <w:strike w:val="1"/>
        </w:rPr>
        <w:t>LIBOR</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Borrowing and provided an indemnity letter in form and substance satisfactory to the Administrative Agent extending the benefits of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to the Appropriate Lenders in respect of such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-2355850</wp:posOffset>
            </wp:positionV>
            <wp:extent cx="29146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-2081530</wp:posOffset>
            </wp:positionV>
            <wp:extent cx="28257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-1944370</wp:posOffset>
            </wp:positionV>
            <wp:extent cx="29146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1230630</wp:posOffset>
            </wp:positionH>
            <wp:positionV relativeFrom="paragraph">
              <wp:posOffset>-1532890</wp:posOffset>
            </wp:positionV>
            <wp:extent cx="29146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-847090</wp:posOffset>
            </wp:positionV>
            <wp:extent cx="29146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-161290</wp:posOffset>
            </wp:positionV>
            <wp:extent cx="28257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56"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Swingline Loans</w:t>
      </w:r>
      <w:r>
        <w:rPr>
          <w:rFonts w:ascii="Arial" w:cs="Arial" w:eastAsia="Arial" w:hAnsi="Arial"/>
          <w:sz w:val="16"/>
          <w:szCs w:val="16"/>
          <w:color w:val="auto"/>
        </w:rPr>
        <w:t>.</w:t>
      </w:r>
    </w:p>
    <w:p>
      <w:pPr>
        <w:spacing w:after="0" w:line="225" w:lineRule="exact"/>
        <w:rPr>
          <w:sz w:val="20"/>
          <w:szCs w:val="20"/>
          <w:color w:val="auto"/>
        </w:rPr>
      </w:pPr>
    </w:p>
    <w:p>
      <w:pPr>
        <w:jc w:val="both"/>
        <w:ind w:firstLine="1106"/>
        <w:spacing w:after="0" w:line="254" w:lineRule="auto"/>
        <w:tabs>
          <w:tab w:leader="none" w:pos="169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The Swingline</w:t>
      </w:r>
      <w:r>
        <w:rPr>
          <w:rFonts w:ascii="Arial" w:cs="Arial" w:eastAsia="Arial" w:hAnsi="Arial"/>
          <w:sz w:val="18"/>
          <w:szCs w:val="18"/>
          <w:color w:val="auto"/>
        </w:rPr>
        <w:t xml:space="preserve">. Subject to the terms and conditions hereof and relying upon the representations and warranties herein set forth and upon the agreements of the Revolving Lenders set forth in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the Swingline Lender may in its sole discretion and without any obligation to do so make Swingline Loans to the Borrower in Dollars from time to time on any Business Day after the making of the initial Revolving Loans through the seventh Business Day preceding the Revolving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each Swingline Loan, (i) the aggregate Outstanding Amount of Swingline Loans shall not exceed the Swingline Sublimit and (ii) the Total Revolving Outstandings shall not exceed the aggregate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Borrower shall not use the proceeds of any Swingline Loan to refinance any outstanding Swingline Loan. Within the foregoing limits, and subject to the other terms and conditions hereof, the Borrower may borrow under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firstLine="1106"/>
        <w:spacing w:after="0" w:line="287" w:lineRule="auto"/>
        <w:tabs>
          <w:tab w:leader="none" w:pos="1694"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xml:space="preserve">. Each Swingline Borrowing shall be made upon the Borrower’s irrevocable notice to the Swingline Lender, which may be given by telephone. Each such notice must be received by the Swingline Lender not later than 1:00 p.m. on the requested borrowing date, and shall specify (i) the amount to be borrowed, which shall be in an aggregate amount that is an integral multiple of the Borrowing Multiple and not less than the Borrowing Minimum, (ii) the requested borrowing date, which shall be a Business Day and (iii) the maturity date of the requested Swingline Loan which shall be not later than seven Business Days after the making of such Swingline Loan. Each such telephonic notice must be confirmed promptly by hand delivery or facsimile (or transmitted by electronic communication, if arrangements for doing so have been approved by the Swingline Lender and the Administrative Agent) of a written Swingline Loan Notice to the Swingline Lender and the Administrative Agent, appropriately completed and signed by a Responsible Officer of the Borrower. Promptly after receipt by the Swingline Lender of any telephonic Swingline Loan Notice, the Swingline Lender will, if it is willing to make the requested Swingline Loan and provided that all applicable conditions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are satisfied or waived, not later than 3:00 p.m. on the borrowing date specified in such Swingline Loan Notice, make the amount of its Swingline Loan available to the Borrower by crediting the account of the Borrower maintained with the Swingline Lender and notify the Administrative Agent thereof in writing.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6" w:name="page97"/>
    <w:bookmarkEnd w:id="96"/>
    <w:p>
      <w:pPr>
        <w:jc w:val="both"/>
        <w:ind w:firstLine="1106"/>
        <w:spacing w:after="0" w:line="288" w:lineRule="auto"/>
        <w:tabs>
          <w:tab w:leader="none" w:pos="1684"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Refinancing of Swingline Loans</w:t>
      </w:r>
      <w:r>
        <w:rPr>
          <w:rFonts w:ascii="Arial" w:cs="Arial" w:eastAsia="Arial" w:hAnsi="Arial"/>
          <w:sz w:val="16"/>
          <w:szCs w:val="16"/>
          <w:color w:val="auto"/>
        </w:rPr>
        <w:t xml:space="preserve">. (i) The Swingline Lender at any time in its sole and absolute discretion may request, on behalf of the Borrower (which hereby irrevocably authorizes the Swingline Lender to so request on its behalf), and in any event shall request, no later than one week after each Swingline Borrowing has been made, that each Revolving Lender make an ABR Revolving Loan in Dollars in an amount equal to such Revolving Lender’s Applicable Percentage of the amount of Swingline Loans then outstanding. Such request shall be made in writing (which written request shall be deemed to be a Committed Loan Notice for purposes hereof) and in accordance with the requirements of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without regard to the minimum and multiples specified therein for the principal amount of ABR Loans. Each Revolving Lender shall make an amount equal to its Applicable Percentage of the amount specified in such Committed Loan Notice available to the Administrative Agent in immediately available funds in Dollars for the account of the Swingline Lender at the Administrative Agent’s Payment Office not later than 1:00 p.m. on the day specified in such Committed Loan Notice, whereupon, subject to </w:t>
      </w:r>
      <w:r>
        <w:rPr>
          <w:rFonts w:ascii="Arial" w:cs="Arial" w:eastAsia="Arial" w:hAnsi="Arial"/>
          <w:sz w:val="16"/>
          <w:szCs w:val="16"/>
          <w:u w:val="single" w:color="auto"/>
          <w:color w:val="auto"/>
        </w:rPr>
        <w:t>Section 2.3(c)(ii)</w:t>
      </w:r>
      <w:r>
        <w:rPr>
          <w:rFonts w:ascii="Arial" w:cs="Arial" w:eastAsia="Arial" w:hAnsi="Arial"/>
          <w:sz w:val="16"/>
          <w:szCs w:val="16"/>
          <w:color w:val="auto"/>
        </w:rPr>
        <w:t>, each Revolving Lender that so makes funds available shall be deemed to have made an ABR Revolving Loan to the Borrower in such amount. The Administrative Agent shall remit the funds so received to the Swingline Lender.</w:t>
      </w:r>
    </w:p>
    <w:p>
      <w:pPr>
        <w:spacing w:after="0" w:line="168" w:lineRule="exact"/>
        <w:rPr>
          <w:rFonts w:ascii="Arial" w:cs="Arial" w:eastAsia="Arial" w:hAnsi="Arial"/>
          <w:sz w:val="16"/>
          <w:szCs w:val="16"/>
          <w:color w:val="auto"/>
        </w:rPr>
      </w:pPr>
    </w:p>
    <w:p>
      <w:pPr>
        <w:jc w:val="both"/>
        <w:ind w:firstLine="1592"/>
        <w:spacing w:after="0" w:line="255" w:lineRule="auto"/>
        <w:tabs>
          <w:tab w:leader="none" w:pos="22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If for any reason any Swingline Loan cannot be refinanced by a Revolving Borrowing in accordance with </w:t>
      </w:r>
      <w:r>
        <w:rPr>
          <w:rFonts w:ascii="Arial" w:cs="Arial" w:eastAsia="Arial" w:hAnsi="Arial"/>
          <w:sz w:val="18"/>
          <w:szCs w:val="18"/>
          <w:u w:val="single" w:color="auto"/>
          <w:color w:val="auto"/>
        </w:rPr>
        <w:t>Section 2.3(c)(i)</w:t>
      </w:r>
      <w:r>
        <w:rPr>
          <w:rFonts w:ascii="Arial" w:cs="Arial" w:eastAsia="Arial" w:hAnsi="Arial"/>
          <w:sz w:val="18"/>
          <w:szCs w:val="18"/>
          <w:color w:val="auto"/>
        </w:rPr>
        <w:t xml:space="preserve">, the request for ABR Revolving Loans submitted by the Swingline Lender as set forth therein shall be deemed to be a request by the Swingline Lender that each of the Revolving Lenders purchase for cash a risk participation in the relevant Swingline Loan in Dollars and each Revolving Lender hereby irrevocably and unconditionally agrees to make such purchase in an amount equal to the product of such Revolving Lender’s Applicable Percentage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amount of such Swingline Loan. Each Revolving Lender’s payment to the Administrative Agent for the account of the Swingline Lender pursuant to </w:t>
      </w:r>
      <w:r>
        <w:rPr>
          <w:rFonts w:ascii="Arial" w:cs="Arial" w:eastAsia="Arial" w:hAnsi="Arial"/>
          <w:sz w:val="18"/>
          <w:szCs w:val="18"/>
          <w:u w:val="single" w:color="auto"/>
          <w:color w:val="auto"/>
        </w:rPr>
        <w:t>Section 2.3(c)(i)</w:t>
      </w:r>
      <w:r>
        <w:rPr>
          <w:rFonts w:ascii="Arial" w:cs="Arial" w:eastAsia="Arial" w:hAnsi="Arial"/>
          <w:sz w:val="18"/>
          <w:szCs w:val="18"/>
          <w:color w:val="auto"/>
        </w:rPr>
        <w:t xml:space="preserve"> shall be deemed payment in respect of such participation.</w:t>
      </w:r>
    </w:p>
    <w:p>
      <w:pPr>
        <w:spacing w:after="0" w:line="192" w:lineRule="exact"/>
        <w:rPr>
          <w:rFonts w:ascii="Arial" w:cs="Arial" w:eastAsia="Arial" w:hAnsi="Arial"/>
          <w:sz w:val="18"/>
          <w:szCs w:val="18"/>
          <w:color w:val="auto"/>
        </w:rPr>
      </w:pPr>
    </w:p>
    <w:p>
      <w:pPr>
        <w:jc w:val="both"/>
        <w:ind w:firstLine="1592"/>
        <w:spacing w:after="0" w:line="272" w:lineRule="auto"/>
        <w:tabs>
          <w:tab w:leader="none" w:pos="2259" w:val="left"/>
        </w:tabs>
        <w:numPr>
          <w:ilvl w:val="1"/>
          <w:numId w:val="59"/>
        </w:numPr>
        <w:rPr>
          <w:rFonts w:ascii="Arial" w:cs="Arial" w:eastAsia="Arial" w:hAnsi="Arial"/>
          <w:sz w:val="17"/>
          <w:szCs w:val="17"/>
          <w:color w:val="auto"/>
        </w:rPr>
      </w:pPr>
      <w:r>
        <w:rPr>
          <w:rFonts w:ascii="Arial" w:cs="Arial" w:eastAsia="Arial" w:hAnsi="Arial"/>
          <w:sz w:val="17"/>
          <w:szCs w:val="17"/>
          <w:color w:val="auto"/>
        </w:rPr>
        <w:t xml:space="preserve">If any Revolving Lender fails to make available to the Administrative Agent for the account of the Swingline Lender any amount required to be paid by such Revolving Lender pursuant to the foregoing provisions of this </w:t>
      </w:r>
      <w:r>
        <w:rPr>
          <w:rFonts w:ascii="Arial" w:cs="Arial" w:eastAsia="Arial" w:hAnsi="Arial"/>
          <w:sz w:val="17"/>
          <w:szCs w:val="17"/>
          <w:u w:val="single" w:color="auto"/>
          <w:color w:val="auto"/>
        </w:rPr>
        <w:t>Section 2.3(c)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2.3(c)(i)</w:t>
      </w:r>
      <w:r>
        <w:rPr>
          <w:rFonts w:ascii="Arial" w:cs="Arial" w:eastAsia="Arial" w:hAnsi="Arial"/>
          <w:sz w:val="17"/>
          <w:szCs w:val="17"/>
          <w:color w:val="auto"/>
        </w:rPr>
        <w:t>, the Swingline Lender shall be entitled to recover from such Revolving Lender (acting through the Administrative Agent), on demand, such amount with interest thereon for the period from the date such payment is required to the date on which such payment is immediately available to the Swingline Lender at the greater of the Federal Funds Effective Rate and a rate determined by the Administrative Agent in accordance with banking industry rules on interbank compensation. A certificate of the Swingline Lender submitted to any Revolving Lender (through the Administrative Agent) with respect to any amounts owing under this clause (iii) shall be conclusive absent manifest error.</w:t>
      </w:r>
    </w:p>
    <w:p>
      <w:pPr>
        <w:spacing w:after="0" w:line="177" w:lineRule="exact"/>
        <w:rPr>
          <w:rFonts w:ascii="Arial" w:cs="Arial" w:eastAsia="Arial" w:hAnsi="Arial"/>
          <w:sz w:val="17"/>
          <w:szCs w:val="17"/>
          <w:color w:val="auto"/>
        </w:rPr>
      </w:pPr>
    </w:p>
    <w:p>
      <w:pPr>
        <w:jc w:val="both"/>
        <w:ind w:firstLine="1592"/>
        <w:spacing w:after="0" w:line="257" w:lineRule="auto"/>
        <w:tabs>
          <w:tab w:leader="none" w:pos="2166"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Each Revolving Lender’s obligation to make Revolving Loans or to purchase and fund risk participations in Swingline Loans pursuant to this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shall be absolute and unconditional and shall not be affected by any circumstance,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Revolving Lender’s obligation to make Revolving Loans (but not to purchase and fund risk participations in Swingline Loans) pursuant to this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No such funding of risk participations shall relieve or otherwise impair the obligation of the Borrower to repay Swingline Loans, together with interest as provided herein.</w:t>
      </w:r>
    </w:p>
    <w:p>
      <w:pPr>
        <w:spacing w:after="0" w:line="187" w:lineRule="exact"/>
        <w:rPr>
          <w:rFonts w:ascii="Arial" w:cs="Arial" w:eastAsia="Arial" w:hAnsi="Arial"/>
          <w:sz w:val="18"/>
          <w:szCs w:val="18"/>
          <w:color w:val="auto"/>
        </w:rPr>
      </w:pPr>
    </w:p>
    <w:p>
      <w:pPr>
        <w:jc w:val="both"/>
        <w:ind w:firstLine="1106"/>
        <w:spacing w:after="0" w:line="279" w:lineRule="auto"/>
        <w:tabs>
          <w:tab w:leader="none" w:pos="1856"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Repayment of Participations</w:t>
      </w:r>
      <w:r>
        <w:rPr>
          <w:rFonts w:ascii="Arial" w:cs="Arial" w:eastAsia="Arial" w:hAnsi="Arial"/>
          <w:sz w:val="17"/>
          <w:szCs w:val="17"/>
          <w:color w:val="auto"/>
        </w:rPr>
        <w:t>. (i) At any time after any Revolving Lender has purchased and funded a risk participation in a Swingline Loan, if the Swingline Lender receives any payment on account of such Swingline Loan, the Swingline Lender will distribute to such Revolving Lender its Applicable Percentage of such payment (appropriately adjusted, in the case of interest payments, to reflect the period of time during which such Revolving Lender’s risk participation was funded) in the same funds as those received by the Swingline Lender.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7" w:name="page98"/>
    <w:bookmarkEnd w:id="97"/>
    <w:p>
      <w:pPr>
        <w:jc w:val="both"/>
        <w:ind w:firstLine="1592"/>
        <w:spacing w:after="0" w:line="275" w:lineRule="auto"/>
        <w:tabs>
          <w:tab w:leader="none" w:pos="2216" w:val="left"/>
        </w:tabs>
        <w:numPr>
          <w:ilvl w:val="1"/>
          <w:numId w:val="60"/>
        </w:numPr>
        <w:rPr>
          <w:rFonts w:ascii="Arial" w:cs="Arial" w:eastAsia="Arial" w:hAnsi="Arial"/>
          <w:sz w:val="17"/>
          <w:szCs w:val="17"/>
          <w:color w:val="auto"/>
        </w:rPr>
      </w:pPr>
      <w:r>
        <w:rPr>
          <w:rFonts w:ascii="Arial" w:cs="Arial" w:eastAsia="Arial" w:hAnsi="Arial"/>
          <w:sz w:val="17"/>
          <w:szCs w:val="17"/>
          <w:color w:val="auto"/>
        </w:rPr>
        <w:t xml:space="preserve">If any payment received by the Swingline Lender in respect of principal or interest on any Swingline Loan is required to be returned by the Swingline Lender under any of the circumstances described in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(including pursuant to any settlement entered into by the Swingline Lender in its discretion), each Revolving Lender shall pay to the Swingline Lender its Applicable Percentage thereof on demand by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amount is returned, at a rate per annum equal to the Federal Funds Effective Rate. The Administrative Agent will make such demand upon the request of the Swingline Lender.</w:t>
      </w:r>
    </w:p>
    <w:p>
      <w:pPr>
        <w:spacing w:after="0" w:line="176" w:lineRule="exact"/>
        <w:rPr>
          <w:rFonts w:ascii="Arial" w:cs="Arial" w:eastAsia="Arial" w:hAnsi="Arial"/>
          <w:sz w:val="17"/>
          <w:szCs w:val="17"/>
          <w:color w:val="auto"/>
        </w:rPr>
      </w:pPr>
    </w:p>
    <w:p>
      <w:pPr>
        <w:jc w:val="both"/>
        <w:ind w:firstLine="1106"/>
        <w:spacing w:after="0" w:line="263" w:lineRule="auto"/>
        <w:tabs>
          <w:tab w:leader="none" w:pos="1846"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Interest for Account of Swingline Lender</w:t>
      </w:r>
      <w:r>
        <w:rPr>
          <w:rFonts w:ascii="Arial" w:cs="Arial" w:eastAsia="Arial" w:hAnsi="Arial"/>
          <w:sz w:val="18"/>
          <w:szCs w:val="18"/>
          <w:color w:val="auto"/>
        </w:rPr>
        <w:t xml:space="preserve">. Until each Revolving Lender funds its ABR Revolving Loan or risk participation pursuant to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to refinance such Revolving Lender’s Applicable Percentage of any Swingline Loan, interest in respect of such Applicable Percentage shall be solely for the account of the Swingline Lender.</w:t>
      </w:r>
    </w:p>
    <w:p>
      <w:pPr>
        <w:spacing w:after="0" w:line="183" w:lineRule="exact"/>
        <w:rPr>
          <w:rFonts w:ascii="Arial" w:cs="Arial" w:eastAsia="Arial" w:hAnsi="Arial"/>
          <w:sz w:val="18"/>
          <w:szCs w:val="18"/>
          <w:color w:val="auto"/>
        </w:rPr>
      </w:pPr>
    </w:p>
    <w:p>
      <w:pPr>
        <w:ind w:firstLine="1106"/>
        <w:spacing w:after="0" w:line="277" w:lineRule="auto"/>
        <w:tabs>
          <w:tab w:leader="none" w:pos="165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Swingline Lender</w:t>
      </w:r>
      <w:r>
        <w:rPr>
          <w:rFonts w:ascii="Arial" w:cs="Arial" w:eastAsia="Arial" w:hAnsi="Arial"/>
          <w:sz w:val="18"/>
          <w:szCs w:val="18"/>
          <w:color w:val="auto"/>
        </w:rPr>
        <w:t>. The Borrower shall make all payments of principal and interest in respect of the Swingline Loans directly to the Swingline Lender and the Swingline Lender shall notify the Administrative Agent thereof.</w:t>
      </w:r>
    </w:p>
    <w:p>
      <w:pPr>
        <w:spacing w:after="0" w:line="170"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225" w:lineRule="exact"/>
        <w:rPr>
          <w:sz w:val="20"/>
          <w:szCs w:val="20"/>
          <w:color w:val="auto"/>
        </w:rPr>
      </w:pPr>
    </w:p>
    <w:p>
      <w:pPr>
        <w:jc w:val="both"/>
        <w:ind w:firstLine="1106"/>
        <w:spacing w:after="0" w:line="283" w:lineRule="auto"/>
        <w:tabs>
          <w:tab w:leader="none" w:pos="1698"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The Letter of Credit Commitment</w:t>
      </w:r>
      <w:r>
        <w:rPr>
          <w:rFonts w:ascii="Arial" w:cs="Arial" w:eastAsia="Arial" w:hAnsi="Arial"/>
          <w:sz w:val="16"/>
          <w:szCs w:val="16"/>
          <w:color w:val="auto"/>
        </w:rPr>
        <w:t xml:space="preserve">. (i) Subject to the terms and conditions hereof and of any additional Letter of Credit Documents required by the L/C Issuer and relying upon the representations and warranties herein set forth (A) based upon the agreements of the Revolving Lenders set forth in this </w:t>
      </w:r>
      <w:r>
        <w:rPr>
          <w:rFonts w:ascii="Arial" w:cs="Arial" w:eastAsia="Arial" w:hAnsi="Arial"/>
          <w:sz w:val="16"/>
          <w:szCs w:val="16"/>
          <w:u w:val="single" w:color="auto"/>
          <w:color w:val="auto"/>
        </w:rPr>
        <w:t>Section 2.4</w:t>
      </w:r>
      <w:r>
        <w:rPr>
          <w:rFonts w:ascii="Arial" w:cs="Arial" w:eastAsia="Arial" w:hAnsi="Arial"/>
          <w:sz w:val="16"/>
          <w:szCs w:val="16"/>
          <w:color w:val="auto"/>
        </w:rPr>
        <w:t>, the L/C Issuer agrees (1) from time to time on any Business Day during the Availability Period to issue Letters of Credit denominated in Dollars for the account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may be for the joint account of the Borrower and any Subsidiary of the Borrower) and to amend or renew Letters of Credit previously issued by it, in accordance with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and (2) to honor conforming drafts under the Letters of Credit and (B) the Revolving Lenders severally agree to participate in Letters of Credit issued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L/C Issuer shall not be obligated to make any L/C Credit Extension with respect to any Letter of Credit, and no Revolving Lender shall be obligated to participate in any such Letter of Credit if immediately after giving effect to such L/C Credit Extension, (w) the aggregate L/C Obligations would exceed the L/C Sublimit, (x) the Revolving Exposure of any Revolving Lender would exceed such Revolving Lender’s Revolving Commitment, or</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Total Revolving Outstandings would exceed the aggregate Revolving Commitments.</w:t>
      </w:r>
    </w:p>
    <w:p>
      <w:pPr>
        <w:spacing w:after="0" w:line="210" w:lineRule="exact"/>
        <w:rPr>
          <w:rFonts w:ascii="Arial" w:cs="Arial" w:eastAsia="Arial" w:hAnsi="Arial"/>
          <w:sz w:val="18"/>
          <w:szCs w:val="18"/>
          <w:color w:val="auto"/>
        </w:rPr>
      </w:pPr>
    </w:p>
    <w:p>
      <w:pPr>
        <w:ind w:right="20" w:firstLine="1592"/>
        <w:spacing w:after="0" w:line="277" w:lineRule="auto"/>
        <w:tabs>
          <w:tab w:leader="none" w:pos="2232"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The L/C Issuer shall be under no obligation to issue any Letter of Credit (and, in the case of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below, shall not issue any Letter of Credit) if:</w:t>
      </w:r>
    </w:p>
    <w:p>
      <w:pPr>
        <w:spacing w:after="0" w:line="170" w:lineRule="exact"/>
        <w:rPr>
          <w:rFonts w:ascii="Arial" w:cs="Arial" w:eastAsia="Arial" w:hAnsi="Arial"/>
          <w:sz w:val="18"/>
          <w:szCs w:val="18"/>
          <w:color w:val="auto"/>
        </w:rPr>
      </w:pPr>
    </w:p>
    <w:p>
      <w:pPr>
        <w:jc w:val="both"/>
        <w:ind w:firstLine="2240"/>
        <w:spacing w:after="0" w:line="254" w:lineRule="auto"/>
        <w:tabs>
          <w:tab w:leader="none" w:pos="2887" w:val="left"/>
        </w:tabs>
        <w:numPr>
          <w:ilvl w:val="3"/>
          <w:numId w:val="63"/>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L/C Issuer from issuing such Letter of Credit, or any law applicable to the L/C Issuer or any directive (whether or not having the force of law) from any Governmental Authority with jurisdiction over the L/C Issuer shall prohibit, or direct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Agreement Date, or shall impose upon the L/C Issuer any unreimbursed loss, cost or expense which was not applicable on the Agreement Date (for which the L/C Issuer is not otherwise compensated hereunder);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8" w:name="page99"/>
    <w:bookmarkEnd w:id="98"/>
    <w:p>
      <w:pPr>
        <w:ind w:firstLine="2240"/>
        <w:spacing w:after="0" w:line="277" w:lineRule="auto"/>
        <w:tabs>
          <w:tab w:leader="none" w:pos="2944" w:val="left"/>
        </w:tabs>
        <w:numPr>
          <w:ilvl w:val="3"/>
          <w:numId w:val="6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2.4(b)(iii)</w:t>
      </w:r>
      <w:r>
        <w:rPr>
          <w:rFonts w:ascii="Arial" w:cs="Arial" w:eastAsia="Arial" w:hAnsi="Arial"/>
          <w:sz w:val="18"/>
          <w:szCs w:val="18"/>
          <w:color w:val="auto"/>
        </w:rPr>
        <w:t>, the expiry date of such requested Letter of Credit would occur more than twelve months after the date of issuance or last renewal;</w:t>
      </w:r>
    </w:p>
    <w:p>
      <w:pPr>
        <w:spacing w:after="0" w:line="170" w:lineRule="exact"/>
        <w:rPr>
          <w:rFonts w:ascii="Arial" w:cs="Arial" w:eastAsia="Arial" w:hAnsi="Arial"/>
          <w:sz w:val="18"/>
          <w:szCs w:val="18"/>
          <w:color w:val="auto"/>
        </w:rPr>
      </w:pPr>
    </w:p>
    <w:p>
      <w:pPr>
        <w:ind w:firstLine="2240"/>
        <w:spacing w:after="0" w:line="308" w:lineRule="auto"/>
        <w:tabs>
          <w:tab w:leader="none" w:pos="2908" w:val="left"/>
        </w:tabs>
        <w:numPr>
          <w:ilvl w:val="3"/>
          <w:numId w:val="64"/>
        </w:numPr>
        <w:rPr>
          <w:rFonts w:ascii="Arial" w:cs="Arial" w:eastAsia="Arial" w:hAnsi="Arial"/>
          <w:sz w:val="17"/>
          <w:szCs w:val="17"/>
          <w:color w:val="auto"/>
        </w:rPr>
      </w:pPr>
      <w:r>
        <w:rPr>
          <w:rFonts w:ascii="Arial" w:cs="Arial" w:eastAsia="Arial" w:hAnsi="Arial"/>
          <w:sz w:val="17"/>
          <w:szCs w:val="17"/>
          <w:color w:val="auto"/>
        </w:rPr>
        <w:t>the expiry date of such requested Letter of Credit would occur after the Letter of Credit Expiration Date, unless arrangements satisfactory to the L/C Issuer for the Backstopping of such Letter of Credit have been made prior to the issuance thereof;</w:t>
      </w:r>
    </w:p>
    <w:p>
      <w:pPr>
        <w:spacing w:after="0" w:line="146" w:lineRule="exact"/>
        <w:rPr>
          <w:rFonts w:ascii="Arial" w:cs="Arial" w:eastAsia="Arial" w:hAnsi="Arial"/>
          <w:sz w:val="17"/>
          <w:szCs w:val="17"/>
          <w:color w:val="auto"/>
        </w:rPr>
      </w:pPr>
    </w:p>
    <w:p>
      <w:pPr>
        <w:jc w:val="both"/>
        <w:ind w:firstLine="2240"/>
        <w:spacing w:after="0" w:line="263" w:lineRule="auto"/>
        <w:tabs>
          <w:tab w:leader="none" w:pos="2898" w:val="left"/>
        </w:tabs>
        <w:numPr>
          <w:ilvl w:val="3"/>
          <w:numId w:val="64"/>
        </w:numPr>
        <w:rPr>
          <w:rFonts w:ascii="Arial" w:cs="Arial" w:eastAsia="Arial" w:hAnsi="Arial"/>
          <w:sz w:val="18"/>
          <w:szCs w:val="18"/>
          <w:color w:val="auto"/>
        </w:rPr>
      </w:pPr>
      <w:r>
        <w:rPr>
          <w:rFonts w:ascii="Arial" w:cs="Arial" w:eastAsia="Arial" w:hAnsi="Arial"/>
          <w:sz w:val="18"/>
          <w:szCs w:val="18"/>
          <w:color w:val="auto"/>
        </w:rPr>
        <w:t>the proceeds of which would be made available to any Person (i) to fund any activity or business of or with any Sanctioned Person, or in any Sanctioned Country or (ii) in any manner that would result in a violation of any Sanctions by any party to this Credit Agreement;</w:t>
      </w:r>
    </w:p>
    <w:p>
      <w:pPr>
        <w:spacing w:after="0" w:line="183" w:lineRule="exact"/>
        <w:rPr>
          <w:rFonts w:ascii="Arial" w:cs="Arial" w:eastAsia="Arial" w:hAnsi="Arial"/>
          <w:sz w:val="18"/>
          <w:szCs w:val="18"/>
          <w:color w:val="auto"/>
        </w:rPr>
      </w:pPr>
    </w:p>
    <w:p>
      <w:pPr>
        <w:ind w:right="20" w:firstLine="2240"/>
        <w:spacing w:after="0" w:line="277" w:lineRule="auto"/>
        <w:tabs>
          <w:tab w:leader="none" w:pos="2875" w:val="left"/>
        </w:tabs>
        <w:numPr>
          <w:ilvl w:val="3"/>
          <w:numId w:val="64"/>
        </w:numPr>
        <w:rPr>
          <w:rFonts w:ascii="Arial" w:cs="Arial" w:eastAsia="Arial" w:hAnsi="Arial"/>
          <w:sz w:val="18"/>
          <w:szCs w:val="18"/>
          <w:color w:val="auto"/>
        </w:rPr>
      </w:pPr>
      <w:r>
        <w:rPr>
          <w:rFonts w:ascii="Arial" w:cs="Arial" w:eastAsia="Arial" w:hAnsi="Arial"/>
          <w:sz w:val="18"/>
          <w:szCs w:val="18"/>
          <w:color w:val="auto"/>
        </w:rPr>
        <w:t>the issuance of such Letter of Credit would violate one or more policies of the L/C Issuer applicable to letters of credit or any laws binding upon the L/C Issuer;</w:t>
      </w:r>
    </w:p>
    <w:p>
      <w:pPr>
        <w:spacing w:after="0" w:line="170" w:lineRule="exact"/>
        <w:rPr>
          <w:rFonts w:ascii="Arial" w:cs="Arial" w:eastAsia="Arial" w:hAnsi="Arial"/>
          <w:sz w:val="18"/>
          <w:szCs w:val="18"/>
          <w:color w:val="auto"/>
        </w:rPr>
      </w:pPr>
    </w:p>
    <w:p>
      <w:pPr>
        <w:ind w:left="2820" w:hanging="580"/>
        <w:spacing w:after="0"/>
        <w:tabs>
          <w:tab w:leader="none" w:pos="2820" w:val="left"/>
        </w:tabs>
        <w:numPr>
          <w:ilvl w:val="3"/>
          <w:numId w:val="64"/>
        </w:numPr>
        <w:rPr>
          <w:rFonts w:ascii="Arial" w:cs="Arial" w:eastAsia="Arial" w:hAnsi="Arial"/>
          <w:sz w:val="18"/>
          <w:szCs w:val="18"/>
          <w:color w:val="auto"/>
        </w:rPr>
      </w:pPr>
      <w:r>
        <w:rPr>
          <w:rFonts w:ascii="Arial" w:cs="Arial" w:eastAsia="Arial" w:hAnsi="Arial"/>
          <w:sz w:val="18"/>
          <w:szCs w:val="18"/>
          <w:color w:val="auto"/>
        </w:rPr>
        <w:t>the Letter of Credit is to be denominated in a currency other than Dollars;</w:t>
      </w:r>
    </w:p>
    <w:p>
      <w:pPr>
        <w:spacing w:after="0" w:line="225" w:lineRule="exact"/>
        <w:rPr>
          <w:rFonts w:ascii="Arial" w:cs="Arial" w:eastAsia="Arial" w:hAnsi="Arial"/>
          <w:sz w:val="18"/>
          <w:szCs w:val="18"/>
          <w:color w:val="auto"/>
        </w:rPr>
      </w:pPr>
    </w:p>
    <w:p>
      <w:pPr>
        <w:jc w:val="both"/>
        <w:ind w:firstLine="2240"/>
        <w:spacing w:after="0" w:line="257" w:lineRule="auto"/>
        <w:tabs>
          <w:tab w:leader="none" w:pos="2934" w:val="left"/>
        </w:tabs>
        <w:numPr>
          <w:ilvl w:val="3"/>
          <w:numId w:val="64"/>
        </w:numPr>
        <w:rPr>
          <w:rFonts w:ascii="Arial" w:cs="Arial" w:eastAsia="Arial" w:hAnsi="Arial"/>
          <w:sz w:val="18"/>
          <w:szCs w:val="18"/>
          <w:color w:val="auto"/>
        </w:rPr>
      </w:pPr>
      <w:r>
        <w:rPr>
          <w:rFonts w:ascii="Arial" w:cs="Arial" w:eastAsia="Arial" w:hAnsi="Arial"/>
          <w:sz w:val="18"/>
          <w:szCs w:val="18"/>
          <w:color w:val="auto"/>
        </w:rPr>
        <w:t xml:space="preserve">any Revolving Lender is at that time a Defaulting Lender, unless the L/C Issuer has entered into arrangements, including the delivery of Cash Collateral, satisfactory to the L/C Issuer (in its sole discretion) with the Borrower or such Defaulting Lender to eliminate the L/C Issuer’s actual or potential Fronting Exposure (after giving effect to </w:t>
      </w:r>
      <w:r>
        <w:rPr>
          <w:rFonts w:ascii="Arial" w:cs="Arial" w:eastAsia="Arial" w:hAnsi="Arial"/>
          <w:sz w:val="18"/>
          <w:szCs w:val="18"/>
          <w:u w:val="single" w:color="auto"/>
          <w:color w:val="auto"/>
        </w:rPr>
        <w:t>Section 2.10(a)(iv)</w:t>
      </w:r>
      <w:r>
        <w:rPr>
          <w:rFonts w:ascii="Arial" w:cs="Arial" w:eastAsia="Arial" w:hAnsi="Arial"/>
          <w:sz w:val="18"/>
          <w:szCs w:val="18"/>
          <w:color w:val="auto"/>
        </w:rPr>
        <w:t>) with respect to such Defaulting Lender arising from either the Letter of Credit then proposed to be issued or such Letter of Credit and all other L/C Obligations as to which the L/C Issuer has actual or potential Fronting Exposure, as it may elect in its sole discretion; or</w:t>
      </w:r>
    </w:p>
    <w:p>
      <w:pPr>
        <w:spacing w:after="0" w:line="187" w:lineRule="exact"/>
        <w:rPr>
          <w:rFonts w:ascii="Arial" w:cs="Arial" w:eastAsia="Arial" w:hAnsi="Arial"/>
          <w:sz w:val="18"/>
          <w:szCs w:val="18"/>
          <w:color w:val="auto"/>
        </w:rPr>
      </w:pPr>
    </w:p>
    <w:p>
      <w:pPr>
        <w:ind w:left="2840" w:hanging="600"/>
        <w:spacing w:after="0"/>
        <w:tabs>
          <w:tab w:leader="none" w:pos="2840" w:val="left"/>
        </w:tabs>
        <w:numPr>
          <w:ilvl w:val="3"/>
          <w:numId w:val="64"/>
        </w:numPr>
        <w:rPr>
          <w:rFonts w:ascii="Arial" w:cs="Arial" w:eastAsia="Arial" w:hAnsi="Arial"/>
          <w:sz w:val="16"/>
          <w:szCs w:val="16"/>
          <w:color w:val="auto"/>
        </w:rPr>
      </w:pPr>
      <w:r>
        <w:rPr>
          <w:rFonts w:ascii="Arial" w:cs="Arial" w:eastAsia="Arial" w:hAnsi="Arial"/>
          <w:sz w:val="16"/>
          <w:szCs w:val="16"/>
          <w:color w:val="auto"/>
        </w:rPr>
        <w:t>the Letter of Credit is in an initial amount less than $100,000 (or such lesser amount as agreed to by the L/C Issuer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the Administrative Agent).</w:t>
      </w:r>
    </w:p>
    <w:p>
      <w:pPr>
        <w:spacing w:after="0" w:line="210" w:lineRule="exact"/>
        <w:rPr>
          <w:rFonts w:ascii="Arial" w:cs="Arial" w:eastAsia="Arial" w:hAnsi="Arial"/>
          <w:sz w:val="16"/>
          <w:szCs w:val="16"/>
          <w:color w:val="auto"/>
        </w:rPr>
      </w:pPr>
    </w:p>
    <w:p>
      <w:pPr>
        <w:jc w:val="both"/>
        <w:ind w:firstLine="1592"/>
        <w:spacing w:after="0" w:line="263" w:lineRule="auto"/>
        <w:tabs>
          <w:tab w:leader="none" w:pos="2210"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83" w:lineRule="exact"/>
        <w:rPr>
          <w:rFonts w:ascii="Arial" w:cs="Arial" w:eastAsia="Arial" w:hAnsi="Arial"/>
          <w:sz w:val="18"/>
          <w:szCs w:val="18"/>
          <w:color w:val="auto"/>
        </w:rPr>
      </w:pPr>
    </w:p>
    <w:p>
      <w:pPr>
        <w:jc w:val="both"/>
        <w:ind w:firstLine="1106"/>
        <w:spacing w:after="0" w:line="284" w:lineRule="auto"/>
        <w:tabs>
          <w:tab w:leader="none" w:pos="1748"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Procedures for Issuance and Amendment of Letters of Credit; Auto-Renewal Letters of Credit</w:t>
      </w:r>
      <w:r>
        <w:rPr>
          <w:rFonts w:ascii="Arial" w:cs="Arial" w:eastAsia="Arial" w:hAnsi="Arial"/>
          <w:sz w:val="16"/>
          <w:szCs w:val="16"/>
          <w:color w:val="auto"/>
        </w:rPr>
        <w:t>. (i) Each Letter of Credit shall be issued or amended, as the case may be, upon the request of the Borrower hand delivered or sent by facsimile (or transmitted by electronic communication, if arrangements for doing so have been approved by the L/C Issuer) to the L/C Issuer (with a copy to the Administrative Agent) in the form of a Letter of Credit Application, appropriately completed and signed by a Responsible Officer of the Borrower. Such Letter of Credit Application must be received by the L/C Issuer and the Administrative Agent not later than 1:00 p.m</w:t>
      </w:r>
      <w:r>
        <w:rPr>
          <w:rFonts w:ascii="Arial" w:cs="Arial" w:eastAsia="Arial" w:hAnsi="Arial"/>
          <w:sz w:val="16"/>
          <w:szCs w:val="16"/>
          <w:b w:val="1"/>
          <w:bCs w:val="1"/>
          <w:color w:val="auto"/>
        </w:rPr>
        <w:t>.</w:t>
      </w:r>
      <w:r>
        <w:rPr>
          <w:rFonts w:ascii="Arial" w:cs="Arial" w:eastAsia="Arial" w:hAnsi="Arial"/>
          <w:sz w:val="16"/>
          <w:szCs w:val="16"/>
          <w:color w:val="auto"/>
        </w:rPr>
        <w:t xml:space="preserve"> at least three Business Days prior to the proposed issuance date or date of amendment, as the case may be; or, in each case, such later date and time as the L/C Issuer may agree in a particular instance in its sole discretion. In the case of a request for an initial issuance of a Letter of Credit, such Letter of Credit Application shall specify in form and detail reasonably satisfactory to the L/C Issuer: (A) the proposed issuance date of the requested Letter of Credit (which shall be a Business Day), (B) the amount, (C) the expiry date thereof,</w:t>
      </w:r>
    </w:p>
    <w:p>
      <w:pPr>
        <w:jc w:val="both"/>
        <w:ind w:firstLine="8"/>
        <w:spacing w:after="0" w:line="271" w:lineRule="auto"/>
        <w:tabs>
          <w:tab w:leader="none" w:pos="302"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name and address of the beneficiary thereof, (E) the documents to be presented by such beneficiary in case of any drawing thereunder, (F) the full text of any certificate to be presented by such beneficiary in case of any drawing thereunder, and (G) such other matters as the L/C Issuer may reasonably request. In the case of a request for an amendment of any outstanding Letter of Credit, such Letter of Credit Application shall specify in form and detail reasonably satisfactory to the L/C Issuer (1) the Letter of Credit to be amended, (2) the proposed date of amendment thereof (which shall be a Business Day), (3) the nature of the proposed amendment, and (4) such other matters as the L/C Issuer may reasonably request.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9" w:name="page100"/>
    <w:bookmarkEnd w:id="99"/>
    <w:p>
      <w:pPr>
        <w:jc w:val="both"/>
        <w:ind w:firstLine="1592"/>
        <w:spacing w:after="0" w:line="272" w:lineRule="auto"/>
        <w:tabs>
          <w:tab w:leader="none" w:pos="2171" w:val="left"/>
        </w:tabs>
        <w:numPr>
          <w:ilvl w:val="1"/>
          <w:numId w:val="68"/>
        </w:numPr>
        <w:rPr>
          <w:rFonts w:ascii="Arial" w:cs="Arial" w:eastAsia="Arial" w:hAnsi="Arial"/>
          <w:sz w:val="17"/>
          <w:szCs w:val="17"/>
          <w:color w:val="auto"/>
        </w:rPr>
      </w:pPr>
      <w:r>
        <w:rPr>
          <w:rFonts w:ascii="Arial" w:cs="Arial" w:eastAsia="Arial" w:hAnsi="Arial"/>
          <w:sz w:val="17"/>
          <w:szCs w:val="17"/>
          <w:color w:val="auto"/>
        </w:rPr>
        <w:t>Subject to the terms and conditions set forth herein, the L/C Issuer shall, on the requested date, issue a Letter of Credit for the account of the Borrower or enter into the applicable amendment, as the case may be. Immediately upon the issuance of each Letter of Credit, each Revolving Lender shall be deemed to have, and hereby irrevocably and unconditionally agrees to, acquire from the L/C Issuer a risk participation in such Letter of Credit in an amount equal to such Revolving Lender’s Applicable Percentage of the aggregate amount available to be drawn under such Letter of Credit. Each Lender acknowledges and agrees that its obligation to acquire risk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w:t>
      </w:r>
    </w:p>
    <w:p>
      <w:pPr>
        <w:spacing w:after="0" w:line="177" w:lineRule="exact"/>
        <w:rPr>
          <w:rFonts w:ascii="Arial" w:cs="Arial" w:eastAsia="Arial" w:hAnsi="Arial"/>
          <w:sz w:val="17"/>
          <w:szCs w:val="17"/>
          <w:color w:val="auto"/>
        </w:rPr>
      </w:pPr>
    </w:p>
    <w:p>
      <w:pPr>
        <w:jc w:val="both"/>
        <w:ind w:firstLine="1592"/>
        <w:spacing w:after="0" w:line="269" w:lineRule="auto"/>
        <w:tabs>
          <w:tab w:leader="none" w:pos="2283" w:val="left"/>
        </w:tabs>
        <w:numPr>
          <w:ilvl w:val="1"/>
          <w:numId w:val="68"/>
        </w:numPr>
        <w:rPr>
          <w:rFonts w:ascii="Arial" w:cs="Arial" w:eastAsia="Arial" w:hAnsi="Arial"/>
          <w:sz w:val="17"/>
          <w:szCs w:val="17"/>
          <w:color w:val="auto"/>
        </w:rPr>
      </w:pPr>
      <w:r>
        <w:rPr>
          <w:rFonts w:ascii="Arial" w:cs="Arial" w:eastAsia="Arial" w:hAnsi="Arial"/>
          <w:sz w:val="17"/>
          <w:szCs w:val="17"/>
          <w:color w:val="auto"/>
        </w:rPr>
        <w:t>If the Borrower so requests in any applicable Letter of Credit Application, the L/C Issuer shall agree to issue a Letter of Credit that has automatic renewal provisions (each, an “</w:t>
      </w:r>
      <w:r>
        <w:rPr>
          <w:rFonts w:ascii="Arial" w:cs="Arial" w:eastAsia="Arial" w:hAnsi="Arial"/>
          <w:sz w:val="17"/>
          <w:szCs w:val="17"/>
          <w:u w:val="single" w:color="auto"/>
          <w:color w:val="auto"/>
        </w:rPr>
        <w:t>Auto-Renewal Letter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Auto-Renewal Letter of Credit must permit the L/C Issuer to prevent any such renewal at least once in each twelve-month period (commencing with the date of issuance of such Auto-Renewal Letter of Credit) by giving prior notice to the beneficiary thereof not later than a day (the “</w:t>
      </w:r>
      <w:r>
        <w:rPr>
          <w:rFonts w:ascii="Arial" w:cs="Arial" w:eastAsia="Arial" w:hAnsi="Arial"/>
          <w:sz w:val="17"/>
          <w:szCs w:val="17"/>
          <w:u w:val="single" w:color="auto"/>
          <w:color w:val="auto"/>
        </w:rPr>
        <w:t>Nonrenewal Notice Date</w:t>
      </w:r>
      <w:r>
        <w:rPr>
          <w:rFonts w:ascii="Arial" w:cs="Arial" w:eastAsia="Arial" w:hAnsi="Arial"/>
          <w:sz w:val="17"/>
          <w:szCs w:val="17"/>
          <w:color w:val="auto"/>
        </w:rPr>
        <w:t xml:space="preserve">”) in each such twelve-month period to be agreed upon at the time such Letter of Credit is issued. Unless otherwise directed by the L/C Issuer, the Borrower shall not be required to make a specific request to the L/C Issuer for any such renewal. Once an Auto-Renewal Letter of Credit has been issued, the Revolving Lenders shall be deemed to have authorized (but may not require) the L/C Issuer to permit the renewal of such Auto-Renewal Letter of Credit from time to time to an expiry date not later than the Letter of Credit Expiration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L/C Issuer shall not permit any such renewal if (A) the L/C Issuer has determined that it would have no obligation at such time to issue such Letter of Credit in its renewed form under the terms hereof (by reason of the provisions of </w:t>
      </w:r>
      <w:r>
        <w:rPr>
          <w:rFonts w:ascii="Arial" w:cs="Arial" w:eastAsia="Arial" w:hAnsi="Arial"/>
          <w:sz w:val="17"/>
          <w:szCs w:val="17"/>
          <w:u w:val="single" w:color="auto"/>
          <w:color w:val="auto"/>
        </w:rPr>
        <w:t>Section 2.4(a)(ii)</w:t>
      </w:r>
      <w:r>
        <w:rPr>
          <w:rFonts w:ascii="Arial" w:cs="Arial" w:eastAsia="Arial" w:hAnsi="Arial"/>
          <w:sz w:val="17"/>
          <w:szCs w:val="17"/>
          <w:color w:val="auto"/>
        </w:rPr>
        <w:t xml:space="preserve"> or otherwise), or (B) it has received notice (which may be by telephone, followed promptly in writing, or in writing) on or before the day that is five Business Days before the applicable Nonrenewal Notice Date from the Administrative Agent or any Revolving Lender, as applicable, or the Borrower that one or more of the applicable conditions specified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is not then satisfied.</w:t>
      </w:r>
    </w:p>
    <w:p>
      <w:pPr>
        <w:spacing w:after="0" w:line="178" w:lineRule="exact"/>
        <w:rPr>
          <w:rFonts w:ascii="Arial" w:cs="Arial" w:eastAsia="Arial" w:hAnsi="Arial"/>
          <w:sz w:val="17"/>
          <w:szCs w:val="17"/>
          <w:color w:val="auto"/>
        </w:rPr>
      </w:pPr>
    </w:p>
    <w:p>
      <w:pPr>
        <w:jc w:val="both"/>
        <w:ind w:firstLine="1592"/>
        <w:spacing w:after="0" w:line="263" w:lineRule="auto"/>
        <w:tabs>
          <w:tab w:leader="none" w:pos="2227" w:val="left"/>
        </w:tabs>
        <w:numPr>
          <w:ilvl w:val="1"/>
          <w:numId w:val="68"/>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spacing w:after="0" w:line="183" w:lineRule="exact"/>
        <w:rPr>
          <w:rFonts w:ascii="Arial" w:cs="Arial" w:eastAsia="Arial" w:hAnsi="Arial"/>
          <w:sz w:val="18"/>
          <w:szCs w:val="18"/>
          <w:color w:val="auto"/>
        </w:rPr>
      </w:pPr>
    </w:p>
    <w:p>
      <w:pPr>
        <w:jc w:val="both"/>
        <w:ind w:firstLine="1106"/>
        <w:spacing w:after="0" w:line="285" w:lineRule="auto"/>
        <w:tabs>
          <w:tab w:leader="none" w:pos="1779"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Drawings and Reimbursements; Funding of Participations</w:t>
      </w:r>
      <w:r>
        <w:rPr>
          <w:rFonts w:ascii="Arial" w:cs="Arial" w:eastAsia="Arial" w:hAnsi="Arial"/>
          <w:sz w:val="16"/>
          <w:szCs w:val="16"/>
          <w:color w:val="auto"/>
        </w:rPr>
        <w:t>. (i) Upon receipt from the beneficiary of any Letter of Credit of any notice of a drawing under such Letter of Credit, the L/C Issuer shall notify promptly the Borrower and the Administrative Agent thereof. On the Business Day on which the Borrower shall have received notice of any payment by the L/C Issuer under a Letter of Credit or, if the Borrower shall have received such notice later than 12:00 p.m. on any Business Day, on the succeeding Business Day (such applicable Business Day, the “</w:t>
      </w:r>
      <w:r>
        <w:rPr>
          <w:rFonts w:ascii="Arial" w:cs="Arial" w:eastAsia="Arial" w:hAnsi="Arial"/>
          <w:sz w:val="16"/>
          <w:szCs w:val="16"/>
          <w:u w:val="single" w:color="auto"/>
          <w:color w:val="auto"/>
        </w:rPr>
        <w:t>L/C Honor Date</w:t>
      </w:r>
      <w:r>
        <w:rPr>
          <w:rFonts w:ascii="Arial" w:cs="Arial" w:eastAsia="Arial" w:hAnsi="Arial"/>
          <w:sz w:val="16"/>
          <w:szCs w:val="16"/>
          <w:color w:val="auto"/>
        </w:rPr>
        <w:t>”), the Borrower shall (regardless of whether or not such Letter of Credit shall be for the sole account of the Borrower or for the joint account of the Borrower and any Subsidiary) reimburse the L/C Issuer through the Administrative Agent in an amount equal to such drawing in Dollars. If the Borrower fails to so reimburse the L/C Issuer on the L/C Honor Date (or if any such reimbursement payment is required to be refunded to the Borrower for any reason), then (x) the Borrower shall be deemed to have requested a Borrowing of ABR Revolving Loans in the amount of such drawing, and (y) the Administrative Agent shall promptly notify each Revolving Lender of the L/C Honor Date, the amount of the unreimbursed drawing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Revolving Lender’s Applicable Percentage thereof. Such Revolving Loans shall be made by the Revolving Lenders without regard to the Borrowing Minimums and Borrowing Multiples. Any notice given by the L/C Issuer or the Administrative Agent pursuant to this </w:t>
      </w:r>
      <w:r>
        <w:rPr>
          <w:rFonts w:ascii="Arial" w:cs="Arial" w:eastAsia="Arial" w:hAnsi="Arial"/>
          <w:sz w:val="16"/>
          <w:szCs w:val="16"/>
          <w:u w:val="single" w:color="auto"/>
          <w:color w:val="auto"/>
        </w:rPr>
        <w:t>Section 2.4(c)(i)</w:t>
      </w:r>
      <w:r>
        <w:rPr>
          <w:rFonts w:ascii="Arial" w:cs="Arial" w:eastAsia="Arial" w:hAnsi="Arial"/>
          <w:sz w:val="16"/>
          <w:szCs w:val="16"/>
          <w:color w:val="auto"/>
        </w:rPr>
        <w:t xml:space="preserve"> may be given by telephone if immediately confirmed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lack of such an immediate confirmation shall not affect the conclusiveness or binding effect of such notice. For the avoidance of doubt, if any drawing occurs under a Letter of Credit and such drawing is not reimbursed on the same day, the Unreimbursed Amount of such drawing shall, without duplication, accrue interest for each day until the date of reimbursement at (x) prior to the third Business Day following the L/C Honor Date, the rate per annum applicable to the outstanding principal balance of ABR Revolving Loans pursuant to </w:t>
      </w:r>
      <w:r>
        <w:rPr>
          <w:rFonts w:ascii="Arial" w:cs="Arial" w:eastAsia="Arial" w:hAnsi="Arial"/>
          <w:sz w:val="16"/>
          <w:szCs w:val="16"/>
          <w:u w:val="single" w:color="auto"/>
          <w:color w:val="auto"/>
        </w:rPr>
        <w:t>Section 3.1(a)</w:t>
      </w:r>
      <w:r>
        <w:rPr>
          <w:rFonts w:ascii="Arial" w:cs="Arial" w:eastAsia="Arial" w:hAnsi="Arial"/>
          <w:sz w:val="16"/>
          <w:szCs w:val="16"/>
          <w:color w:val="auto"/>
        </w:rPr>
        <w:t>, and (y) thereafter, a rate per annum equal to the Default Rate applicable to the outstanding principal balance of ABR Revolving Loans.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0" w:name="page101"/>
    <w:bookmarkEnd w:id="100"/>
    <w:p>
      <w:pPr>
        <w:jc w:val="both"/>
        <w:ind w:firstLine="1592"/>
        <w:spacing w:after="0" w:line="257" w:lineRule="auto"/>
        <w:tabs>
          <w:tab w:leader="none" w:pos="2397"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Each Revolving Lender (including the Revolving Lender acting as the L/C Issuer) shall upon any notice pursuant to </w:t>
      </w:r>
      <w:r>
        <w:rPr>
          <w:rFonts w:ascii="Arial" w:cs="Arial" w:eastAsia="Arial" w:hAnsi="Arial"/>
          <w:sz w:val="18"/>
          <w:szCs w:val="18"/>
          <w:u w:val="single" w:color="auto"/>
          <w:color w:val="auto"/>
        </w:rPr>
        <w:t>Section 2.4(c)(i)</w:t>
      </w:r>
      <w:r>
        <w:rPr>
          <w:rFonts w:ascii="Arial" w:cs="Arial" w:eastAsia="Arial" w:hAnsi="Arial"/>
          <w:sz w:val="18"/>
          <w:szCs w:val="18"/>
          <w:color w:val="auto"/>
        </w:rPr>
        <w:t xml:space="preserve"> make funds available to the Administrative Agent for the account of the L/C Issuer at the Administrative Agent’s Payment Office in an amount equal to its Applicable Percentage of any Unreimbursed Amount in respect of a Letter of Credit in Dollars not later than 1:00 p.m. on the Business Day specified in such notice by the Administrative Agent. The Administrative Agent shall remit the funds so received to the L/C Issuer, and may apply Cash Collateral provided for this purpose to such Unreimbursed Amount.</w:t>
      </w:r>
    </w:p>
    <w:p>
      <w:pPr>
        <w:spacing w:after="0" w:line="187" w:lineRule="exact"/>
        <w:rPr>
          <w:rFonts w:ascii="Arial" w:cs="Arial" w:eastAsia="Arial" w:hAnsi="Arial"/>
          <w:sz w:val="18"/>
          <w:szCs w:val="18"/>
          <w:color w:val="auto"/>
        </w:rPr>
      </w:pPr>
    </w:p>
    <w:p>
      <w:pPr>
        <w:jc w:val="both"/>
        <w:ind w:firstLine="1592"/>
        <w:spacing w:after="0" w:line="255" w:lineRule="auto"/>
        <w:tabs>
          <w:tab w:leader="none" w:pos="2287"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Each Revolving Lender that makes funds available pursuant to </w:t>
      </w:r>
      <w:r>
        <w:rPr>
          <w:rFonts w:ascii="Arial" w:cs="Arial" w:eastAsia="Arial" w:hAnsi="Arial"/>
          <w:sz w:val="18"/>
          <w:szCs w:val="18"/>
          <w:u w:val="single" w:color="auto"/>
          <w:color w:val="auto"/>
        </w:rPr>
        <w:t>Section 2.4(c)(ii)</w:t>
      </w:r>
      <w:r>
        <w:rPr>
          <w:rFonts w:ascii="Arial" w:cs="Arial" w:eastAsia="Arial" w:hAnsi="Arial"/>
          <w:sz w:val="18"/>
          <w:szCs w:val="18"/>
          <w:color w:val="auto"/>
        </w:rPr>
        <w:t xml:space="preserve"> shall be deemed to have made an ABR Revolving Loan in Dollars to the Borrower in such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the conditions for Revolving Borrowings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cannot be satisfied (and have not been waived) or for any other reason, then (A) the Borrower shall be deemed to have incurred from the L/C Issuer a L/C Borrowing in Dollars in the amount of the Unreimbursed Amount, which L/C Borrowing shall be due and payable on demand (together with interest) and shall bear interest at the Default Rate, and (B) such Revolving Lender shall be deemed to have purchased a participation in such L/C Borrowing in an amount equal to its Applicable Percentage thereof (a “</w:t>
      </w:r>
      <w:r>
        <w:rPr>
          <w:rFonts w:ascii="Arial" w:cs="Arial" w:eastAsia="Arial" w:hAnsi="Arial"/>
          <w:sz w:val="18"/>
          <w:szCs w:val="18"/>
          <w:u w:val="single" w:color="auto"/>
          <w:color w:val="auto"/>
        </w:rPr>
        <w:t>L/C Advance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firstLine="1592"/>
        <w:spacing w:after="0" w:line="263" w:lineRule="auto"/>
        <w:tabs>
          <w:tab w:leader="none" w:pos="2294"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Until each Revolving Lender funds its Revolving Loan or L/C Advance pursuant to this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to reimburse the L/C Issuer for any amount drawn under any Letter of Credit, interest in respect of such Revolving Lender’s Applicable Percentage of such amount shall be solely for the account of the L/C Issuer.</w:t>
      </w:r>
    </w:p>
    <w:p>
      <w:pPr>
        <w:spacing w:after="0" w:line="183" w:lineRule="exact"/>
        <w:rPr>
          <w:rFonts w:ascii="Arial" w:cs="Arial" w:eastAsia="Arial" w:hAnsi="Arial"/>
          <w:sz w:val="18"/>
          <w:szCs w:val="18"/>
          <w:color w:val="auto"/>
        </w:rPr>
      </w:pPr>
    </w:p>
    <w:p>
      <w:pPr>
        <w:jc w:val="both"/>
        <w:ind w:firstLine="1592"/>
        <w:spacing w:after="0" w:line="255" w:lineRule="auto"/>
        <w:tabs>
          <w:tab w:leader="none" w:pos="22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Each Revolving Lender’s obligation to make Revolving Loans or L/C Advances to reimburse the L/C Issuer for amounts drawn under Letters of Credit, as contemplated by this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shall be absolute and unconditional and shall not be affected by any circumstance;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Revolving Lender’s obligation to make Revolving Loans (but not L/C Advances) pursuant to this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(other than delivery by the Borrower of a Committed Loan Notice). No such making of a L/C Advance shall relieve or otherwise impair the obligation of the Borrower to reimburse the L/C Issuer for the amount of any payment made by the L/C Issuer under any Letter of Credit, together with interest as provided herein.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1" w:name="page102"/>
    <w:bookmarkEnd w:id="101"/>
    <w:p>
      <w:pPr>
        <w:jc w:val="both"/>
        <w:ind w:firstLine="1592"/>
        <w:spacing w:after="0" w:line="254" w:lineRule="auto"/>
        <w:tabs>
          <w:tab w:leader="none" w:pos="2236"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If any Revolving Lender fails to make available to the Administrative Agent for the account of the L/C Issuer any amount required to be paid by such Revolving Lender pursuant to the foregoing provisions of this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2.4(c)(ii)</w:t>
      </w:r>
      <w:r>
        <w:rPr>
          <w:rFonts w:ascii="Arial" w:cs="Arial" w:eastAsia="Arial" w:hAnsi="Arial"/>
          <w:sz w:val="18"/>
          <w:szCs w:val="18"/>
          <w:color w:val="auto"/>
        </w:rPr>
        <w:t xml:space="preserve">, the L/C Issuer shall be entitled to recover from such Revolving Lender (acting through the Administrative Agent), on demand, such amount with interest thereon for the period from the date such payment is required to the date on which such payment is immediately available to the L/C Issuer at the greater of the Federal Funds Effective Rate and a rate determined by the L/C Issuer in accordance with banking industry rules on interbank compensation. A certificate of the L/C Issuer submitted to any Revolving Lender (through the Administrative Agent) with respect to any amounts owing under this </w:t>
      </w:r>
      <w:r>
        <w:rPr>
          <w:rFonts w:ascii="Arial" w:cs="Arial" w:eastAsia="Arial" w:hAnsi="Arial"/>
          <w:sz w:val="18"/>
          <w:szCs w:val="18"/>
          <w:u w:val="single" w:color="auto"/>
          <w:color w:val="auto"/>
        </w:rPr>
        <w:t>Section 2.4(c)(vi)</w:t>
      </w:r>
      <w:r>
        <w:rPr>
          <w:rFonts w:ascii="Arial" w:cs="Arial" w:eastAsia="Arial" w:hAnsi="Arial"/>
          <w:sz w:val="18"/>
          <w:szCs w:val="18"/>
          <w:color w:val="auto"/>
        </w:rPr>
        <w:t xml:space="preserve"> shall be conclusive absent manifest error.</w:t>
      </w:r>
    </w:p>
    <w:p>
      <w:pPr>
        <w:spacing w:after="0" w:line="194" w:lineRule="exact"/>
        <w:rPr>
          <w:rFonts w:ascii="Arial" w:cs="Arial" w:eastAsia="Arial" w:hAnsi="Arial"/>
          <w:sz w:val="18"/>
          <w:szCs w:val="18"/>
          <w:color w:val="auto"/>
        </w:rPr>
      </w:pPr>
    </w:p>
    <w:p>
      <w:pPr>
        <w:jc w:val="both"/>
        <w:ind w:firstLine="1592"/>
        <w:spacing w:after="0" w:line="273" w:lineRule="auto"/>
        <w:tabs>
          <w:tab w:leader="none" w:pos="2259"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If, at any time after the L/C Issuer has made a payment under any Letter of Credit and has received from any Revolving Lender such Revolving Lender’s L/C Advance in respect of such payment in accordance with this </w:t>
      </w:r>
      <w:r>
        <w:rPr>
          <w:rFonts w:ascii="Arial" w:cs="Arial" w:eastAsia="Arial" w:hAnsi="Arial"/>
          <w:sz w:val="17"/>
          <w:szCs w:val="17"/>
          <w:u w:val="single" w:color="auto"/>
          <w:color w:val="auto"/>
        </w:rPr>
        <w:t>Section 2.4(c)</w:t>
      </w:r>
      <w:r>
        <w:rPr>
          <w:rFonts w:ascii="Arial" w:cs="Arial" w:eastAsia="Arial" w:hAnsi="Arial"/>
          <w:sz w:val="17"/>
          <w:szCs w:val="17"/>
          <w:color w:val="auto"/>
        </w:rPr>
        <w:t>, the Administrative Agent receives for the account of such Revolving Lender any payment in respect of the related Unreimbursed Amount or interest thereon (whether directly from the Borrower or otherwise, including proceeds of Cash Collateral applied thereto by the Administrative Agent), the Administrative Agent will distribute to such Revolving Lender its Applicable Percentage thereof (appropriately adjusted, in the case of interest payments, to reflect the period of time during which such Revolving Lender’s L/C Advance was outstanding) in the same funds as those received by the Administrative Agent.</w:t>
      </w:r>
    </w:p>
    <w:p>
      <w:pPr>
        <w:spacing w:after="0" w:line="177" w:lineRule="exact"/>
        <w:rPr>
          <w:rFonts w:ascii="Arial" w:cs="Arial" w:eastAsia="Arial" w:hAnsi="Arial"/>
          <w:sz w:val="17"/>
          <w:szCs w:val="17"/>
          <w:color w:val="auto"/>
        </w:rPr>
      </w:pPr>
    </w:p>
    <w:p>
      <w:pPr>
        <w:jc w:val="both"/>
        <w:ind w:firstLine="1592"/>
        <w:spacing w:after="0" w:line="259" w:lineRule="auto"/>
        <w:tabs>
          <w:tab w:leader="none" w:pos="2193"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L/C Issuer pursuant to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each Revolving Lender shall pay to the Administrative Agent its Applicable Percentage thereof on demand of the Administrative Agent,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thereon from the date of such demand to the date such amount is returned by such Revolving Lender, at a rate per annum equal to the Federal Funds Effective Rate.</w:t>
      </w:r>
    </w:p>
    <w:p>
      <w:pPr>
        <w:spacing w:after="0" w:line="186" w:lineRule="exact"/>
        <w:rPr>
          <w:rFonts w:ascii="Arial" w:cs="Arial" w:eastAsia="Arial" w:hAnsi="Arial"/>
          <w:sz w:val="18"/>
          <w:szCs w:val="18"/>
          <w:color w:val="auto"/>
        </w:rPr>
      </w:pPr>
    </w:p>
    <w:p>
      <w:pPr>
        <w:jc w:val="both"/>
        <w:ind w:firstLine="1106"/>
        <w:spacing w:after="0" w:line="263" w:lineRule="auto"/>
        <w:tabs>
          <w:tab w:leader="none" w:pos="1762"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Borrower to reimburse the L/C Issuer for each drawing under each Letter of Credit issued by it and to repay each L/C Borrowing shall be absolute, unconditional and irrevocable, and shall be paid strictly in accordance with the terms of this Credit Agreement under all circumstances, including the following:</w:t>
      </w:r>
    </w:p>
    <w:p>
      <w:pPr>
        <w:spacing w:after="0" w:line="183" w:lineRule="exact"/>
        <w:rPr>
          <w:rFonts w:ascii="Arial" w:cs="Arial" w:eastAsia="Arial" w:hAnsi="Arial"/>
          <w:sz w:val="18"/>
          <w:szCs w:val="18"/>
          <w:color w:val="auto"/>
        </w:rPr>
      </w:pPr>
    </w:p>
    <w:p>
      <w:pPr>
        <w:ind w:left="2240" w:hanging="648"/>
        <w:spacing w:after="0"/>
        <w:tabs>
          <w:tab w:leader="none" w:pos="22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any lack of validity or enforceability of such Letter of Credit, this Credit Agreement, or any other agreement or instrument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relating thereto;</w:t>
      </w:r>
    </w:p>
    <w:p>
      <w:pPr>
        <w:spacing w:after="0" w:line="210" w:lineRule="exact"/>
        <w:rPr>
          <w:rFonts w:ascii="Arial" w:cs="Arial" w:eastAsia="Arial" w:hAnsi="Arial"/>
          <w:sz w:val="16"/>
          <w:szCs w:val="16"/>
          <w:color w:val="auto"/>
        </w:rPr>
      </w:pPr>
    </w:p>
    <w:p>
      <w:pPr>
        <w:jc w:val="both"/>
        <w:ind w:firstLine="1592"/>
        <w:spacing w:after="0" w:line="259" w:lineRule="auto"/>
        <w:tabs>
          <w:tab w:leader="none" w:pos="2197"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any Loan Party may have at any time against any beneficiary or any transferee of such Letter of Credit (or any Person for whom any such beneficiary or any such transferee may be acting), the L/C Issuer or any other Person, whether in connection with this Credit Agreement, the transactions contemplated hereby or by such Letter of Credit or any agreement or instrument relating thereto, or any unrelated transaction;</w:t>
      </w:r>
    </w:p>
    <w:p>
      <w:pPr>
        <w:spacing w:after="0" w:line="186" w:lineRule="exact"/>
        <w:rPr>
          <w:rFonts w:ascii="Arial" w:cs="Arial" w:eastAsia="Arial" w:hAnsi="Arial"/>
          <w:sz w:val="18"/>
          <w:szCs w:val="18"/>
          <w:color w:val="auto"/>
        </w:rPr>
      </w:pPr>
    </w:p>
    <w:p>
      <w:pPr>
        <w:jc w:val="both"/>
        <w:ind w:firstLine="1592"/>
        <w:spacing w:after="0" w:line="263" w:lineRule="auto"/>
        <w:tabs>
          <w:tab w:leader="none" w:pos="2302"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2" w:name="page103"/>
    <w:bookmarkEnd w:id="102"/>
    <w:p>
      <w:pPr>
        <w:jc w:val="both"/>
        <w:ind w:firstLine="1592"/>
        <w:spacing w:after="0" w:line="301" w:lineRule="auto"/>
        <w:tabs>
          <w:tab w:leader="none" w:pos="2209"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(x) any proceeding under any Debtor Relief Law or (y) any Bail-In Action;</w:t>
      </w:r>
    </w:p>
    <w:p>
      <w:pPr>
        <w:spacing w:after="0" w:line="157" w:lineRule="exact"/>
        <w:rPr>
          <w:rFonts w:ascii="Arial" w:cs="Arial" w:eastAsia="Arial" w:hAnsi="Arial"/>
          <w:sz w:val="16"/>
          <w:szCs w:val="16"/>
          <w:color w:val="auto"/>
        </w:rPr>
      </w:pPr>
    </w:p>
    <w:p>
      <w:pPr>
        <w:jc w:val="both"/>
        <w:ind w:firstLine="1592"/>
        <w:spacing w:after="0" w:line="263" w:lineRule="auto"/>
        <w:tabs>
          <w:tab w:leader="none" w:pos="219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the Guarantee Agreement or any other guarantee, for all or any of the Loan Document Obligations of any Loan Party in respect of such Letter of Credit; or</w:t>
      </w:r>
    </w:p>
    <w:p>
      <w:pPr>
        <w:spacing w:after="0" w:line="183" w:lineRule="exact"/>
        <w:rPr>
          <w:rFonts w:ascii="Arial" w:cs="Arial" w:eastAsia="Arial" w:hAnsi="Arial"/>
          <w:sz w:val="18"/>
          <w:szCs w:val="18"/>
          <w:color w:val="auto"/>
        </w:rPr>
      </w:pPr>
    </w:p>
    <w:p>
      <w:pPr>
        <w:ind w:firstLine="1592"/>
        <w:spacing w:after="0" w:line="277" w:lineRule="auto"/>
        <w:tabs>
          <w:tab w:leader="none" w:pos="2359"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any Loan Party;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excuse the L/C Issuer from liability to the Borrower to the extent of any direct damages (as opposed to special, indirect, consequential or punitive damages, claims in respect of which are waived by the Borrower to the extent permitted by applicable law) suffered by the Borrower that are caused by the L/C Issuer’s gross negligence or willful misconduct when determining whether drafts and other documents presented under a Letter of Credit comply with the terms thereof.</w:t>
      </w:r>
    </w:p>
    <w:p>
      <w:pPr>
        <w:spacing w:after="0" w:line="187" w:lineRule="exact"/>
        <w:rPr>
          <w:sz w:val="20"/>
          <w:szCs w:val="20"/>
          <w:color w:val="auto"/>
        </w:rPr>
      </w:pPr>
    </w:p>
    <w:p>
      <w:pPr>
        <w:jc w:val="both"/>
        <w:ind w:firstLine="1106"/>
        <w:spacing w:after="0" w:line="285" w:lineRule="auto"/>
        <w:tabs>
          <w:tab w:leader="none" w:pos="1698"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Role of L/C Issuer</w:t>
      </w:r>
      <w:r>
        <w:rPr>
          <w:rFonts w:ascii="Arial" w:cs="Arial" w:eastAsia="Arial" w:hAnsi="Arial"/>
          <w:sz w:val="16"/>
          <w:szCs w:val="16"/>
          <w:color w:val="auto"/>
        </w:rPr>
        <w:t xml:space="preserve">. Each Lender and the Borrower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any of its Related Parties nor any of the correspondents, participants or assignees of the L/C Issuer shall be liable to any Lender for (i) any action taken or omitted in connection herewith at the request or with the approval of the Required Lenders, (ii) any action taken or omitted in the absence of gross negligence or willful misconduct; or (iii) the due execution, effectiveness, validity or enforceability of any document or instrument related to any Letter of Credit or Letter of Credit Application. The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assumption is not intended to, and shall not, preclude the Borrower from pursuing such rights and remedies as it may have against the beneficiary or transferee at law or under any other agreement. None of the L/C Issuer, any of its Related Parties nor any of the correspondents, participants or assignees of the L/C Issuer shall be liable or responsible for any of the matters described in clauses (i) through (iii) of this </w:t>
      </w:r>
      <w:r>
        <w:rPr>
          <w:rFonts w:ascii="Arial" w:cs="Arial" w:eastAsia="Arial" w:hAnsi="Arial"/>
          <w:sz w:val="16"/>
          <w:szCs w:val="16"/>
          <w:u w:val="single" w:color="auto"/>
          <w:color w:val="auto"/>
        </w:rPr>
        <w:t>Section 2.4(e)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caused by the L/C Issuer’s willful misconduct or gross negligence or the L/C Issuer’s willful or grossly negligent failure to pay under any Letter of Credit after the presentation to it by the beneficiary of a sight draft and certificate(s) strictly complying with the terms and conditions of such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3" w:name="page104"/>
    <w:bookmarkEnd w:id="103"/>
    <w:p>
      <w:pPr>
        <w:jc w:val="both"/>
        <w:ind w:firstLine="1106"/>
        <w:spacing w:after="0" w:line="286" w:lineRule="auto"/>
        <w:tabs>
          <w:tab w:leader="none" w:pos="1854"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Conflict with Letter of Credit Application</w:t>
      </w:r>
      <w:r>
        <w:rPr>
          <w:rFonts w:ascii="Arial" w:cs="Arial" w:eastAsia="Arial" w:hAnsi="Arial"/>
          <w:sz w:val="17"/>
          <w:szCs w:val="17"/>
          <w:color w:val="auto"/>
        </w:rPr>
        <w:t xml:space="preserve">. Notwithstanding anything else to the contrary in any Letter of Credit Document (including any Letter of Credit Application), in the event of any conflict between the terms hereof and the terms of any such Letter of Credit Document, the terms hereof shall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non-conflicting terms of any such Letter of Credit Document shall remain in full force and effect.</w:t>
      </w:r>
    </w:p>
    <w:p>
      <w:pPr>
        <w:spacing w:after="0" w:line="165" w:lineRule="exact"/>
        <w:rPr>
          <w:rFonts w:ascii="Arial" w:cs="Arial" w:eastAsia="Arial" w:hAnsi="Arial"/>
          <w:sz w:val="17"/>
          <w:szCs w:val="17"/>
          <w:color w:val="auto"/>
        </w:rPr>
      </w:pPr>
    </w:p>
    <w:p>
      <w:pPr>
        <w:jc w:val="both"/>
        <w:ind w:firstLine="1106"/>
        <w:spacing w:after="0" w:line="254" w:lineRule="auto"/>
        <w:tabs>
          <w:tab w:leader="none" w:pos="170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Applicability of ISP; Limitation of Liability</w:t>
      </w:r>
      <w:r>
        <w:rPr>
          <w:rFonts w:ascii="Arial" w:cs="Arial" w:eastAsia="Arial" w:hAnsi="Arial"/>
          <w:sz w:val="18"/>
          <w:szCs w:val="18"/>
          <w:color w:val="auto"/>
        </w:rPr>
        <w:t>. Unless otherwise expressly agreed by the L/C Issuer and the Borrower when a Letter of Credit is issued, the rules of the ISP shall apply to each standby Letter of Credit. Notwithstanding the foregoing, the L/C Issuer shall not be responsible to any Loan Party for, and the L/C Issuer’s rights and remedies against any such Loan Party shall not be impaired by, any action or inaction of the L/C Issuer required or permitted under any law, order, or practice that is required or permitted to be applied to any Letter of Credit or this Credit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92"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w:t>
      </w:r>
    </w:p>
    <w:p>
      <w:pPr>
        <w:spacing w:after="0" w:line="225" w:lineRule="exact"/>
        <w:rPr>
          <w:sz w:val="20"/>
          <w:szCs w:val="20"/>
          <w:color w:val="auto"/>
        </w:rPr>
      </w:pPr>
    </w:p>
    <w:p>
      <w:pPr>
        <w:jc w:val="both"/>
        <w:ind w:firstLine="1106"/>
        <w:spacing w:after="0" w:line="286" w:lineRule="auto"/>
        <w:tabs>
          <w:tab w:leader="none" w:pos="1883" w:val="left"/>
        </w:tabs>
        <w:numPr>
          <w:ilvl w:val="0"/>
          <w:numId w:val="76"/>
        </w:numPr>
        <w:rPr>
          <w:rFonts w:ascii="Arial" w:cs="Arial" w:eastAsia="Arial" w:hAnsi="Arial"/>
          <w:sz w:val="17"/>
          <w:szCs w:val="17"/>
          <w:color w:val="auto"/>
        </w:rPr>
      </w:pPr>
      <w:r>
        <w:rPr>
          <w:rFonts w:ascii="Arial" w:cs="Arial" w:eastAsia="Arial" w:hAnsi="Arial"/>
          <w:sz w:val="17"/>
          <w:szCs w:val="17"/>
          <w:color w:val="auto"/>
        </w:rPr>
        <w:t>Unless previously terminated, (i) the Term Loan Commitments (other than any Incremental Term Loan Commitments) shall automatically terminate upon the making of the Term Loans on the Closing Date, and (ii) the Revolving Commitments shall terminate on the last day of the Availability Period. Any Incremental Term Loan Commitment shall terminate as provided in the applicable Incremental Assumption Agreement.</w:t>
      </w:r>
    </w:p>
    <w:p>
      <w:pPr>
        <w:spacing w:after="0" w:line="165" w:lineRule="exact"/>
        <w:rPr>
          <w:rFonts w:ascii="Arial" w:cs="Arial" w:eastAsia="Arial" w:hAnsi="Arial"/>
          <w:sz w:val="17"/>
          <w:szCs w:val="17"/>
          <w:color w:val="auto"/>
        </w:rPr>
      </w:pPr>
    </w:p>
    <w:p>
      <w:pPr>
        <w:jc w:val="both"/>
        <w:ind w:firstLine="1106"/>
        <w:spacing w:after="0" w:line="270" w:lineRule="auto"/>
        <w:tabs>
          <w:tab w:leader="none" w:pos="1699"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The Borrower may at any time terminate, or from time to time reduce, the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shall not terminate or reduce the Revolving Commitments if, after giving effect to any concurrent prepayment or repayment of the Revolving Loans and the Swingline Loans in accordance with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the sum of the Revolving Exposures of all Revolving Lenders would exceed the aggregate Revolving Commitments, (ii) each such reduction of the Revolving Commitments shall be in an amount that is an integral multiple of $1,000,000 and not less than $5,000,000, and (iii) any reduction of the Revolving Commitments to an amount below the L/C Sublimit or the Swingline Sublimit shall automatically reduce the L/C Sublimit or the Swingline Sublimit, as applicable, on a Dollar for Dollar basis. If at any time, as a result of such a partial reduction or termination as provided in </w:t>
      </w:r>
      <w:r>
        <w:rPr>
          <w:rFonts w:ascii="Arial" w:cs="Arial" w:eastAsia="Arial" w:hAnsi="Arial"/>
          <w:sz w:val="17"/>
          <w:szCs w:val="17"/>
          <w:u w:val="single" w:color="auto"/>
          <w:color w:val="auto"/>
        </w:rPr>
        <w:t>Section 2.5(a)</w:t>
      </w:r>
      <w:r>
        <w:rPr>
          <w:rFonts w:ascii="Arial" w:cs="Arial" w:eastAsia="Arial" w:hAnsi="Arial"/>
          <w:sz w:val="17"/>
          <w:szCs w:val="17"/>
          <w:color w:val="auto"/>
        </w:rPr>
        <w:t>, the Revolving Exposure of all Lenders would exceed the aggregate Revolving Commitments, then the Borrower shall on the date of such reduction or termination of Revolving Commitments, repay or prepay Revolving Borrowings or Swingline Loans (or a combination thereof) and/or Cash Collateralize Letters of Credit in an aggregate amount equal to such excess.</w:t>
      </w:r>
    </w:p>
    <w:p>
      <w:pPr>
        <w:spacing w:after="0" w:line="180" w:lineRule="exact"/>
        <w:rPr>
          <w:rFonts w:ascii="Arial" w:cs="Arial" w:eastAsia="Arial" w:hAnsi="Arial"/>
          <w:sz w:val="17"/>
          <w:szCs w:val="17"/>
          <w:color w:val="auto"/>
        </w:rPr>
      </w:pPr>
    </w:p>
    <w:p>
      <w:pPr>
        <w:ind w:right="20" w:firstLine="1106"/>
        <w:spacing w:after="0" w:line="277" w:lineRule="auto"/>
        <w:tabs>
          <w:tab w:leader="none" w:pos="1861"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In addition to any termination or reduction of the Revolving Commitments under paragraphs (a) and (b) of this Section, the Revolving Commitments shall be reduced as required under </w:t>
      </w:r>
      <w:r>
        <w:rPr>
          <w:rFonts w:ascii="Arial" w:cs="Arial" w:eastAsia="Arial" w:hAnsi="Arial"/>
          <w:sz w:val="18"/>
          <w:szCs w:val="18"/>
          <w:u w:val="single" w:color="auto"/>
          <w:color w:val="auto"/>
        </w:rPr>
        <w:t>Section 2.7(b)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106"/>
        <w:spacing w:after="0" w:line="253" w:lineRule="auto"/>
        <w:tabs>
          <w:tab w:leader="none" w:pos="1823"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of any election to terminate or reduce the Revolving Commitments under paragraph (b) of this Section at least three Business Days prior to the effective date of such termination or reduction, specifying such election and the effective date thereof. Promptly following receipt of any such notice, the Administrative Agent shall advise the Revolving Lenders of the contents thereof. Each notice delivered by the Borrower 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Revolving Commitments may state that such notice is conditioned upon the effectiveness of other credit facilities, in which case such notice may be revoked by the Borrower (by written notice to the Administrative Agent on or prior to the specified effective date) if such condition is not satisfied subject to the Borrower’s obligation to indemnify the Lenders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Each reduction, and any termination, of the Revolving Commitments shall be permanent and each reduction of the Revolving Commitments shall be made ratably among the Revolving Lenders in accordance with their respective Revolving Commitments.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4" w:name="page105"/>
    <w:bookmarkEnd w:id="104"/>
    <w:p>
      <w:pPr>
        <w:ind w:left="440"/>
        <w:spacing w:after="0"/>
        <w:tabs>
          <w:tab w:leader="none" w:pos="154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25" w:lineRule="exact"/>
        <w:rPr>
          <w:sz w:val="20"/>
          <w:szCs w:val="20"/>
          <w:color w:val="auto"/>
        </w:rPr>
      </w:pPr>
    </w:p>
    <w:p>
      <w:pPr>
        <w:jc w:val="both"/>
        <w:ind w:left="-20" w:firstLine="1106"/>
        <w:spacing w:after="0" w:line="269" w:lineRule="auto"/>
        <w:tabs>
          <w:tab w:leader="none" w:pos="1678"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Payment at Maturity</w:t>
      </w:r>
      <w:r>
        <w:rPr>
          <w:rFonts w:ascii="Arial" w:cs="Arial" w:eastAsia="Arial" w:hAnsi="Arial"/>
          <w:sz w:val="17"/>
          <w:szCs w:val="17"/>
          <w:color w:val="auto"/>
        </w:rPr>
        <w:t xml:space="preserve">. The Borrower hereby unconditionally promises to pay (i) to the Administrative Agent for the account of (A) each Revolving Lender the then unpaid principal amount of each Revolving Loan together with all accrued interest thereon on the earlier of the Revolving Maturity Date and, if different, the date of the termination of the Revolving Commitments in accordance with the provisions of this Credit Agreement, (B) each Term Lender, the then unpaid principal amount of each Term Loan together with all accrued interest thereon on the earlier of the Maturity Date applicable to the Term Facility and, if different, the date of the acceleration of the Loans in accordance with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and (C) each Incremental Term Lender, the then unpaid principal amount of each Incremental Term Loan together with all accrued interest thereon on the earlier of the applicable Incremental Term Loan Maturity Date and, if different, the date of the acceleration of the Loans in accordance with </w:t>
      </w:r>
      <w:r>
        <w:rPr>
          <w:rFonts w:ascii="Arial" w:cs="Arial" w:eastAsia="Arial" w:hAnsi="Arial"/>
          <w:sz w:val="17"/>
          <w:szCs w:val="17"/>
          <w:u w:val="single" w:color="auto"/>
          <w:color w:val="auto"/>
        </w:rPr>
        <w:t>Section 8.2</w:t>
      </w:r>
      <w:r>
        <w:rPr>
          <w:rFonts w:ascii="Arial" w:cs="Arial" w:eastAsia="Arial" w:hAnsi="Arial"/>
          <w:sz w:val="17"/>
          <w:szCs w:val="17"/>
          <w:color w:val="auto"/>
        </w:rPr>
        <w:t>, and (ii) to the Swingline Lender the then unpaid principal amount of each Swingline Loan together with all accrued interest thereon on the earliest of (A) the maturity date selected by the Borrower for such Swingline Loan, (B) the Revolving Maturity Date and (C) the date of the termination of the Revolving Commitments in accordance with the provisions of this Credit Agreement.</w:t>
      </w:r>
    </w:p>
    <w:p>
      <w:pPr>
        <w:spacing w:after="0" w:line="185" w:lineRule="exact"/>
        <w:rPr>
          <w:rFonts w:ascii="Arial" w:cs="Arial" w:eastAsia="Arial" w:hAnsi="Arial"/>
          <w:sz w:val="17"/>
          <w:szCs w:val="17"/>
          <w:color w:val="auto"/>
        </w:rPr>
      </w:pPr>
    </w:p>
    <w:p>
      <w:pPr>
        <w:jc w:val="both"/>
        <w:ind w:left="-20" w:firstLine="1106"/>
        <w:spacing w:after="0" w:line="257" w:lineRule="auto"/>
        <w:tabs>
          <w:tab w:leader="none" w:pos="1661"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Amortization Payments for Term Loans (other than Other Term Loans)</w:t>
      </w:r>
      <w:r>
        <w:rPr>
          <w:rFonts w:ascii="Arial" w:cs="Arial" w:eastAsia="Arial" w:hAnsi="Arial"/>
          <w:sz w:val="18"/>
          <w:szCs w:val="18"/>
          <w:color w:val="auto"/>
        </w:rPr>
        <w:t xml:space="preserve">. On each date set forth below, the Borrower shall pay to the Administrative Agent, for the account of the Term Lenders (other than Incremental Term Lenders with respect to Other Term Loans), the aggregate unpaid principal balance of the Term Loans (other than Other Term Loans) in an amount equal to (i) the aggregate outstanding principal amount of the Term Loans on the Closing Date (as adjusted from time to time pursuant to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2.7(b)(iii)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2.11(d)</w:t>
      </w:r>
      <w:r>
        <w:rPr>
          <w:rFonts w:ascii="Arial" w:cs="Arial" w:eastAsia="Arial" w:hAnsi="Arial"/>
          <w:sz w:val="18"/>
          <w:szCs w:val="18"/>
          <w:color w:val="auto"/>
        </w:rPr>
        <w:t xml:space="preserv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(ii) the percentage set forth below adjacent to such date under the heading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105" w:name="page106"/>
    <w:bookmarkEnd w:id="105"/>
    <w:tbl>
      <w:tblPr>
        <w:tblLayout w:type="fixed"/>
        <w:tblInd w:w="1130" w:type="dxa"/>
        <w:tblCellMar>
          <w:top w:w="0" w:type="dxa"/>
          <w:left w:w="0" w:type="dxa"/>
          <w:bottom w:w="0" w:type="dxa"/>
          <w:right w:w="0" w:type="dxa"/>
        </w:tblCellMar>
      </w:tblPr>
      <w:tr>
        <w:trPr>
          <w:trHeight w:val="233"/>
        </w:trPr>
        <w:tc>
          <w:tcPr>
            <w:tcW w:w="43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March 31, 2021</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1.250%</w:t>
            </w: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June 30, 2021</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1.250%</w:t>
            </w:r>
          </w:p>
        </w:tc>
      </w:tr>
      <w:tr>
        <w:trPr>
          <w:trHeight w:val="210"/>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September 30, 2021</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1.250%</w:t>
            </w: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December 31, 2021</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1.250%</w:t>
            </w: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March 31, 2022</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1.875%</w:t>
            </w:r>
          </w:p>
        </w:tc>
      </w:tr>
      <w:tr>
        <w:trPr>
          <w:trHeight w:val="210"/>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June 30, 2022</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1.875%</w:t>
            </w: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September 30, 2022</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1.875%</w:t>
            </w:r>
          </w:p>
        </w:tc>
      </w:tr>
      <w:tr>
        <w:trPr>
          <w:trHeight w:val="210"/>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December 31, 2022</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1.875%</w:t>
            </w: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March 31, 2023</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1.875%</w:t>
            </w: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June 30, 2023</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1.875%</w:t>
            </w:r>
          </w:p>
        </w:tc>
      </w:tr>
      <w:tr>
        <w:trPr>
          <w:trHeight w:val="210"/>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September 30, 2023</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1.875%</w:t>
            </w: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December 31, 2023</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1.875%</w:t>
            </w: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March 31, 2024</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2.500%</w:t>
            </w:r>
          </w:p>
        </w:tc>
      </w:tr>
      <w:tr>
        <w:trPr>
          <w:trHeight w:val="210"/>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June 30, 2024</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2.500%</w:t>
            </w: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September 30, 2024</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2.500%</w:t>
            </w:r>
          </w:p>
        </w:tc>
      </w:tr>
      <w:tr>
        <w:trPr>
          <w:trHeight w:val="210"/>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December 31, 2024</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2.500%</w:t>
            </w: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March 31, 2025</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2.500%</w:t>
            </w: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June 30, 2025</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2.500%</w:t>
            </w:r>
          </w:p>
        </w:tc>
      </w:tr>
      <w:tr>
        <w:trPr>
          <w:trHeight w:val="210"/>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September 30, 2025</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2.500%</w:t>
            </w:r>
          </w:p>
        </w:tc>
      </w:tr>
      <w:tr>
        <w:trPr>
          <w:trHeight w:val="206"/>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Term Loan Maturity Date</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Total Remaining Principal Balance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-3061970</wp:posOffset>
            </wp:positionV>
            <wp:extent cx="2957195" cy="30518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957195" cy="3051810"/>
                    </a:xfrm>
                    <a:prstGeom prst="rect">
                      <a:avLst/>
                    </a:prstGeom>
                    <a:noFill/>
                  </pic:spPr>
                </pic:pic>
              </a:graphicData>
            </a:graphic>
          </wp:anchor>
        </w:drawing>
      </w:r>
    </w:p>
    <w:p>
      <w:pPr>
        <w:spacing w:after="0" w:line="178" w:lineRule="exact"/>
        <w:rPr>
          <w:sz w:val="20"/>
          <w:szCs w:val="20"/>
          <w:color w:val="auto"/>
        </w:rPr>
      </w:pPr>
    </w:p>
    <w:p>
      <w:pPr>
        <w:jc w:val="both"/>
        <w:ind w:firstLine="1106"/>
        <w:spacing w:after="0" w:line="257" w:lineRule="auto"/>
        <w:tabs>
          <w:tab w:leader="none" w:pos="187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Amortization Payments for Other Term Loans</w:t>
      </w:r>
      <w:r>
        <w:rPr>
          <w:rFonts w:ascii="Arial" w:cs="Arial" w:eastAsia="Arial" w:hAnsi="Arial"/>
          <w:sz w:val="18"/>
          <w:szCs w:val="18"/>
          <w:color w:val="auto"/>
        </w:rPr>
        <w:t xml:space="preserve">. The Borrower shall pay to the Administrative Agent, for the account of the applicable Incremental Term Lenders with respect to Other Term Loans, on each Incremental Term Loan Repayment Date, a principal amount of the Other Term Loans (as adjusted from time to time pursuant to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2.7(b)(iii)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2.11(d)</w:t>
      </w:r>
      <w:r>
        <w:rPr>
          <w:rFonts w:ascii="Arial" w:cs="Arial" w:eastAsia="Arial" w:hAnsi="Arial"/>
          <w:sz w:val="18"/>
          <w:szCs w:val="18"/>
          <w:color w:val="auto"/>
        </w:rPr>
        <w:t>) equal to the amount set forth in the applicable Incremental Assumption Agreement, together in each case with accrued and unpaid interest on the principal amount to be paid to, but excluding, the date of such payment.</w:t>
      </w:r>
    </w:p>
    <w:p>
      <w:pPr>
        <w:spacing w:after="0" w:line="187" w:lineRule="exact"/>
        <w:rPr>
          <w:rFonts w:ascii="Arial" w:cs="Arial" w:eastAsia="Arial" w:hAnsi="Arial"/>
          <w:sz w:val="18"/>
          <w:szCs w:val="18"/>
          <w:color w:val="auto"/>
        </w:rPr>
      </w:pPr>
    </w:p>
    <w:p>
      <w:pPr>
        <w:jc w:val="both"/>
        <w:ind w:firstLine="1106"/>
        <w:spacing w:after="0" w:line="296" w:lineRule="auto"/>
        <w:tabs>
          <w:tab w:leader="none" w:pos="1748"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Notes</w:t>
      </w:r>
      <w:r>
        <w:rPr>
          <w:rFonts w:ascii="Arial" w:cs="Arial" w:eastAsia="Arial" w:hAnsi="Arial"/>
          <w:sz w:val="16"/>
          <w:szCs w:val="16"/>
          <w:color w:val="auto"/>
        </w:rPr>
        <w:t xml:space="preserve">. Any Lender may request through the Administrative Agent that Loans made by it be evidenced by a promissory note. In such event, the Borrower shall execute and deliver to (i) in the case of a Revolving Lender, a Revolving Loan Note, (ii) in the case of a Term Lender, a Term Loan Note and (iii) in the case of the Swingline Lender, a Swingline Loan Note. In addition, if requested by a Lender, its Note may be made payable to such Lender and its registered assigns in which case all Loans evidenced by such Note and interest thereon shall at all times (including after assignment pursuant to </w:t>
      </w:r>
      <w:r>
        <w:rPr>
          <w:rFonts w:ascii="Arial" w:cs="Arial" w:eastAsia="Arial" w:hAnsi="Arial"/>
          <w:sz w:val="16"/>
          <w:szCs w:val="16"/>
          <w:u w:val="single" w:color="auto"/>
          <w:color w:val="auto"/>
        </w:rPr>
        <w:t>Section 10.4</w:t>
      </w:r>
      <w:r>
        <w:rPr>
          <w:rFonts w:ascii="Arial" w:cs="Arial" w:eastAsia="Arial" w:hAnsi="Arial"/>
          <w:sz w:val="16"/>
          <w:szCs w:val="16"/>
          <w:color w:val="auto"/>
        </w:rPr>
        <w:t>) be represented by one or more Notes in like form payable to the order of the payee named therein and its registered assigns.</w:t>
      </w:r>
    </w:p>
    <w:p>
      <w:pPr>
        <w:spacing w:after="0" w:line="161" w:lineRule="exact"/>
        <w:rPr>
          <w:rFonts w:ascii="Arial" w:cs="Arial" w:eastAsia="Arial" w:hAnsi="Arial"/>
          <w:sz w:val="16"/>
          <w:szCs w:val="16"/>
          <w:color w:val="auto"/>
        </w:rPr>
      </w:pPr>
    </w:p>
    <w:p>
      <w:pPr>
        <w:jc w:val="both"/>
        <w:ind w:firstLine="1106"/>
        <w:spacing w:after="0" w:line="263" w:lineRule="auto"/>
        <w:tabs>
          <w:tab w:leader="none" w:pos="191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Lender Records</w:t>
      </w:r>
      <w:r>
        <w:rPr>
          <w:rFonts w:ascii="Arial" w:cs="Arial" w:eastAsia="Arial" w:hAnsi="Arial"/>
          <w:sz w:val="18"/>
          <w:szCs w:val="18"/>
          <w:color w:val="auto"/>
        </w:rPr>
        <w:t>. Each Lender shall maintain in accordance with its usual practice an account or accounts evidencing the indebtedness of the Borrower to such Lender resulting from each Loan owing to such Lender from time to time, including the amounts of principal and interest payable and paid to such Lender from time to time hereunder.</w:t>
      </w:r>
    </w:p>
    <w:p>
      <w:pPr>
        <w:spacing w:after="0" w:line="183" w:lineRule="exact"/>
        <w:rPr>
          <w:rFonts w:ascii="Arial" w:cs="Arial" w:eastAsia="Arial" w:hAnsi="Arial"/>
          <w:sz w:val="18"/>
          <w:szCs w:val="18"/>
          <w:color w:val="auto"/>
        </w:rPr>
      </w:pPr>
    </w:p>
    <w:p>
      <w:pPr>
        <w:jc w:val="both"/>
        <w:ind w:firstLine="1106"/>
        <w:spacing w:after="0" w:line="255" w:lineRule="auto"/>
        <w:tabs>
          <w:tab w:leader="none" w:pos="1651"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Entries made in good faith by the Administrative Agent in the Register pursuant to </w:t>
      </w:r>
      <w:r>
        <w:rPr>
          <w:rFonts w:ascii="Arial" w:cs="Arial" w:eastAsia="Arial" w:hAnsi="Arial"/>
          <w:sz w:val="18"/>
          <w:szCs w:val="18"/>
          <w:u w:val="single" w:color="auto"/>
          <w:color w:val="auto"/>
        </w:rPr>
        <w:t>Section 10.4(c)</w:t>
      </w:r>
      <w:r>
        <w:rPr>
          <w:rFonts w:ascii="Arial" w:cs="Arial" w:eastAsia="Arial" w:hAnsi="Arial"/>
          <w:sz w:val="18"/>
          <w:szCs w:val="18"/>
          <w:color w:val="auto"/>
        </w:rPr>
        <w:t xml:space="preserve">, and by each Lender in its account or accounts pursuant to </w:t>
      </w:r>
      <w:r>
        <w:rPr>
          <w:rFonts w:ascii="Arial" w:cs="Arial" w:eastAsia="Arial" w:hAnsi="Arial"/>
          <w:sz w:val="18"/>
          <w:szCs w:val="18"/>
          <w:u w:val="single" w:color="auto"/>
          <w:color w:val="auto"/>
        </w:rPr>
        <w:t>Section 2.6(e)</w:t>
      </w:r>
      <w:r>
        <w:rPr>
          <w:rFonts w:ascii="Arial" w:cs="Arial" w:eastAsia="Arial" w:hAnsi="Arial"/>
          <w:sz w:val="18"/>
          <w:szCs w:val="18"/>
          <w:color w:val="auto"/>
        </w:rPr>
        <w:t xml:space="preserve">, shall be prima facie evidence of the amount of principal and interest due and payable or to become due and payable from the Borrower to, in the case of the Register, each Lender and, in the case of such account or accounts, such Lender, under this Credit Agreement,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failure of the Administrative Agent or such Lender to make an entry, or any finding that an entry is incorrect, in the Register or such account or accounts shall not limit or otherwise affect the obligations of the Borrower under this Credit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06" w:name="page107"/>
    <w:bookmarkEnd w:id="106"/>
    <w:p>
      <w:pPr>
        <w:ind w:left="460"/>
        <w:spacing w:after="0"/>
        <w:tabs>
          <w:tab w:leader="none" w:pos="156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5"/>
          <w:szCs w:val="15"/>
          <w:u w:val="single" w:color="auto"/>
          <w:color w:val="auto"/>
        </w:rPr>
        <w:t>Prepayments</w:t>
      </w:r>
      <w:r>
        <w:rPr>
          <w:rFonts w:ascii="Arial" w:cs="Arial" w:eastAsia="Arial" w:hAnsi="Arial"/>
          <w:sz w:val="15"/>
          <w:szCs w:val="15"/>
          <w:color w:val="auto"/>
        </w:rPr>
        <w:t>.</w:t>
      </w:r>
    </w:p>
    <w:p>
      <w:pPr>
        <w:spacing w:after="0" w:line="225" w:lineRule="exact"/>
        <w:rPr>
          <w:sz w:val="20"/>
          <w:szCs w:val="20"/>
          <w:color w:val="auto"/>
        </w:rPr>
      </w:pPr>
    </w:p>
    <w:p>
      <w:pPr>
        <w:jc w:val="both"/>
        <w:ind w:firstLine="1106"/>
        <w:spacing w:after="0" w:line="268" w:lineRule="auto"/>
        <w:tabs>
          <w:tab w:leader="none" w:pos="1698"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Optional Prepayments</w:t>
      </w:r>
      <w:r>
        <w:rPr>
          <w:rFonts w:ascii="Arial" w:cs="Arial" w:eastAsia="Arial" w:hAnsi="Arial"/>
          <w:sz w:val="17"/>
          <w:szCs w:val="17"/>
          <w:color w:val="auto"/>
        </w:rPr>
        <w:t xml:space="preserve">. (i) The Borrower may, upon written notice to the Administrative Agent, at any time and from time to time, voluntarily prepay any Borrowing of any Class (other than Swingline Loans) in whole or in part without premium or penalty (except as set forth in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notice must be received by the Administrative Agent not later than 1:00 p.m. (1) three </w:t>
      </w:r>
      <w:r>
        <w:rPr>
          <w:rFonts w:ascii="Arial" w:cs="Arial" w:eastAsia="Arial" w:hAnsi="Arial"/>
          <w:sz w:val="17"/>
          <w:szCs w:val="17"/>
          <w:u w:val="single" w:color="auto"/>
          <w:color w:val="0000FF"/>
        </w:rPr>
        <w:t>Government Securities</w:t>
      </w:r>
      <w:r>
        <w:rPr>
          <w:rFonts w:ascii="Arial" w:cs="Arial" w:eastAsia="Arial" w:hAnsi="Arial"/>
          <w:sz w:val="17"/>
          <w:szCs w:val="17"/>
          <w:color w:val="auto"/>
        </w:rPr>
        <w:t xml:space="preserve"> Business Days prior to any date of prepayment of a </w:t>
      </w:r>
      <w:r>
        <w:rPr>
          <w:rFonts w:ascii="Arial" w:cs="Arial" w:eastAsia="Arial" w:hAnsi="Arial"/>
          <w:sz w:val="17"/>
          <w:szCs w:val="17"/>
          <w:color w:val="FF0000"/>
          <w:strike w:val="1"/>
        </w:rPr>
        <w:t>LIBOR</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Borrowing and (2) one Business Day prior to the date of prepayment of an ABR Borrowing and (B) each prepayment shall be in a principal amount of (x) with respect to Revolving Loans, minimum amounts of $100,000 and in multiples of $50,000 thereafter, and (y) with respect to Term Loans, minimum amounts of $500,000 and in multiples of $100,000 thereafter or, in each case, the entire principal amount thereof then outstanding. Each such notice shall specify the date and amount of such prepayment and the Class(es) and Type(s) of Loans to be prepaid. The Administrative Agent will promptly notify each Appropriate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prepayment may state that such notice is conditioned upon the effectiveness of other credit facilities, in which case such notice may be revoked by the Borrower (by written notice to the Administrative Agent on or prior to the specified effective date) if such condition is not satisfied subject to the Borrower’s obligation to indemnify the Lenders pursuant to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Each prepayment of Term Loans pursuant to this </w:t>
      </w: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shall be applied against the scheduled repayments of the Term Loans under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on a ratable basis and in the inverse order of maturity and shall be paid to the Administrative Agent for the account of the Appropriate Lenders in accordance with their respective Applicable Percentages.</w:t>
      </w:r>
    </w:p>
    <w:p>
      <w:pPr>
        <w:spacing w:after="0" w:line="181" w:lineRule="exact"/>
        <w:rPr>
          <w:rFonts w:ascii="Arial" w:cs="Arial" w:eastAsia="Arial" w:hAnsi="Arial"/>
          <w:sz w:val="17"/>
          <w:szCs w:val="17"/>
          <w:color w:val="auto"/>
        </w:rPr>
      </w:pPr>
    </w:p>
    <w:p>
      <w:pPr>
        <w:jc w:val="both"/>
        <w:ind w:firstLine="1592"/>
        <w:spacing w:after="0" w:line="273" w:lineRule="auto"/>
        <w:tabs>
          <w:tab w:leader="none" w:pos="2245" w:val="left"/>
        </w:tabs>
        <w:numPr>
          <w:ilvl w:val="1"/>
          <w:numId w:val="79"/>
        </w:numPr>
        <w:rPr>
          <w:rFonts w:ascii="Arial" w:cs="Arial" w:eastAsia="Arial" w:hAnsi="Arial"/>
          <w:sz w:val="17"/>
          <w:szCs w:val="17"/>
          <w:color w:val="auto"/>
        </w:rPr>
      </w:pPr>
      <w:r>
        <w:rPr>
          <w:rFonts w:ascii="Arial" w:cs="Arial" w:eastAsia="Arial" w:hAnsi="Arial"/>
          <w:sz w:val="17"/>
          <w:szCs w:val="17"/>
          <w:color w:val="auto"/>
        </w:rPr>
        <w:t xml:space="preserve">The Borrower may, upon written notice to the Swingline Lender (with a copy to the Administrative Agent), at any time or from time to time, voluntarily prepay Swingline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notice must be received by the Swingline Lender and the Administrative Agent not later than 1:00 p.m. on the date of the prepayment and (B) any such prepayment shall be in a principal amount of $100,000 or a whole multiple of $50,000 in excess thereof or the entire principal amount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77" w:lineRule="exact"/>
        <w:rPr>
          <w:rFonts w:ascii="Arial" w:cs="Arial" w:eastAsia="Arial" w:hAnsi="Arial"/>
          <w:sz w:val="17"/>
          <w:szCs w:val="17"/>
          <w:color w:val="auto"/>
        </w:rPr>
      </w:pPr>
    </w:p>
    <w:p>
      <w:pPr>
        <w:ind w:left="1680" w:hanging="574"/>
        <w:spacing w:after="0"/>
        <w:tabs>
          <w:tab w:leader="none" w:pos="16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160" w:hanging="568"/>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Net Cash Proceeds; Extraordinary Receipts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240"/>
        <w:spacing w:after="0" w:line="259" w:lineRule="auto"/>
        <w:tabs>
          <w:tab w:leader="none" w:pos="2864" w:val="left"/>
        </w:tabs>
        <w:numPr>
          <w:ilvl w:val="2"/>
          <w:numId w:val="80"/>
        </w:numPr>
        <w:rPr>
          <w:rFonts w:ascii="Arial" w:cs="Arial" w:eastAsia="Arial" w:hAnsi="Arial"/>
          <w:sz w:val="18"/>
          <w:szCs w:val="18"/>
          <w:color w:val="auto"/>
        </w:rPr>
      </w:pPr>
      <w:r>
        <w:rPr>
          <w:rFonts w:ascii="Arial" w:cs="Arial" w:eastAsia="Arial" w:hAnsi="Arial"/>
          <w:sz w:val="18"/>
          <w:szCs w:val="18"/>
          <w:u w:val="single" w:color="auto"/>
          <w:color w:val="auto"/>
        </w:rPr>
        <w:t>Dispositions</w:t>
      </w:r>
      <w:r>
        <w:rPr>
          <w:rFonts w:ascii="Arial" w:cs="Arial" w:eastAsia="Arial" w:hAnsi="Arial"/>
          <w:sz w:val="18"/>
          <w:szCs w:val="18"/>
          <w:color w:val="auto"/>
        </w:rPr>
        <w:t>. In the event that any Loan Party or any of its Subsidiaries receives Net Cash Proceeds in respect of any Disposition, then, substantially simultaneously with (and in any event not later than the third Business Day next following) the receipt of such Net Cash Proceeds, the Borrower shall prepay the Term Loans in an aggregate principal amount equal to 100% of such Net Cash Proceeds in excess of $5,000,000.</w:t>
      </w:r>
    </w:p>
    <w:p>
      <w:pPr>
        <w:spacing w:after="0" w:line="186" w:lineRule="exact"/>
        <w:rPr>
          <w:rFonts w:ascii="Arial" w:cs="Arial" w:eastAsia="Arial" w:hAnsi="Arial"/>
          <w:sz w:val="18"/>
          <w:szCs w:val="18"/>
          <w:color w:val="auto"/>
        </w:rPr>
      </w:pPr>
    </w:p>
    <w:p>
      <w:pPr>
        <w:jc w:val="both"/>
        <w:ind w:firstLine="2240"/>
        <w:spacing w:after="0" w:line="311" w:lineRule="auto"/>
        <w:tabs>
          <w:tab w:leader="none" w:pos="2827" w:val="left"/>
        </w:tabs>
        <w:numPr>
          <w:ilvl w:val="2"/>
          <w:numId w:val="80"/>
        </w:numPr>
        <w:rPr>
          <w:rFonts w:ascii="Arial" w:cs="Arial" w:eastAsia="Arial" w:hAnsi="Arial"/>
          <w:sz w:val="16"/>
          <w:szCs w:val="16"/>
          <w:color w:val="auto"/>
        </w:rPr>
      </w:pPr>
      <w:r>
        <w:rPr>
          <w:rFonts w:ascii="Arial" w:cs="Arial" w:eastAsia="Arial" w:hAnsi="Arial"/>
          <w:sz w:val="16"/>
          <w:szCs w:val="16"/>
          <w:u w:val="single" w:color="auto"/>
          <w:color w:val="auto"/>
        </w:rPr>
        <w:t>Debt Incurrences</w:t>
      </w:r>
      <w:r>
        <w:rPr>
          <w:rFonts w:ascii="Arial" w:cs="Arial" w:eastAsia="Arial" w:hAnsi="Arial"/>
          <w:sz w:val="16"/>
          <w:szCs w:val="16"/>
          <w:color w:val="auto"/>
        </w:rPr>
        <w:t>. In the event that any Loan Party or any of its Subsidiaries receives Net Cash Proceeds in respect of any Debt Incurrence, then, substantially simultaneously with (and in any event not later than the third Business Day next following) the receipt of such Net Cash Proceeds, the Borrower shall prepay the Term Loans in an aggregate principal amount equal to 100% of such Net Cash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-4430395</wp:posOffset>
            </wp:positionV>
            <wp:extent cx="10629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-4293235</wp:posOffset>
            </wp:positionV>
            <wp:extent cx="28257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7" w:name="page108"/>
    <w:bookmarkEnd w:id="107"/>
    <w:p>
      <w:pPr>
        <w:jc w:val="both"/>
        <w:ind w:firstLine="2240"/>
        <w:spacing w:after="0" w:line="259" w:lineRule="auto"/>
        <w:tabs>
          <w:tab w:leader="none" w:pos="2786" w:val="left"/>
        </w:tabs>
        <w:numPr>
          <w:ilvl w:val="2"/>
          <w:numId w:val="81"/>
        </w:numPr>
        <w:rPr>
          <w:rFonts w:ascii="Arial" w:cs="Arial" w:eastAsia="Arial" w:hAnsi="Arial"/>
          <w:sz w:val="18"/>
          <w:szCs w:val="18"/>
          <w:color w:val="auto"/>
        </w:rPr>
      </w:pPr>
      <w:r>
        <w:rPr>
          <w:rFonts w:ascii="Arial" w:cs="Arial" w:eastAsia="Arial" w:hAnsi="Arial"/>
          <w:sz w:val="18"/>
          <w:szCs w:val="18"/>
          <w:u w:val="single" w:color="auto"/>
          <w:color w:val="auto"/>
        </w:rPr>
        <w:t>Casualty Events</w:t>
      </w:r>
      <w:r>
        <w:rPr>
          <w:rFonts w:ascii="Arial" w:cs="Arial" w:eastAsia="Arial" w:hAnsi="Arial"/>
          <w:sz w:val="18"/>
          <w:szCs w:val="18"/>
          <w:color w:val="auto"/>
        </w:rPr>
        <w:t>. In the event that any Loan Party or any of its Subsidiaries receives Net Cash Proceeds in respect of any Casualty Event, then, substantially simultaneously with (and in any event not later than the third Business Day next following) the receipt of such Net Cash Proceeds, the Borrower shall prepay the Term Loans in an aggregate principal amount equal to 100% of such Net Cash Proceeds in excess of $3,000,000.</w:t>
      </w:r>
    </w:p>
    <w:p>
      <w:pPr>
        <w:spacing w:after="0" w:line="186" w:lineRule="exact"/>
        <w:rPr>
          <w:rFonts w:ascii="Arial" w:cs="Arial" w:eastAsia="Arial" w:hAnsi="Arial"/>
          <w:sz w:val="18"/>
          <w:szCs w:val="18"/>
          <w:color w:val="auto"/>
        </w:rPr>
      </w:pPr>
    </w:p>
    <w:p>
      <w:pPr>
        <w:jc w:val="both"/>
        <w:ind w:firstLine="2240"/>
        <w:spacing w:after="0" w:line="263" w:lineRule="auto"/>
        <w:tabs>
          <w:tab w:leader="none" w:pos="2945" w:val="left"/>
        </w:tabs>
        <w:numPr>
          <w:ilvl w:val="2"/>
          <w:numId w:val="81"/>
        </w:numPr>
        <w:rPr>
          <w:rFonts w:ascii="Arial" w:cs="Arial" w:eastAsia="Arial" w:hAnsi="Arial"/>
          <w:sz w:val="18"/>
          <w:szCs w:val="18"/>
          <w:color w:val="auto"/>
        </w:rPr>
      </w:pPr>
      <w:r>
        <w:rPr>
          <w:rFonts w:ascii="Arial" w:cs="Arial" w:eastAsia="Arial" w:hAnsi="Arial"/>
          <w:sz w:val="18"/>
          <w:szCs w:val="18"/>
          <w:u w:val="single" w:color="auto"/>
          <w:color w:val="auto"/>
        </w:rPr>
        <w:t>Extraordinary Receipts</w:t>
      </w:r>
      <w:r>
        <w:rPr>
          <w:rFonts w:ascii="Arial" w:cs="Arial" w:eastAsia="Arial" w:hAnsi="Arial"/>
          <w:sz w:val="18"/>
          <w:szCs w:val="18"/>
          <w:color w:val="auto"/>
        </w:rPr>
        <w:t>. In the event that any Loan Party or any of its Subsidiaries receives any Extraordinary Receipt, then, substantially simultaneously with (and in any event not later than the third Business Day next following) the receipt thereof, the Borrower shall prepay the Term Loans in an aggregate principal amount equal to 100% of such Extraordinary Receipt.</w:t>
      </w:r>
    </w:p>
    <w:p>
      <w:pPr>
        <w:spacing w:after="0" w:line="183" w:lineRule="exact"/>
        <w:rPr>
          <w:rFonts w:ascii="Arial" w:cs="Arial" w:eastAsia="Arial" w:hAnsi="Arial"/>
          <w:sz w:val="18"/>
          <w:szCs w:val="18"/>
          <w:color w:val="auto"/>
        </w:rPr>
      </w:pPr>
    </w:p>
    <w:p>
      <w:pPr>
        <w:jc w:val="both"/>
        <w:ind w:firstLine="1592"/>
        <w:spacing w:after="0" w:line="212" w:lineRule="auto"/>
        <w:tabs>
          <w:tab w:leader="none" w:pos="2366"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Mandatory Prepayments Related to Excess Cash Flow</w:t>
      </w:r>
      <w:r>
        <w:rPr>
          <w:rFonts w:ascii="Arial" w:cs="Arial" w:eastAsia="Arial" w:hAnsi="Arial"/>
          <w:sz w:val="18"/>
          <w:szCs w:val="18"/>
          <w:color w:val="auto"/>
        </w:rPr>
        <w:t>. Not later than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after the end of each Fiscal Year, commencing with the Fiscal Year ending on December 31, 2021, the Borrower shall prepay the Term Loans in an aggregate principal amount equal to the applicable Excess Cash Flow Percentage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Excess Cash Flow for such Fiscal Year.</w:t>
      </w:r>
    </w:p>
    <w:p>
      <w:pPr>
        <w:spacing w:after="0" w:line="203" w:lineRule="exact"/>
        <w:rPr>
          <w:rFonts w:ascii="Arial" w:cs="Arial" w:eastAsia="Arial" w:hAnsi="Arial"/>
          <w:sz w:val="18"/>
          <w:szCs w:val="18"/>
          <w:color w:val="auto"/>
        </w:rPr>
      </w:pPr>
    </w:p>
    <w:p>
      <w:pPr>
        <w:jc w:val="both"/>
        <w:ind w:firstLine="1592"/>
        <w:spacing w:after="0" w:line="257" w:lineRule="auto"/>
        <w:tabs>
          <w:tab w:leader="none" w:pos="2317"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Application of Mandatory Prepayments</w:t>
      </w:r>
      <w:r>
        <w:rPr>
          <w:rFonts w:ascii="Arial" w:cs="Arial" w:eastAsia="Arial" w:hAnsi="Arial"/>
          <w:sz w:val="18"/>
          <w:szCs w:val="18"/>
          <w:color w:val="auto"/>
        </w:rPr>
        <w:t xml:space="preserve">. Each prepayment of outstanding Term Loans required to be made pursuant to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shall be allocated pro rata among the Term Loans and applied against the remaining scheduled installments of principal due in respect of Term Loans under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2.6(c)</w:t>
      </w:r>
      <w:r>
        <w:rPr>
          <w:rFonts w:ascii="Arial" w:cs="Arial" w:eastAsia="Arial" w:hAnsi="Arial"/>
          <w:sz w:val="18"/>
          <w:szCs w:val="18"/>
          <w:color w:val="auto"/>
        </w:rPr>
        <w:t xml:space="preserve">, respectively, in the inverse order of maturity of such remaining scheduled installments;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after applying all or a portion of such prepayment to the Term Loans, the Term Loans have been paid in full, any unapplied portion thereof shall be applied to the prepayment of the Revolving Loans.</w:t>
      </w:r>
    </w:p>
    <w:p>
      <w:pPr>
        <w:spacing w:after="0" w:line="187" w:lineRule="exact"/>
        <w:rPr>
          <w:rFonts w:ascii="Arial" w:cs="Arial" w:eastAsia="Arial" w:hAnsi="Arial"/>
          <w:sz w:val="18"/>
          <w:szCs w:val="18"/>
          <w:color w:val="auto"/>
        </w:rPr>
      </w:pPr>
    </w:p>
    <w:p>
      <w:pPr>
        <w:jc w:val="both"/>
        <w:ind w:firstLine="1592"/>
        <w:spacing w:after="0" w:line="257" w:lineRule="auto"/>
        <w:tabs>
          <w:tab w:leader="none" w:pos="2213"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Notice of Mandatory Prepayment</w:t>
      </w:r>
      <w:r>
        <w:rPr>
          <w:rFonts w:ascii="Arial" w:cs="Arial" w:eastAsia="Arial" w:hAnsi="Arial"/>
          <w:sz w:val="18"/>
          <w:szCs w:val="18"/>
          <w:color w:val="auto"/>
        </w:rPr>
        <w:t xml:space="preserve">. The Borrower shall deliver to the Administrative Agent, at the time of each prepayment required under this </w:t>
      </w:r>
      <w:r>
        <w:rPr>
          <w:rFonts w:ascii="Arial" w:cs="Arial" w:eastAsia="Arial" w:hAnsi="Arial"/>
          <w:sz w:val="18"/>
          <w:szCs w:val="18"/>
          <w:u w:val="single" w:color="auto"/>
          <w:color w:val="auto"/>
        </w:rPr>
        <w:t>Section 2.7(b)</w:t>
      </w:r>
      <w:r>
        <w:rPr>
          <w:rFonts w:ascii="Arial" w:cs="Arial" w:eastAsia="Arial" w:hAnsi="Arial"/>
          <w:sz w:val="18"/>
          <w:szCs w:val="18"/>
          <w:color w:val="auto"/>
        </w:rPr>
        <w:t>, (i) a certificate signed by a Financial Officer of the Borrower setting forth in reasonable detail the calculation of the amount of such prepayment and (ii) to the extent practicable, at least three Business Days’ prior written notice of such prepayment. Each notice of prepayment shall specify the prepayment date, the Type of each Loan being prepaid and the principal amount of each Loan (or portion thereof) to be prepaid.</w:t>
      </w:r>
    </w:p>
    <w:p>
      <w:pPr>
        <w:spacing w:after="0" w:line="187" w:lineRule="exact"/>
        <w:rPr>
          <w:rFonts w:ascii="Arial" w:cs="Arial" w:eastAsia="Arial" w:hAnsi="Arial"/>
          <w:sz w:val="18"/>
          <w:szCs w:val="18"/>
          <w:color w:val="auto"/>
        </w:rPr>
      </w:pPr>
    </w:p>
    <w:p>
      <w:pPr>
        <w:jc w:val="both"/>
        <w:ind w:firstLine="1106"/>
        <w:spacing w:after="0" w:line="263" w:lineRule="auto"/>
        <w:tabs>
          <w:tab w:leader="none" w:pos="171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Prepayments of Revolving Loans</w:t>
      </w:r>
      <w:r>
        <w:rPr>
          <w:rFonts w:ascii="Arial" w:cs="Arial" w:eastAsia="Arial" w:hAnsi="Arial"/>
          <w:sz w:val="18"/>
          <w:szCs w:val="18"/>
          <w:color w:val="auto"/>
        </w:rPr>
        <w:t>. If for any reason the Total Revolving Outstandings at any time exceed the aggregate Revolving Commitments then in effect, the Borrower shall immediately prepay, without premium or penalty, Revolving Loans and Swingline Loans and/or Cash Collateralize the L/C Obligations in an aggregate amount equal to such excess.</w:t>
      </w:r>
    </w:p>
    <w:p>
      <w:pPr>
        <w:spacing w:after="0" w:line="183" w:lineRule="exact"/>
        <w:rPr>
          <w:rFonts w:ascii="Arial" w:cs="Arial" w:eastAsia="Arial" w:hAnsi="Arial"/>
          <w:sz w:val="18"/>
          <w:szCs w:val="18"/>
          <w:color w:val="auto"/>
        </w:rPr>
      </w:pPr>
    </w:p>
    <w:p>
      <w:pPr>
        <w:jc w:val="both"/>
        <w:ind w:firstLine="1106"/>
        <w:spacing w:after="0" w:line="286" w:lineRule="auto"/>
        <w:tabs>
          <w:tab w:leader="none" w:pos="1897"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General Rules</w:t>
      </w:r>
      <w:r>
        <w:rPr>
          <w:rFonts w:ascii="Arial" w:cs="Arial" w:eastAsia="Arial" w:hAnsi="Arial"/>
          <w:sz w:val="17"/>
          <w:szCs w:val="17"/>
          <w:color w:val="auto"/>
        </w:rPr>
        <w:t xml:space="preserve">. All prepayments shall be subject to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but shall otherwise be without premium or penalty. Each prepayment of a Borrowing shall be applied ratably to the Loans included in the prepaid Borrowing. All prepayments shall be accompanied by accrued interest thereon and, in the case of any prepayment of a </w:t>
      </w:r>
      <w:r>
        <w:rPr>
          <w:rFonts w:ascii="Arial" w:cs="Arial" w:eastAsia="Arial" w:hAnsi="Arial"/>
          <w:sz w:val="17"/>
          <w:szCs w:val="17"/>
          <w:color w:val="FF0000"/>
          <w:strike w:val="1"/>
        </w:rPr>
        <w:t>LIBOR</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 any additional amounts required pursuant to </w:t>
      </w:r>
      <w:r>
        <w:rPr>
          <w:rFonts w:ascii="Arial" w:cs="Arial" w:eastAsia="Arial" w:hAnsi="Arial"/>
          <w:sz w:val="17"/>
          <w:szCs w:val="17"/>
          <w:u w:val="single" w:color="auto"/>
          <w:color w:val="auto"/>
        </w:rPr>
        <w:t>Section 3.5</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-31115</wp:posOffset>
            </wp:positionV>
            <wp:extent cx="29146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45"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Payments Generally; Administrative Agent’s Clawback</w:t>
      </w:r>
      <w:r>
        <w:rPr>
          <w:rFonts w:ascii="Arial" w:cs="Arial" w:eastAsia="Arial" w:hAnsi="Arial"/>
          <w:sz w:val="16"/>
          <w:szCs w:val="16"/>
          <w:color w:val="auto"/>
        </w:rPr>
        <w:t>.</w:t>
      </w:r>
    </w:p>
    <w:p>
      <w:pPr>
        <w:spacing w:after="0" w:line="225" w:lineRule="exact"/>
        <w:rPr>
          <w:sz w:val="20"/>
          <w:szCs w:val="20"/>
          <w:color w:val="auto"/>
        </w:rPr>
      </w:pPr>
    </w:p>
    <w:p>
      <w:pPr>
        <w:jc w:val="both"/>
        <w:ind w:firstLine="1106"/>
        <w:spacing w:after="0" w:line="268" w:lineRule="auto"/>
        <w:tabs>
          <w:tab w:leader="none" w:pos="1819"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Each Loan Party shall make each payment required to be made by it hereunder or under any other Loan Document (whether of principal of Loans, L/C Borrowings, interest or fees, or of amounts payable under </w:t>
      </w:r>
      <w:r>
        <w:rPr>
          <w:rFonts w:ascii="Arial" w:cs="Arial" w:eastAsia="Arial" w:hAnsi="Arial"/>
          <w:sz w:val="17"/>
          <w:szCs w:val="17"/>
          <w:u w:val="single" w:color="auto"/>
          <w:color w:val="auto"/>
        </w:rPr>
        <w:t>Sections 3.4</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w:t>
      </w:r>
      <w:r>
        <w:rPr>
          <w:rFonts w:ascii="Arial" w:cs="Arial" w:eastAsia="Arial" w:hAnsi="Arial"/>
          <w:sz w:val="17"/>
          <w:szCs w:val="17"/>
          <w:u w:val="single" w:color="auto"/>
          <w:color w:val="auto"/>
        </w:rPr>
        <w:t>3.6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10.3</w:t>
      </w:r>
      <w:r>
        <w:rPr>
          <w:rFonts w:ascii="Arial" w:cs="Arial" w:eastAsia="Arial" w:hAnsi="Arial"/>
          <w:sz w:val="17"/>
          <w:szCs w:val="17"/>
          <w:color w:val="auto"/>
        </w:rPr>
        <w:t xml:space="preserve">, or otherwise) prior to 12:00 noon on the date when due, in immediately available funds. In furtherance of the foregoing, the Borrower hereby irrevocably authorizes the Administrative Agent, in the Administrative Agent’s sole discretion, to request on behalf of the Borrower, Revolving Loans (which shall be ABR Loans) or Swingline Loans, in an amount sufficient to pay all principal, L/C Borrowings, interest, fees, or other amounts from time to time due and payable by any Loan Party to any Credit Party hereunder or under any other Loan Document. All payments to be made by a Loan Party hereunder shall be made free and clear of and without condition or deduction for any counterclaim, defense, recoupment or setoff,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Agent’s Payment Office, except payments to be made to the L/C Issuer or the Swingline Lender as expressly provided herein and except that payments pursuant to </w:t>
      </w:r>
      <w:r>
        <w:rPr>
          <w:rFonts w:ascii="Arial" w:cs="Arial" w:eastAsia="Arial" w:hAnsi="Arial"/>
          <w:sz w:val="17"/>
          <w:szCs w:val="17"/>
          <w:u w:val="single" w:color="auto"/>
          <w:color w:val="auto"/>
        </w:rPr>
        <w:t>Sections 3.4</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w:t>
      </w:r>
      <w:r>
        <w:rPr>
          <w:rFonts w:ascii="Arial" w:cs="Arial" w:eastAsia="Arial" w:hAnsi="Arial"/>
          <w:sz w:val="17"/>
          <w:szCs w:val="17"/>
          <w:u w:val="single" w:color="auto"/>
          <w:color w:val="auto"/>
        </w:rPr>
        <w:t>3.6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10.3</w:t>
      </w:r>
      <w:r>
        <w:rPr>
          <w:rFonts w:ascii="Arial" w:cs="Arial" w:eastAsia="Arial" w:hAnsi="Arial"/>
          <w:sz w:val="17"/>
          <w:szCs w:val="17"/>
          <w:color w:val="auto"/>
        </w:rPr>
        <w:t>,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8" w:name="page109"/>
    <w:bookmarkEnd w:id="108"/>
    <w:p>
      <w:pPr>
        <w:jc w:val="both"/>
        <w:ind w:firstLine="1106"/>
        <w:spacing w:after="0" w:line="254" w:lineRule="auto"/>
        <w:tabs>
          <w:tab w:leader="none" w:pos="1883"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Pro Rata Treatment</w:t>
      </w:r>
      <w:r>
        <w:rPr>
          <w:rFonts w:ascii="Arial" w:cs="Arial" w:eastAsia="Arial" w:hAnsi="Arial"/>
          <w:sz w:val="18"/>
          <w:szCs w:val="18"/>
          <w:color w:val="auto"/>
        </w:rPr>
        <w:t xml:space="preserve">. Except as otherwise provided in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and as otherwise required under </w:t>
      </w:r>
      <w:r>
        <w:rPr>
          <w:rFonts w:ascii="Arial" w:cs="Arial" w:eastAsia="Arial" w:hAnsi="Arial"/>
          <w:sz w:val="18"/>
          <w:szCs w:val="18"/>
          <w:u w:val="single" w:color="auto"/>
          <w:color w:val="auto"/>
        </w:rPr>
        <w:t>Section 3.4(e)</w:t>
      </w:r>
      <w:r>
        <w:rPr>
          <w:rFonts w:ascii="Arial" w:cs="Arial" w:eastAsia="Arial" w:hAnsi="Arial"/>
          <w:sz w:val="18"/>
          <w:szCs w:val="18"/>
          <w:color w:val="auto"/>
        </w:rPr>
        <w:t>, each Borrowing, each payment or prepayment of principal of any Borrowing, each payment of interest on the Loans, each payment of fees, each reduction of the Revolving Commitments and each conversion of any Borrowing to or continuation of any Borrowing as a Borrowing of any Type shall be allocated pro rata among the Appropriate Lenders in accordance with their respective applicable Commitments (or, if such Commitments shall have expired or been terminated, in accordance with the respective principal amounts of their outstanding Loans of the applicable Class). Each Lender agrees that in computing such Lender’s portion of any Borrowing to be made hereunder, the Administrative Agent may, in its discretion, round each Lender’s percentage of such Borrowing to the next higher or lower whole Dollar amount.</w:t>
      </w:r>
    </w:p>
    <w:p>
      <w:pPr>
        <w:spacing w:after="0" w:line="194" w:lineRule="exact"/>
        <w:rPr>
          <w:rFonts w:ascii="Arial" w:cs="Arial" w:eastAsia="Arial" w:hAnsi="Arial"/>
          <w:sz w:val="18"/>
          <w:szCs w:val="18"/>
          <w:color w:val="auto"/>
        </w:rPr>
      </w:pPr>
    </w:p>
    <w:p>
      <w:pPr>
        <w:jc w:val="both"/>
        <w:ind w:firstLine="1106"/>
        <w:spacing w:after="0" w:line="286" w:lineRule="auto"/>
        <w:tabs>
          <w:tab w:leader="none" w:pos="1657"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Administrative Agent’s Clawback</w:t>
      </w:r>
      <w:r>
        <w:rPr>
          <w:rFonts w:ascii="Arial" w:cs="Arial" w:eastAsia="Arial" w:hAnsi="Arial"/>
          <w:sz w:val="16"/>
          <w:szCs w:val="16"/>
          <w:color w:val="auto"/>
        </w:rPr>
        <w:t xml:space="preserve">. (i)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and may, in reliance upon such assumption, make available to the Borrower a corresponding amount. In such event, if a Lender has not in fact made its share of the applicable Borrowing available to the Administrative Agent, then the Appropriate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(A) in the case of a payment to be made by such Lender, the greater of the Federal Funds Effective Rate and a rate determined by the Administrative Agent in accordance with banking industry rules on interbank compensation, and (B) in the case of a payment to be made by the Borrower, the interest rate applicable to ABR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9" w:name="page110"/>
    <w:bookmarkEnd w:id="109"/>
    <w:p>
      <w:pPr>
        <w:jc w:val="both"/>
        <w:ind w:firstLine="1592"/>
        <w:spacing w:after="0" w:line="290" w:lineRule="auto"/>
        <w:tabs>
          <w:tab w:leader="none" w:pos="2191"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Payments by Borrower; Presumptions by Administrative Agent</w:t>
      </w:r>
      <w:r>
        <w:rPr>
          <w:rFonts w:ascii="Arial" w:cs="Arial" w:eastAsia="Arial" w:hAnsi="Arial"/>
          <w:sz w:val="16"/>
          <w:szCs w:val="16"/>
          <w:color w:val="auto"/>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Lenders or the L/C Issuer, as the case may be, the amount due. In such event, if the Borrower has not in fact made such payment, then each of the Lenders or the L/C Issuer, as the case may be, severally agrees to repay to the Administrative Agent forthwith on demand the amount so distributed to such Lender or the L/C Issuer,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65" w:lineRule="exact"/>
        <w:rPr>
          <w:rFonts w:ascii="Arial" w:cs="Arial" w:eastAsia="Arial" w:hAnsi="Arial"/>
          <w:sz w:val="16"/>
          <w:szCs w:val="16"/>
          <w:color w:val="auto"/>
        </w:rPr>
      </w:pPr>
    </w:p>
    <w:p>
      <w:pPr>
        <w:ind w:firstLine="1592"/>
        <w:spacing w:after="0" w:line="277" w:lineRule="auto"/>
        <w:tabs>
          <w:tab w:leader="none" w:pos="2182"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Notice by Administrative Agent</w:t>
      </w:r>
      <w:r>
        <w:rPr>
          <w:rFonts w:ascii="Arial" w:cs="Arial" w:eastAsia="Arial" w:hAnsi="Arial"/>
          <w:sz w:val="18"/>
          <w:szCs w:val="18"/>
          <w:color w:val="auto"/>
        </w:rPr>
        <w:t>. A notice from the Administrative Agent to any Lender or the Borrower with respect to any amount owing under this paragraph (c) shall be conclusive, absent manifest error.</w:t>
      </w:r>
    </w:p>
    <w:p>
      <w:pPr>
        <w:spacing w:after="0" w:line="170" w:lineRule="exact"/>
        <w:rPr>
          <w:rFonts w:ascii="Arial" w:cs="Arial" w:eastAsia="Arial" w:hAnsi="Arial"/>
          <w:sz w:val="18"/>
          <w:szCs w:val="18"/>
          <w:color w:val="auto"/>
        </w:rPr>
      </w:pPr>
    </w:p>
    <w:p>
      <w:pPr>
        <w:jc w:val="both"/>
        <w:ind w:firstLine="1106"/>
        <w:spacing w:after="0" w:line="296" w:lineRule="auto"/>
        <w:tabs>
          <w:tab w:leader="none" w:pos="1708"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Obligations of Lenders Several</w:t>
      </w:r>
      <w:r>
        <w:rPr>
          <w:rFonts w:ascii="Arial" w:cs="Arial" w:eastAsia="Arial" w:hAnsi="Arial"/>
          <w:sz w:val="16"/>
          <w:szCs w:val="16"/>
          <w:color w:val="auto"/>
        </w:rPr>
        <w:t xml:space="preserve">. The obligations of the Lenders hereunder to make Loans and purchase participations in Letters of Credit and Swingline Loans and to make payments pursuant to </w:t>
      </w:r>
      <w:r>
        <w:rPr>
          <w:rFonts w:ascii="Arial" w:cs="Arial" w:eastAsia="Arial" w:hAnsi="Arial"/>
          <w:sz w:val="16"/>
          <w:szCs w:val="16"/>
          <w:u w:val="single" w:color="auto"/>
          <w:color w:val="auto"/>
        </w:rPr>
        <w:t>Section 10.3(c)</w:t>
      </w:r>
      <w:r>
        <w:rPr>
          <w:rFonts w:ascii="Arial" w:cs="Arial" w:eastAsia="Arial" w:hAnsi="Arial"/>
          <w:sz w:val="16"/>
          <w:szCs w:val="16"/>
          <w:color w:val="auto"/>
        </w:rPr>
        <w:t xml:space="preserve"> are several and not joint. The failure of any Lender to make any Loan or purchase participations in Letters of Credit and Swingline Loans or make any payment under </w:t>
      </w:r>
      <w:r>
        <w:rPr>
          <w:rFonts w:ascii="Arial" w:cs="Arial" w:eastAsia="Arial" w:hAnsi="Arial"/>
          <w:sz w:val="16"/>
          <w:szCs w:val="16"/>
          <w:u w:val="single" w:color="auto"/>
          <w:color w:val="auto"/>
        </w:rPr>
        <w:t>Section 10.3(c)</w:t>
      </w:r>
      <w:r>
        <w:rPr>
          <w:rFonts w:ascii="Arial" w:cs="Arial" w:eastAsia="Arial" w:hAnsi="Arial"/>
          <w:sz w:val="16"/>
          <w:szCs w:val="16"/>
          <w:color w:val="auto"/>
        </w:rPr>
        <w:t xml:space="preserve"> on any date required hereunder shall not relieve any other Lender of its corresponding obligation to do so on such date, and no Lender shall be responsible for the failure of any other Lender to so make its Loan, purchase its participation in Letters of Credit and Swingline Loans or to make its payment under </w:t>
      </w:r>
      <w:r>
        <w:rPr>
          <w:rFonts w:ascii="Arial" w:cs="Arial" w:eastAsia="Arial" w:hAnsi="Arial"/>
          <w:sz w:val="16"/>
          <w:szCs w:val="16"/>
          <w:u w:val="single" w:color="auto"/>
          <w:color w:val="auto"/>
        </w:rPr>
        <w:t>Section 10.3(c)</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firstLine="1106"/>
        <w:spacing w:after="0" w:line="279" w:lineRule="auto"/>
        <w:tabs>
          <w:tab w:leader="none" w:pos="1684"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as provided in the foregoing provisions of this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and such funds are not made available to the Borrower by the Administrative Agent because the conditions to the borrowing of Loans set forth in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71" w:lineRule="exact"/>
        <w:rPr>
          <w:rFonts w:ascii="Arial" w:cs="Arial" w:eastAsia="Arial" w:hAnsi="Arial"/>
          <w:sz w:val="17"/>
          <w:szCs w:val="17"/>
          <w:color w:val="auto"/>
        </w:rPr>
      </w:pPr>
    </w:p>
    <w:p>
      <w:pPr>
        <w:ind w:firstLine="1106"/>
        <w:spacing w:after="0" w:line="308" w:lineRule="auto"/>
        <w:tabs>
          <w:tab w:leader="none" w:pos="1665"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Funding Source</w:t>
      </w:r>
      <w:r>
        <w:rPr>
          <w:rFonts w:ascii="Arial" w:cs="Arial" w:eastAsia="Arial" w:hAnsi="Arial"/>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6" w:lineRule="exact"/>
        <w:rPr>
          <w:rFonts w:ascii="Arial" w:cs="Arial" w:eastAsia="Arial" w:hAnsi="Arial"/>
          <w:sz w:val="17"/>
          <w:szCs w:val="17"/>
          <w:color w:val="auto"/>
        </w:rPr>
      </w:pPr>
    </w:p>
    <w:p>
      <w:pPr>
        <w:jc w:val="both"/>
        <w:ind w:firstLine="1106"/>
        <w:spacing w:after="0" w:line="290" w:lineRule="auto"/>
        <w:tabs>
          <w:tab w:leader="none" w:pos="1748"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Insufficient Payment</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Article 8</w:t>
      </w:r>
      <w:r>
        <w:rPr>
          <w:rFonts w:ascii="Arial" w:cs="Arial" w:eastAsia="Arial" w:hAnsi="Arial"/>
          <w:sz w:val="16"/>
          <w:szCs w:val="16"/>
          <w:color w:val="auto"/>
        </w:rPr>
        <w:t>, whenever any payment received by the Administrative Agent under this Credit Agreement or any of the other Loan Documents is insufficient to pay in full all amounts due and payable to the Credit Parties under or in respect of this Credit Agreement and the other Loan Documents on any date, such payment shall be distributed by the Administrative Agent and applied by the Administrative Agent (i) first, towards payment of all fees and expenses due to the Administrative Agent under the Loan Documents, (ii) second, towards payment of all expenses then due hereunder, ratably among the parties entitled thereto in accordance herewith, (iii) third, towards payment of interest, fees and commissions then due hereunder, ratably among the parties entitled thereto in accordance with the amounts of interest, fees and commissions then due to such parties, and (iv) fourth, towards payment of principal of Loans and unreimbursed L/C Borrowings then due hereunder, ratably among the parties entitled thereto in accordance with the amounts of principal of Loans and unreimbursed L/C Borrowings then due to such parties.</w:t>
      </w:r>
    </w:p>
    <w:p>
      <w:pPr>
        <w:spacing w:after="0" w:line="165" w:lineRule="exact"/>
        <w:rPr>
          <w:rFonts w:ascii="Arial" w:cs="Arial" w:eastAsia="Arial" w:hAnsi="Arial"/>
          <w:sz w:val="16"/>
          <w:szCs w:val="16"/>
          <w:color w:val="auto"/>
        </w:rPr>
      </w:pPr>
    </w:p>
    <w:p>
      <w:pPr>
        <w:jc w:val="both"/>
        <w:ind w:firstLine="1106"/>
        <w:spacing w:after="0" w:line="254" w:lineRule="auto"/>
        <w:tabs>
          <w:tab w:leader="none" w:pos="166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Sharing of Payments by Lenders</w:t>
      </w:r>
      <w:r>
        <w:rPr>
          <w:rFonts w:ascii="Arial" w:cs="Arial" w:eastAsia="Arial" w:hAnsi="Arial"/>
          <w:sz w:val="18"/>
          <w:szCs w:val="18"/>
          <w:color w:val="auto"/>
        </w:rPr>
        <w:t xml:space="preserve">. If any Lender shall, by exercising any right of setoff or counterclaim or otherwise, obtain payment in respect of any principal of or interest on any of its Loans or other obligations hereunder resulting in such Lender receiving payment of a proportion of the aggregate amount of its Loans and accrued interest thereon or other such obligations greater than its pro rata share thereof as provided herein, then such Lender shall (x) notify the Administrative Agent of such fact, and (y)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0" w:name="page111"/>
    <w:bookmarkEnd w:id="110"/>
    <w:p>
      <w:pPr>
        <w:ind w:right="20" w:firstLine="1592"/>
        <w:spacing w:after="0" w:line="277" w:lineRule="auto"/>
        <w:tabs>
          <w:tab w:leader="none" w:pos="2415"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70" w:lineRule="exact"/>
        <w:rPr>
          <w:rFonts w:ascii="Arial" w:cs="Arial" w:eastAsia="Arial" w:hAnsi="Arial"/>
          <w:sz w:val="18"/>
          <w:szCs w:val="18"/>
          <w:color w:val="auto"/>
        </w:rPr>
      </w:pPr>
    </w:p>
    <w:p>
      <w:pPr>
        <w:jc w:val="both"/>
        <w:ind w:firstLine="1592"/>
        <w:spacing w:after="0" w:line="259" w:lineRule="auto"/>
        <w:tabs>
          <w:tab w:leader="none" w:pos="219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provisions of this paragraph shall not be construed to apply to (x) any payment made by the Borrower pursuant to and in accordance with the express terms of this Credit Agreement (including the application of funds arising from the existence of a Defaulting Lender), or (y) any payment obtained by a Lender as consideration for the assignment of or sale of a participation in any of its Loans or participations in L/C Disbursements to any assignee or participant.</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spacing w:after="0" w:line="184"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225" w:lineRule="exact"/>
        <w:rPr>
          <w:sz w:val="20"/>
          <w:szCs w:val="20"/>
          <w:color w:val="auto"/>
        </w:rPr>
      </w:pPr>
    </w:p>
    <w:p>
      <w:pPr>
        <w:ind w:firstLine="1106"/>
        <w:spacing w:after="0" w:line="308" w:lineRule="auto"/>
        <w:tabs>
          <w:tab w:leader="none" w:pos="1833"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Defaulting Lender Adjustments</w:t>
      </w:r>
      <w:r>
        <w:rPr>
          <w:rFonts w:ascii="Arial" w:cs="Arial" w:eastAsia="Arial" w:hAnsi="Arial"/>
          <w:sz w:val="17"/>
          <w:szCs w:val="17"/>
          <w:color w:val="auto"/>
        </w:rPr>
        <w:t>. Notwithstanding anything to the contrary contained in this Credit Agreement, if any Lender becomes a Defaulting Lender, then, until such time as such Lender is no longer a Defaulting Lender, to the extent permitted by applicable law:</w:t>
      </w:r>
    </w:p>
    <w:p>
      <w:pPr>
        <w:spacing w:after="0" w:line="146" w:lineRule="exact"/>
        <w:rPr>
          <w:rFonts w:ascii="Arial" w:cs="Arial" w:eastAsia="Arial" w:hAnsi="Arial"/>
          <w:sz w:val="17"/>
          <w:szCs w:val="17"/>
          <w:color w:val="auto"/>
        </w:rPr>
      </w:pPr>
    </w:p>
    <w:p>
      <w:pPr>
        <w:ind w:firstLine="1592"/>
        <w:spacing w:after="0" w:line="277" w:lineRule="auto"/>
        <w:tabs>
          <w:tab w:leader="none" w:pos="2172"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amendment, waiver or consent with respect to this Credit Agreement shall be restricted as set forth in the definition of Required Lenders.</w:t>
      </w:r>
    </w:p>
    <w:p>
      <w:pPr>
        <w:spacing w:after="0" w:line="170" w:lineRule="exact"/>
        <w:rPr>
          <w:rFonts w:ascii="Arial" w:cs="Arial" w:eastAsia="Arial" w:hAnsi="Arial"/>
          <w:sz w:val="18"/>
          <w:szCs w:val="18"/>
          <w:color w:val="auto"/>
        </w:rPr>
      </w:pPr>
    </w:p>
    <w:p>
      <w:pPr>
        <w:jc w:val="both"/>
        <w:ind w:firstLine="1592"/>
        <w:spacing w:after="0" w:line="284" w:lineRule="auto"/>
        <w:tabs>
          <w:tab w:leader="none" w:pos="2164"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on a pro rata basis of any amounts owing by such Defaulting Lender to the L/C Issuer or Swingline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Cash Collateralize the L/C Issuer’s Fronting Exposure with respect to such Defaulting Lender in accordance with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Borrower may request (so long as no Default exists), to the funding of any Loan in respect of which such Defaulting Lender has failed to fund its portion thereof as required by this Credit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Administrative Agent and the Borrower, to be held in a deposit account and released pro rata in order to (x) satisfy such Defaulting Lender’s potential future funding obligations with respect to Loans under this Credit Agreement and (y) Cash Collateralize the L/C Issuer’s future Fronting Exposure with respect to such Defaulting Lender with respect to future Letters of Credit issued under this Credit Agreement, in accordance with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the L/C Issuer or Swingline Lender as a result of any judgment of a court of competent jurisdiction obtained by any Lender, the L/C Issuer or Swingline Lender against such Defaulting Lender as a result of such Defaulting Lender’s breach of its obligations under this Credit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Credit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were satisfied or waived, such payment shall be applied solely to pay the Loans of, and L/C Borrowings owed to, all Non-Defaulting Lenders on a pro rata basis prior to being applied to the payment of any Loans of, or L/C Borrowings owed to, such Defaulting Lender until such time as all Loans and funded and unfunded participations in L/C Obligations and Swingline Loans are held by the Lenders pro rata in accordance with the Commitments under the applicable Facility without giving effect to </w:t>
      </w:r>
      <w:r>
        <w:rPr>
          <w:rFonts w:ascii="Arial" w:cs="Arial" w:eastAsia="Arial" w:hAnsi="Arial"/>
          <w:sz w:val="16"/>
          <w:szCs w:val="16"/>
          <w:u w:val="single" w:color="auto"/>
          <w:color w:val="auto"/>
        </w:rPr>
        <w:t>Section 2.9(a)(iv)</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2.9(a)(ii)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1" w:name="page112"/>
    <w:bookmarkEnd w:id="111"/>
    <w:p>
      <w:pPr>
        <w:ind w:left="2180" w:hanging="588"/>
        <w:spacing w:after="0"/>
        <w:tabs>
          <w:tab w:leader="none" w:pos="21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240"/>
        <w:spacing w:after="0" w:line="263" w:lineRule="auto"/>
        <w:tabs>
          <w:tab w:leader="none" w:pos="2818" w:val="left"/>
        </w:tabs>
        <w:numPr>
          <w:ilvl w:val="1"/>
          <w:numId w:val="90"/>
        </w:numPr>
        <w:rPr>
          <w:rFonts w:ascii="Arial" w:cs="Arial" w:eastAsia="Arial" w:hAnsi="Arial"/>
          <w:sz w:val="18"/>
          <w:szCs w:val="18"/>
          <w:color w:val="auto"/>
        </w:rPr>
      </w:pPr>
      <w:r>
        <w:rPr>
          <w:rFonts w:ascii="Arial" w:cs="Arial" w:eastAsia="Arial" w:hAnsi="Arial"/>
          <w:sz w:val="18"/>
          <w:szCs w:val="18"/>
          <w:color w:val="auto"/>
        </w:rPr>
        <w:t>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spacing w:after="0" w:line="183" w:lineRule="exact"/>
        <w:rPr>
          <w:rFonts w:ascii="Arial" w:cs="Arial" w:eastAsia="Arial" w:hAnsi="Arial"/>
          <w:sz w:val="18"/>
          <w:szCs w:val="18"/>
          <w:color w:val="auto"/>
        </w:rPr>
      </w:pPr>
    </w:p>
    <w:p>
      <w:pPr>
        <w:jc w:val="both"/>
        <w:ind w:firstLine="2240"/>
        <w:spacing w:after="0" w:line="263" w:lineRule="auto"/>
        <w:tabs>
          <w:tab w:leader="none" w:pos="2790"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L/C Participation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2240"/>
        <w:spacing w:after="0" w:line="255" w:lineRule="auto"/>
        <w:tabs>
          <w:tab w:leader="none" w:pos="2836" w:val="left"/>
        </w:tabs>
        <w:numPr>
          <w:ilvl w:val="1"/>
          <w:numId w:val="90"/>
        </w:numPr>
        <w:rPr>
          <w:rFonts w:ascii="Arial" w:cs="Arial" w:eastAsia="Arial" w:hAnsi="Arial"/>
          <w:sz w:val="18"/>
          <w:szCs w:val="18"/>
          <w:color w:val="auto"/>
        </w:rPr>
      </w:pPr>
      <w:r>
        <w:rPr>
          <w:rFonts w:ascii="Arial" w:cs="Arial" w:eastAsia="Arial" w:hAnsi="Arial"/>
          <w:sz w:val="18"/>
          <w:szCs w:val="18"/>
          <w:color w:val="auto"/>
        </w:rPr>
        <w:t>With respect to any L/C Participation Fees and Commitment Fees not required to be paid to any Defaulting Lender pursuant to clause (A) or (B) above, the Borrower shall (x)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(y) pay to the L/C Issuer and Swingline Lender, as applicable, the amount of any such fee otherwise payable to such Defaulting Lender to the extent allocable to the L/C Issuer’s or Swingline Lender’s Fronting Exposure to such Defaulting Lender, and (z) not be required to pay the remaining amount of any such fee.</w:t>
      </w:r>
    </w:p>
    <w:p>
      <w:pPr>
        <w:spacing w:after="0" w:line="192" w:lineRule="exact"/>
        <w:rPr>
          <w:rFonts w:ascii="Arial" w:cs="Arial" w:eastAsia="Arial" w:hAnsi="Arial"/>
          <w:sz w:val="18"/>
          <w:szCs w:val="18"/>
          <w:color w:val="auto"/>
        </w:rPr>
      </w:pPr>
    </w:p>
    <w:p>
      <w:pPr>
        <w:jc w:val="both"/>
        <w:ind w:firstLine="1592"/>
        <w:spacing w:after="0" w:line="272" w:lineRule="auto"/>
        <w:tabs>
          <w:tab w:leader="none" w:pos="2213"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Reallocation of Participations to Reduce Fronting Exposure</w:t>
      </w:r>
      <w:r>
        <w:rPr>
          <w:rFonts w:ascii="Arial" w:cs="Arial" w:eastAsia="Arial" w:hAnsi="Arial"/>
          <w:sz w:val="17"/>
          <w:szCs w:val="17"/>
          <w:color w:val="auto"/>
        </w:rPr>
        <w:t xml:space="preserve">. If any L/C Obligations or Swingline Loans are outstanding at the time such Lender becomes a Defaulting Lender, then all or any part of the Swingline Exposure and L/C Exposure of such Defaulting Lender shall be reallocated among the non-Defaulting Lenders in accordance with their respective Applicable Percentages (calculated without regard to such Defaulting Lender’s Revolving Commitment) but only to the extent that such reallocation does not cause the aggregate Revolving Exposure of any Non-Defaulting Lender to exceed such Non-Defaulting Lender’s Revolving Commitment. Subject to </w:t>
      </w:r>
      <w:r>
        <w:rPr>
          <w:rFonts w:ascii="Arial" w:cs="Arial" w:eastAsia="Arial" w:hAnsi="Arial"/>
          <w:sz w:val="17"/>
          <w:szCs w:val="17"/>
          <w:u w:val="single" w:color="auto"/>
          <w:color w:val="auto"/>
        </w:rPr>
        <w:t>Section 10.17</w:t>
      </w:r>
      <w:r>
        <w:rPr>
          <w:rFonts w:ascii="Arial" w:cs="Arial" w:eastAsia="Arial" w:hAnsi="Arial"/>
          <w:sz w:val="17"/>
          <w:szCs w:val="17"/>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2" w:name="page113"/>
    <w:bookmarkEnd w:id="112"/>
    <w:p>
      <w:pPr>
        <w:jc w:val="both"/>
        <w:ind w:firstLine="1592"/>
        <w:spacing w:after="0" w:line="259" w:lineRule="auto"/>
        <w:tabs>
          <w:tab w:leader="none" w:pos="2315"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 xml:space="preserve">. If the reallocation described in clause (iv) above cannot, or can only partially, be effected, the Borrower shall, without prejudice to any right or remedy available to it hereunder or under law, (x) first, prepay Swingline Loans in an amount equal to the Swingline Lender’s Fronting Exposure and (y) second, Cash Collateralize the L/C Issuer’s Fronting Exposure in accordance with the procedures set forth in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106"/>
        <w:spacing w:after="0" w:line="269" w:lineRule="auto"/>
        <w:tabs>
          <w:tab w:leader="none" w:pos="1681"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and each Swingline Lender and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 Commitments under the applicable Facility (without giving effect to </w:t>
      </w:r>
      <w:r>
        <w:rPr>
          <w:rFonts w:ascii="Arial" w:cs="Arial" w:eastAsia="Arial" w:hAnsi="Arial"/>
          <w:sz w:val="17"/>
          <w:szCs w:val="17"/>
          <w:u w:val="single" w:color="auto"/>
          <w:color w:val="auto"/>
        </w:rPr>
        <w:t>Section 2.9(a)(iv)</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5" w:lineRule="exact"/>
        <w:rPr>
          <w:rFonts w:ascii="Arial" w:cs="Arial" w:eastAsia="Arial" w:hAnsi="Arial"/>
          <w:sz w:val="17"/>
          <w:szCs w:val="17"/>
          <w:color w:val="auto"/>
        </w:rPr>
      </w:pPr>
    </w:p>
    <w:p>
      <w:pPr>
        <w:jc w:val="both"/>
        <w:ind w:firstLine="1106"/>
        <w:spacing w:after="0" w:line="259" w:lineRule="auto"/>
        <w:tabs>
          <w:tab w:leader="none" w:pos="1819"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New Swingline Loans/Letters of Credit</w:t>
      </w:r>
      <w:r>
        <w:rPr>
          <w:rFonts w:ascii="Arial" w:cs="Arial" w:eastAsia="Arial" w:hAnsi="Arial"/>
          <w:sz w:val="18"/>
          <w:szCs w:val="18"/>
          <w:color w:val="auto"/>
        </w:rPr>
        <w:t>. So long as any Lender is a Defaulting Lender, (i) the Swingline Lender shall not be required to fund any Swingline Loans unless it is satisfied that it will have no Fronting Exposure after giving effect to such Swingline Loan and (ii) the L/C Issuer shall not be required to issue, extend, renew or increase any Letter of Credit unless it is satisfied that it will have no Fronting Exposure after giving effect thereto.</w:t>
      </w:r>
    </w:p>
    <w:p>
      <w:pPr>
        <w:spacing w:after="0" w:line="187"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25" w:lineRule="exact"/>
        <w:rPr>
          <w:sz w:val="20"/>
          <w:szCs w:val="20"/>
          <w:color w:val="auto"/>
        </w:rPr>
      </w:pPr>
    </w:p>
    <w:p>
      <w:pPr>
        <w:ind w:left="1660" w:hanging="554"/>
        <w:spacing w:after="0"/>
        <w:tabs>
          <w:tab w:leader="none" w:pos="166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The Borrower shall provide Cash Collateral to the L/C Issuer:</w:t>
      </w:r>
    </w:p>
    <w:p>
      <w:pPr>
        <w:spacing w:after="0" w:line="225" w:lineRule="exact"/>
        <w:rPr>
          <w:rFonts w:ascii="Arial" w:cs="Arial" w:eastAsia="Arial" w:hAnsi="Arial"/>
          <w:sz w:val="18"/>
          <w:szCs w:val="18"/>
          <w:color w:val="auto"/>
        </w:rPr>
      </w:pPr>
    </w:p>
    <w:p>
      <w:pPr>
        <w:jc w:val="both"/>
        <w:ind w:firstLine="1592"/>
        <w:spacing w:after="0" w:line="263" w:lineRule="auto"/>
        <w:tabs>
          <w:tab w:leader="none" w:pos="2166" w:val="left"/>
        </w:tabs>
        <w:numPr>
          <w:ilvl w:val="1"/>
          <w:numId w:val="93"/>
        </w:numPr>
        <w:rPr>
          <w:rFonts w:ascii="Arial" w:cs="Arial" w:eastAsia="Arial" w:hAnsi="Arial"/>
          <w:sz w:val="18"/>
          <w:szCs w:val="18"/>
          <w:color w:val="auto"/>
        </w:rPr>
      </w:pPr>
      <w:r>
        <w:rPr>
          <w:rFonts w:ascii="Arial" w:cs="Arial" w:eastAsia="Arial" w:hAnsi="Arial"/>
          <w:sz w:val="18"/>
          <w:szCs w:val="18"/>
          <w:color w:val="auto"/>
        </w:rPr>
        <w:t>if the L/C Issuer has honored any full or partial drawing request under any Letter of Credit and such drawing has resulted in a L/C Borrowing, within two Business Days following any request by the Administrative Agent or the L/C Issuer, in an amount not less than the Minimum Collateral Amount of such L/C Borrowing,</w:t>
      </w:r>
    </w:p>
    <w:p>
      <w:pPr>
        <w:spacing w:after="0" w:line="183" w:lineRule="exact"/>
        <w:rPr>
          <w:rFonts w:ascii="Arial" w:cs="Arial" w:eastAsia="Arial" w:hAnsi="Arial"/>
          <w:sz w:val="18"/>
          <w:szCs w:val="18"/>
          <w:color w:val="auto"/>
        </w:rPr>
      </w:pPr>
    </w:p>
    <w:p>
      <w:pPr>
        <w:ind w:firstLine="1592"/>
        <w:spacing w:after="0" w:line="277" w:lineRule="auto"/>
        <w:tabs>
          <w:tab w:leader="none" w:pos="2222" w:val="left"/>
        </w:tabs>
        <w:numPr>
          <w:ilvl w:val="1"/>
          <w:numId w:val="93"/>
        </w:numPr>
        <w:rPr>
          <w:rFonts w:ascii="Arial" w:cs="Arial" w:eastAsia="Arial" w:hAnsi="Arial"/>
          <w:sz w:val="18"/>
          <w:szCs w:val="18"/>
          <w:color w:val="auto"/>
        </w:rPr>
      </w:pPr>
      <w:r>
        <w:rPr>
          <w:rFonts w:ascii="Arial" w:cs="Arial" w:eastAsia="Arial" w:hAnsi="Arial"/>
          <w:sz w:val="18"/>
          <w:szCs w:val="18"/>
          <w:color w:val="auto"/>
        </w:rPr>
        <w:t>if, as of the Letter of Credit Expiration Date, any L/C Obligation for any reason remains outstanding, immediately (without the necessity of any request), in an amount not less than the Minimum Collateral Amount of such L/C Obligation,</w:t>
      </w:r>
    </w:p>
    <w:p>
      <w:pPr>
        <w:spacing w:after="0" w:line="170" w:lineRule="exact"/>
        <w:rPr>
          <w:rFonts w:ascii="Arial" w:cs="Arial" w:eastAsia="Arial" w:hAnsi="Arial"/>
          <w:sz w:val="18"/>
          <w:szCs w:val="18"/>
          <w:color w:val="auto"/>
        </w:rPr>
      </w:pPr>
    </w:p>
    <w:p>
      <w:pPr>
        <w:ind w:firstLine="1592"/>
        <w:spacing w:after="0" w:line="277" w:lineRule="auto"/>
        <w:tabs>
          <w:tab w:leader="none" w:pos="2253"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if the Borrower shall be required to provide Cash Collateral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 immediately upon any request by the Administrative Agent or the L/C Issuer, in an amount not less than the Minimum Collateral Amount of all L/C Obligations,</w:t>
      </w:r>
    </w:p>
    <w:p>
      <w:pPr>
        <w:spacing w:after="0" w:line="170" w:lineRule="exact"/>
        <w:rPr>
          <w:rFonts w:ascii="Arial" w:cs="Arial" w:eastAsia="Arial" w:hAnsi="Arial"/>
          <w:sz w:val="18"/>
          <w:szCs w:val="18"/>
          <w:color w:val="auto"/>
        </w:rPr>
      </w:pPr>
    </w:p>
    <w:p>
      <w:pPr>
        <w:jc w:val="both"/>
        <w:ind w:firstLine="1592"/>
        <w:spacing w:after="0" w:line="263" w:lineRule="auto"/>
        <w:tabs>
          <w:tab w:leader="none" w:pos="2202" w:val="left"/>
        </w:tabs>
        <w:numPr>
          <w:ilvl w:val="1"/>
          <w:numId w:val="93"/>
        </w:numPr>
        <w:rPr>
          <w:rFonts w:ascii="Arial" w:cs="Arial" w:eastAsia="Arial" w:hAnsi="Arial"/>
          <w:sz w:val="18"/>
          <w:szCs w:val="18"/>
          <w:color w:val="auto"/>
        </w:rPr>
      </w:pPr>
      <w:r>
        <w:rPr>
          <w:rFonts w:ascii="Arial" w:cs="Arial" w:eastAsia="Arial" w:hAnsi="Arial"/>
          <w:sz w:val="18"/>
          <w:szCs w:val="18"/>
          <w:color w:val="auto"/>
        </w:rPr>
        <w:t>if there shall exist a Defaulting Lender, within two Business Days following any request by the Administrative Agent or the L/C Issuer, in an amount not less than the Minimum Collateral Amount of the Fronting Exposure of the L/C Issuer with respect to such Defaulting Lender,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3" w:name="page114"/>
    <w:bookmarkEnd w:id="113"/>
    <w:p>
      <w:pPr>
        <w:ind w:firstLine="1592"/>
        <w:spacing w:after="0" w:line="277" w:lineRule="auto"/>
        <w:tabs>
          <w:tab w:leader="none" w:pos="2170" w:val="left"/>
        </w:tabs>
        <w:numPr>
          <w:ilvl w:val="2"/>
          <w:numId w:val="94"/>
        </w:numPr>
        <w:rPr>
          <w:rFonts w:ascii="Arial" w:cs="Arial" w:eastAsia="Arial" w:hAnsi="Arial"/>
          <w:sz w:val="18"/>
          <w:szCs w:val="18"/>
          <w:color w:val="auto"/>
        </w:rPr>
      </w:pPr>
      <w:r>
        <w:rPr>
          <w:rFonts w:ascii="Arial" w:cs="Arial" w:eastAsia="Arial" w:hAnsi="Arial"/>
          <w:sz w:val="18"/>
          <w:szCs w:val="18"/>
          <w:color w:val="auto"/>
        </w:rPr>
        <w:t>if on any Calculation Date, the L/C Obligations exceed the L/C Sublimit, within two Business Days following any request by the Administrative Agent or the L/C Issuer, in an amount not less than the Minimum Collateral Amount of such excess.</w:t>
      </w:r>
    </w:p>
    <w:p>
      <w:pPr>
        <w:spacing w:after="0" w:line="170" w:lineRule="exact"/>
        <w:rPr>
          <w:rFonts w:ascii="Arial" w:cs="Arial" w:eastAsia="Arial" w:hAnsi="Arial"/>
          <w:sz w:val="18"/>
          <w:szCs w:val="18"/>
          <w:color w:val="auto"/>
        </w:rPr>
      </w:pPr>
    </w:p>
    <w:p>
      <w:pPr>
        <w:ind w:left="1680" w:hanging="574"/>
        <w:spacing w:after="0"/>
        <w:tabs>
          <w:tab w:leader="none" w:pos="1680"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As security for the obligations to which such Cash Collateral may be applied pursuant to </w:t>
      </w:r>
      <w:r>
        <w:rPr>
          <w:rFonts w:ascii="Arial" w:cs="Arial" w:eastAsia="Arial" w:hAnsi="Arial"/>
          <w:sz w:val="16"/>
          <w:szCs w:val="16"/>
          <w:u w:val="single" w:color="auto"/>
          <w:color w:val="auto"/>
        </w:rPr>
        <w:t>Section 2.10(c)</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jc w:val="both"/>
        <w:ind w:firstLine="8"/>
        <w:spacing w:after="0" w:line="285" w:lineRule="auto"/>
        <w:tabs>
          <w:tab w:leader="none" w:pos="241"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and (ii)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Borrower shall enter into documentation reasonably satisfactory to the Administrative Agent as may be reasonably requested in connection with the above described grant of security.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Citizens Bank. The Borrower shall pay on demand therefor from time to time all customary account opening, activity and other administrative fees and charges in connection with the maintenance and disbursement of Cash Collateral.</w:t>
      </w:r>
    </w:p>
    <w:p>
      <w:pPr>
        <w:spacing w:after="0" w:line="169" w:lineRule="exact"/>
        <w:rPr>
          <w:rFonts w:ascii="Arial" w:cs="Arial" w:eastAsia="Arial" w:hAnsi="Arial"/>
          <w:sz w:val="16"/>
          <w:szCs w:val="16"/>
          <w:color w:val="auto"/>
        </w:rPr>
      </w:pPr>
    </w:p>
    <w:p>
      <w:pPr>
        <w:jc w:val="both"/>
        <w:ind w:firstLine="1106"/>
        <w:spacing w:after="0" w:line="257" w:lineRule="auto"/>
        <w:tabs>
          <w:tab w:leader="none" w:pos="1711"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Credit Agreement, Cash Collateral provided under any of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2.4</w:t>
      </w:r>
      <w:r>
        <w:rPr>
          <w:rFonts w:ascii="Arial" w:cs="Arial" w:eastAsia="Arial" w:hAnsi="Arial"/>
          <w:sz w:val="18"/>
          <w:szCs w:val="18"/>
          <w:color w:val="auto"/>
        </w:rPr>
        <w:t xml:space="preserve">,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in respect of Letters of Credit shall be held and applied to the satisfaction of the specific L/C Obligations, obligations to fund participations therein (including, as to Cash Collateral provided by a Lender that is a Defaulting Lender, any interest accrued on such obligation) and other obligations for which the Cash Collateral was so provided, prior to any other application of such property as may otherwise be provided for herein.</w:t>
      </w:r>
    </w:p>
    <w:p>
      <w:pPr>
        <w:spacing w:after="0" w:line="187" w:lineRule="exact"/>
        <w:rPr>
          <w:rFonts w:ascii="Arial" w:cs="Arial" w:eastAsia="Arial" w:hAnsi="Arial"/>
          <w:sz w:val="18"/>
          <w:szCs w:val="18"/>
          <w:color w:val="auto"/>
        </w:rPr>
      </w:pPr>
    </w:p>
    <w:p>
      <w:pPr>
        <w:jc w:val="both"/>
        <w:ind w:firstLine="1106"/>
        <w:spacing w:after="0" w:line="272" w:lineRule="auto"/>
        <w:tabs>
          <w:tab w:leader="none" w:pos="1667" w:val="left"/>
        </w:tabs>
        <w:numPr>
          <w:ilvl w:val="1"/>
          <w:numId w:val="96"/>
        </w:numPr>
        <w:rPr>
          <w:rFonts w:ascii="Arial" w:cs="Arial" w:eastAsia="Arial" w:hAnsi="Arial"/>
          <w:sz w:val="17"/>
          <w:szCs w:val="17"/>
          <w:color w:val="auto"/>
        </w:rPr>
      </w:pPr>
      <w:r>
        <w:rPr>
          <w:rFonts w:ascii="Arial" w:cs="Arial" w:eastAsia="Arial" w:hAnsi="Arial"/>
          <w:sz w:val="17"/>
          <w:szCs w:val="17"/>
          <w:u w:val="single" w:color="auto"/>
          <w:color w:val="auto"/>
        </w:rPr>
        <w:t>Termination of Requirement</w:t>
      </w:r>
      <w:r>
        <w:rPr>
          <w:rFonts w:ascii="Arial" w:cs="Arial" w:eastAsia="Arial" w:hAnsi="Arial"/>
          <w:sz w:val="17"/>
          <w:szCs w:val="17"/>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7"/>
          <w:szCs w:val="17"/>
          <w:u w:val="single" w:color="auto"/>
          <w:color w:val="auto"/>
        </w:rPr>
        <w:t>Section 10.4(b)(vii)</w:t>
      </w:r>
      <w:r>
        <w:rPr>
          <w:rFonts w:ascii="Arial" w:cs="Arial" w:eastAsia="Arial" w:hAnsi="Arial"/>
          <w:sz w:val="17"/>
          <w:szCs w:val="17"/>
          <w:color w:val="auto"/>
        </w:rPr>
        <w:t xml:space="preserve">)) or (ii) the determination by the Administrative Agent and the L/C Issuer that there exists excess Cash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the Person providing Cash Collateral and the L/C Issuer may agree that Cash Collateral shall be held to support future anticipated Fronting Exposure or other obligations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to the extent that such Cash Collateral was provided by the Borrower, such Cash Collateral shall remain subject to the security interest granted pursuant to the Loan Documents.</w:t>
      </w:r>
    </w:p>
    <w:p>
      <w:pPr>
        <w:spacing w:after="0" w:line="177" w:lineRule="exact"/>
        <w:rPr>
          <w:sz w:val="20"/>
          <w:szCs w:val="20"/>
          <w:color w:val="auto"/>
        </w:rPr>
      </w:pPr>
    </w:p>
    <w:p>
      <w:pPr>
        <w:ind w:left="460"/>
        <w:spacing w:after="0"/>
        <w:tabs>
          <w:tab w:leader="none" w:pos="17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Incremental Commitments</w:t>
      </w:r>
      <w:r>
        <w:rPr>
          <w:rFonts w:ascii="Arial" w:cs="Arial" w:eastAsia="Arial" w:hAnsi="Arial"/>
          <w:sz w:val="16"/>
          <w:szCs w:val="16"/>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4" w:name="page115"/>
    <w:bookmarkEnd w:id="114"/>
    <w:p>
      <w:pPr>
        <w:jc w:val="both"/>
        <w:ind w:firstLine="1106"/>
        <w:spacing w:after="0" w:line="268" w:lineRule="auto"/>
        <w:tabs>
          <w:tab w:leader="none" w:pos="1678"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Borrower may, from time to time, by written notice to the Administrative Agent, request Incremental Term Loan Commitments and/or additional Revolving Commitments, as applicable (collectively, “</w:t>
      </w:r>
      <w:r>
        <w:rPr>
          <w:rFonts w:ascii="Arial" w:cs="Arial" w:eastAsia="Arial" w:hAnsi="Arial"/>
          <w:sz w:val="17"/>
          <w:szCs w:val="17"/>
          <w:u w:val="single" w:color="auto"/>
          <w:color w:val="auto"/>
        </w:rPr>
        <w:t>Incremental Commitments</w:t>
      </w:r>
      <w:r>
        <w:rPr>
          <w:rFonts w:ascii="Arial" w:cs="Arial" w:eastAsia="Arial" w:hAnsi="Arial"/>
          <w:sz w:val="17"/>
          <w:szCs w:val="17"/>
          <w:color w:val="auto"/>
        </w:rPr>
        <w:t xml:space="preserve">”), from one or more Lenders (in the sole discretion of such Lenders) or Eligible Assignees who will become Lenders, in an aggregate principal amount of up to $20,000,000;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the incurrence of such Incremental Commitments and immediately after giving effect thereto and to the use of the proceeds thereof (assuming the full utilization thereof), no Default shall have occurred and be continuing or would result therefrom;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(1) each such person, if not already a Lender hereunder, shall be subject to the approval of the Administrative Agent and, in connection with any additional Revolving Commitment, the L/C Issuer and the Swingline Lender (which approvals shall not be unreasonably withheld, conditioned or delayed) and (2) the Borrower may make only 4 such requests. Such notice shall set forth (i) the amount of the Incremental Term Loan Commitments or additional Revolving Commitments being requested (which shall be in minimum increments of $1,000,000 and a minimum amount of $5,000,000, or if the remaining Incremental Commitments are less than $5,000,000, the remaining Incremental Commitment), (ii) the date on which such Incremental Term Loan Commitments and/or additional Revolving Commitments are requested to become effective (which shall not be less than 10 Business Days nor more than 60 calendar days after the date of such notice, unless otherwise agreed to by the Administrative Agent) and (iii) in the case of Incremental Term Loan Commitments, whether such Incremental Term Loan Commitments are to be Term Loan Commitments or commitments to make term loans with terms different from the Term Loans (“</w:t>
      </w:r>
      <w:r>
        <w:rPr>
          <w:rFonts w:ascii="Arial" w:cs="Arial" w:eastAsia="Arial" w:hAnsi="Arial"/>
          <w:sz w:val="17"/>
          <w:szCs w:val="17"/>
          <w:u w:val="single" w:color="auto"/>
          <w:color w:val="auto"/>
        </w:rPr>
        <w:t>Other Term Loans</w:t>
      </w:r>
      <w:r>
        <w:rPr>
          <w:rFonts w:ascii="Arial" w:cs="Arial" w:eastAsia="Arial" w:hAnsi="Arial"/>
          <w:sz w:val="17"/>
          <w:szCs w:val="17"/>
          <w:color w:val="auto"/>
        </w:rPr>
        <w:t>”). All Incremental Term Loans shall be made in Dollars.</w:t>
      </w:r>
    </w:p>
    <w:p>
      <w:pPr>
        <w:spacing w:after="0" w:line="184" w:lineRule="exact"/>
        <w:rPr>
          <w:rFonts w:ascii="Arial" w:cs="Arial" w:eastAsia="Arial" w:hAnsi="Arial"/>
          <w:sz w:val="17"/>
          <w:szCs w:val="17"/>
          <w:color w:val="auto"/>
        </w:rPr>
      </w:pPr>
    </w:p>
    <w:p>
      <w:pPr>
        <w:jc w:val="both"/>
        <w:ind w:firstLine="1106"/>
        <w:spacing w:after="0" w:line="270" w:lineRule="auto"/>
        <w:tabs>
          <w:tab w:leader="none" w:pos="2032"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Borrower and each Incremental Term Lender and/or additional Revolving Lender shall execute and deliver to the Administrative Agent an Incremental Assumption Agreement and such other documentation as the Administrative Agent shall reasonably specify to evidence the Incremental Commitment of such Lender. Subject to clause (c) below, each Incremental Assumption Agreement in respect of Incremental Term Loan Commitments shall specify the terms of the Incremental Term Loans to be made thereunder. The Administrative Agent shall promptly notify each Lender as to the effectiveness of each Incremental Assumption Agreement. Each of the parties hereto hereby agrees that, upon the effectiveness of any Incremental Assumption Agreement, this Credit Agreement shall be deemed amended to the extent (but only to the extent) necessary to reflect the existence and terms of the Incremental Commitments evidenced thereby and any increase to the Applicable Margins required by the foregoing provisions of this paragraph. Any such deemed amendment may be memorialized in writing by the Administrative Agent with the Borrower’s consent (not to be unreasonably withheld, conditioned or delayed) and furnished to the other parties hereto.</w:t>
      </w:r>
    </w:p>
    <w:p>
      <w:pPr>
        <w:spacing w:after="0" w:line="180" w:lineRule="exact"/>
        <w:rPr>
          <w:rFonts w:ascii="Arial" w:cs="Arial" w:eastAsia="Arial" w:hAnsi="Arial"/>
          <w:sz w:val="17"/>
          <w:szCs w:val="17"/>
          <w:color w:val="auto"/>
        </w:rPr>
      </w:pPr>
    </w:p>
    <w:p>
      <w:pPr>
        <w:ind w:firstLine="1106"/>
        <w:spacing w:after="0" w:line="277" w:lineRule="auto"/>
        <w:tabs>
          <w:tab w:leader="none" w:pos="192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terms of each Incremental Term Loan and, as applicable, each additional Revolving Commitment shall be reasonably satisfactory to the Administrative Agent and in any event:</w:t>
      </w:r>
    </w:p>
    <w:p>
      <w:pPr>
        <w:spacing w:after="0" w:line="170" w:lineRule="exact"/>
        <w:rPr>
          <w:rFonts w:ascii="Arial" w:cs="Arial" w:eastAsia="Arial" w:hAnsi="Arial"/>
          <w:sz w:val="18"/>
          <w:szCs w:val="18"/>
          <w:color w:val="auto"/>
        </w:rPr>
      </w:pPr>
    </w:p>
    <w:p>
      <w:pPr>
        <w:ind w:left="2160" w:hanging="568"/>
        <w:spacing w:after="0"/>
        <w:tabs>
          <w:tab w:leader="none" w:pos="2160" w:val="left"/>
        </w:tabs>
        <w:numPr>
          <w:ilvl w:val="1"/>
          <w:numId w:val="97"/>
        </w:numPr>
        <w:rPr>
          <w:rFonts w:ascii="Arial" w:cs="Arial" w:eastAsia="Arial" w:hAnsi="Arial"/>
          <w:sz w:val="17"/>
          <w:szCs w:val="17"/>
          <w:color w:val="auto"/>
        </w:rPr>
      </w:pPr>
      <w:r>
        <w:rPr>
          <w:rFonts w:ascii="Arial" w:cs="Arial" w:eastAsia="Arial" w:hAnsi="Arial"/>
          <w:sz w:val="17"/>
          <w:szCs w:val="17"/>
          <w:color w:val="auto"/>
        </w:rPr>
        <w:t xml:space="preserve">shall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and of security with the existing Revolving Loans and the existing Term Loans;</w:t>
      </w:r>
    </w:p>
    <w:p>
      <w:pPr>
        <w:spacing w:after="0" w:line="236" w:lineRule="exact"/>
        <w:rPr>
          <w:rFonts w:ascii="Arial" w:cs="Arial" w:eastAsia="Arial" w:hAnsi="Arial"/>
          <w:sz w:val="17"/>
          <w:szCs w:val="17"/>
          <w:color w:val="auto"/>
        </w:rPr>
      </w:pPr>
    </w:p>
    <w:p>
      <w:pPr>
        <w:ind w:firstLine="1592"/>
        <w:spacing w:after="0" w:line="277" w:lineRule="auto"/>
        <w:tabs>
          <w:tab w:leader="none" w:pos="2202"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 the case of Incremental Term Loans, shall not mature earlier than the Latest Maturity Date of the Term Loans outstanding at the time of incurrence of such Incremental Term Loans;</w:t>
      </w:r>
    </w:p>
    <w:p>
      <w:pPr>
        <w:spacing w:after="0" w:line="170" w:lineRule="exact"/>
        <w:rPr>
          <w:rFonts w:ascii="Arial" w:cs="Arial" w:eastAsia="Arial" w:hAnsi="Arial"/>
          <w:sz w:val="18"/>
          <w:szCs w:val="18"/>
          <w:color w:val="auto"/>
        </w:rPr>
      </w:pPr>
    </w:p>
    <w:p>
      <w:pPr>
        <w:ind w:firstLine="1592"/>
        <w:spacing w:after="0" w:line="277" w:lineRule="auto"/>
        <w:tabs>
          <w:tab w:leader="none" w:pos="2321"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 the case of Incremental Term Loans, shall have a Weighted Average Life to Maturity not shorter than the remaining Weighted Average Life to Maturity of then existing Term Loans;</w:t>
      </w:r>
    </w:p>
    <w:p>
      <w:pPr>
        <w:spacing w:after="0" w:line="170" w:lineRule="exact"/>
        <w:rPr>
          <w:rFonts w:ascii="Arial" w:cs="Arial" w:eastAsia="Arial" w:hAnsi="Arial"/>
          <w:sz w:val="18"/>
          <w:szCs w:val="18"/>
          <w:color w:val="auto"/>
        </w:rPr>
      </w:pPr>
    </w:p>
    <w:p>
      <w:pPr>
        <w:ind w:firstLine="1592"/>
        <w:spacing w:after="0" w:line="277" w:lineRule="auto"/>
        <w:tabs>
          <w:tab w:leader="none" w:pos="2289"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in the case of Incremental Term Loans, subject to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shall have amortization determined by the Borrower and the applicable Incremental Term Lenders;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5" w:name="page116"/>
    <w:bookmarkEnd w:id="115"/>
    <w:p>
      <w:pPr>
        <w:ind w:firstLine="1592"/>
        <w:spacing w:after="0" w:line="277" w:lineRule="auto"/>
        <w:tabs>
          <w:tab w:leader="none" w:pos="2306"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in the case of Incremental Term Loans, subject to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below, shall have an Applicable Margin determined by the Borrower and the applicable Incremental Term Lenders;</w:t>
      </w:r>
    </w:p>
    <w:p>
      <w:pPr>
        <w:spacing w:after="0" w:line="170" w:lineRule="exact"/>
        <w:rPr>
          <w:rFonts w:ascii="Arial" w:cs="Arial" w:eastAsia="Arial" w:hAnsi="Arial"/>
          <w:sz w:val="18"/>
          <w:szCs w:val="18"/>
          <w:color w:val="auto"/>
        </w:rPr>
      </w:pPr>
    </w:p>
    <w:p>
      <w:pPr>
        <w:jc w:val="both"/>
        <w:ind w:firstLine="1592"/>
        <w:spacing w:after="0" w:line="263" w:lineRule="auto"/>
        <w:tabs>
          <w:tab w:leader="none" w:pos="2227"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in the case of Incremental Term Loans, may participate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or less than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(but not on a greater than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in any voluntary or mandatory prepayments of initial Term Loans hereunder, as specified in the applicable Incremental Assumption Agreement;</w:t>
      </w:r>
    </w:p>
    <w:p>
      <w:pPr>
        <w:spacing w:after="0" w:line="183" w:lineRule="exact"/>
        <w:rPr>
          <w:rFonts w:ascii="Arial" w:cs="Arial" w:eastAsia="Arial" w:hAnsi="Arial"/>
          <w:sz w:val="18"/>
          <w:szCs w:val="18"/>
          <w:color w:val="auto"/>
        </w:rPr>
      </w:pPr>
    </w:p>
    <w:p>
      <w:pPr>
        <w:jc w:val="both"/>
        <w:ind w:firstLine="1592"/>
        <w:spacing w:after="0" w:line="257" w:lineRule="auto"/>
        <w:tabs>
          <w:tab w:leader="none" w:pos="2203" w:val="left"/>
        </w:tabs>
        <w:numPr>
          <w:ilvl w:val="1"/>
          <w:numId w:val="98"/>
        </w:numPr>
        <w:rPr>
          <w:rFonts w:ascii="Arial" w:cs="Arial" w:eastAsia="Arial" w:hAnsi="Arial"/>
          <w:sz w:val="18"/>
          <w:szCs w:val="18"/>
          <w:color w:val="auto"/>
        </w:rPr>
      </w:pPr>
      <w:r>
        <w:rPr>
          <w:rFonts w:ascii="Arial" w:cs="Arial" w:eastAsia="Arial" w:hAnsi="Arial"/>
          <w:sz w:val="18"/>
          <w:szCs w:val="18"/>
          <w:color w:val="auto"/>
        </w:rPr>
        <w:t>without the prior written consent of any Loan Party or Credit Party, if the Effective Yield on any secured Other Term Loans (as determined by the Administrative Agent) exceeds by more than 50 basis points (the amount of such excess above 50 basis points being referred to herein as the “</w:t>
      </w:r>
      <w:r>
        <w:rPr>
          <w:rFonts w:ascii="Arial" w:cs="Arial" w:eastAsia="Arial" w:hAnsi="Arial"/>
          <w:sz w:val="18"/>
          <w:szCs w:val="18"/>
          <w:u w:val="single" w:color="auto"/>
          <w:color w:val="auto"/>
        </w:rPr>
        <w:t>Yield Differential</w:t>
      </w:r>
      <w:r>
        <w:rPr>
          <w:rFonts w:ascii="Arial" w:cs="Arial" w:eastAsia="Arial" w:hAnsi="Arial"/>
          <w:sz w:val="18"/>
          <w:szCs w:val="18"/>
          <w:color w:val="auto"/>
        </w:rPr>
        <w:t>”) the Effective Yield (as determined by the Administrative Agent) on any then outstanding Class of Term Loans, then the Applicable Margin for each such Class of Term Loans shall automatically be increased by the Yield Differential, effective upon the making of such Other Term Loans; and</w:t>
      </w:r>
    </w:p>
    <w:p>
      <w:pPr>
        <w:spacing w:after="0" w:line="187" w:lineRule="exact"/>
        <w:rPr>
          <w:rFonts w:ascii="Arial" w:cs="Arial" w:eastAsia="Arial" w:hAnsi="Arial"/>
          <w:sz w:val="18"/>
          <w:szCs w:val="18"/>
          <w:color w:val="auto"/>
        </w:rPr>
      </w:pPr>
    </w:p>
    <w:p>
      <w:pPr>
        <w:ind w:firstLine="1592"/>
        <w:spacing w:after="0" w:line="277" w:lineRule="auto"/>
        <w:tabs>
          <w:tab w:leader="none" w:pos="2353"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material terms of any additional Revolving Commitments and Revolving Loans under such additional Revolving Commitments shall be identical to the existing Revolving Commitments and Revolving Loans.</w:t>
      </w:r>
    </w:p>
    <w:p>
      <w:pPr>
        <w:spacing w:after="0" w:line="170" w:lineRule="exact"/>
        <w:rPr>
          <w:rFonts w:ascii="Arial" w:cs="Arial" w:eastAsia="Arial" w:hAnsi="Arial"/>
          <w:sz w:val="18"/>
          <w:szCs w:val="18"/>
          <w:color w:val="auto"/>
        </w:rPr>
      </w:pPr>
    </w:p>
    <w:p>
      <w:pPr>
        <w:jc w:val="both"/>
        <w:ind w:firstLine="1106"/>
        <w:spacing w:after="0" w:line="272" w:lineRule="auto"/>
        <w:tabs>
          <w:tab w:leader="none" w:pos="1790"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No Incremental Term Loan Commitments or additional Revolving Commitments shall become effective under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unless, on the date of such effectiveness, (i) the conditions set forth in paragraphs (a) and (b) of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shall be satisfied as if it was a borrowing date and the Administrative Agent shall have received a certificate to that effect dated such date and executed by a Financial Officer of the Borrower; (ii) the Total Leverage Ratio on a Pro Forma Basis after giving effect to such Incremental Term Loans or Revolving Commitments, as applicable, shall be at least 0.25x less than the maximum Consolidated Net Leverage Ratio permitted for such period under Section 7.12; and (iii) the Administrative Agent shall have received (with sufficient copies for each of the Incremental Term Lenders and/or additional Revolving Lenders) closing certificates, opinions of counsel and other customary documentation requested by the Administrative Agent.</w:t>
      </w:r>
    </w:p>
    <w:p>
      <w:pPr>
        <w:spacing w:after="0" w:line="177" w:lineRule="exact"/>
        <w:rPr>
          <w:rFonts w:ascii="Arial" w:cs="Arial" w:eastAsia="Arial" w:hAnsi="Arial"/>
          <w:sz w:val="17"/>
          <w:szCs w:val="17"/>
          <w:color w:val="auto"/>
        </w:rPr>
      </w:pPr>
    </w:p>
    <w:p>
      <w:pPr>
        <w:jc w:val="both"/>
        <w:ind w:firstLine="1106"/>
        <w:spacing w:after="0" w:line="290" w:lineRule="auto"/>
        <w:tabs>
          <w:tab w:leader="none" w:pos="1707"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In connection with any such additional Revolving Commitments, each existing Revolving Lender (other than a Defaulting Lender) that shall have agreed to provide an Incremental Commitment in connection therewith shall have the right, subject to the other terms and conditions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to provide a portion of such Incremental Commitment in an amount equal to (i) its Applicable Percentage of the existing Revolving Commitments,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(ii) the amount of such Incremental Commitment. In connection with any such Incremental Term Loan Commitments, each existing Term Lender (other than a Defaulting Lender) that shall have agreed to provide an Incremental Commitment in connection therewith shall have the right, subject to the other terms and conditions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to provide a portion of such Incremental Term Loan Commitments in an amount equal to (i) a fraction, the numerator of which is the Outstanding Amount of such Term Lender’s Term Loans, and the denominator of which it the Outstanding Amount of all Term Loans of all Term Lenders,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(ii) the amount of such Incremental Commitment.</w:t>
      </w:r>
    </w:p>
    <w:p>
      <w:pPr>
        <w:spacing w:after="0" w:line="165" w:lineRule="exact"/>
        <w:rPr>
          <w:rFonts w:ascii="Arial" w:cs="Arial" w:eastAsia="Arial" w:hAnsi="Arial"/>
          <w:sz w:val="16"/>
          <w:szCs w:val="16"/>
          <w:color w:val="auto"/>
        </w:rPr>
      </w:pPr>
    </w:p>
    <w:p>
      <w:pPr>
        <w:jc w:val="both"/>
        <w:ind w:firstLine="1106"/>
        <w:spacing w:after="0" w:line="286" w:lineRule="auto"/>
        <w:tabs>
          <w:tab w:leader="none" w:pos="1686"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Each of the parties hereto hereby agrees that the Administrative Agent may take any and all action as may be reasonably necessary to ensure that all Incremental Term Loans (other than Other Term Loans), when originally made, are included in each Borrowing of outstanding Term Loans on a pro rata basis and that following the establishment of any additional Revolving Commitments, the outstanding Revolving Loans are held by the Revolving Lenders in accordance with their new Applicable Percentages. This may be accomplished at the discretion of the Administrative Agent by requiring each outstanding </w:t>
      </w:r>
      <w:r>
        <w:rPr>
          <w:rFonts w:ascii="Arial" w:cs="Arial" w:eastAsia="Arial" w:hAnsi="Arial"/>
          <w:sz w:val="16"/>
          <w:szCs w:val="16"/>
          <w:color w:val="FF0000"/>
          <w:strike w:val="1"/>
        </w:rPr>
        <w:t>LIBOR</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Borrowing of the relevant Class to be converted into an ABR Borrowing of such Class on the date of each Incremental Term Loan or additional Revolving Commitment, or by allocating a portion of each Incremental Term Loan to each outstanding </w:t>
      </w:r>
      <w:r>
        <w:rPr>
          <w:rFonts w:ascii="Arial" w:cs="Arial" w:eastAsia="Arial" w:hAnsi="Arial"/>
          <w:sz w:val="16"/>
          <w:szCs w:val="16"/>
          <w:color w:val="FF0000"/>
          <w:strike w:val="1"/>
        </w:rPr>
        <w:t>LIBOR</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Term Borrowing of the same Class on a pro rata basis, even though as a result thereof such Incremental Term Loan may effectively have a shorter Interest Period than the Term Loans included in the Borrowing of which they are a part (and notwithstanding any other provision of this Credit Agreement that would prohibit such an initial Interest Period), or requiring a prepayment and reborrowing of Revolving Loans. Any conversion or prepayment made pursuant to the preceding sentence shall be subject to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(it being understood that, the Administrative Agent shall consult with the Borrower regarding the foregoing and, to the extent practicable, will attempt to pursue options that minimize breakage costs). In addition, to the extent any Incremental Term Loans are not Other Term Loans, the scheduled amortization payments under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required to be made after the making of such Incremental Term Loans shall be ratably increased by the aggregate principal amount of such Incremental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-1122680</wp:posOffset>
            </wp:positionV>
            <wp:extent cx="29146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-985520</wp:posOffset>
            </wp:positionV>
            <wp:extent cx="28321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INTEREST, FEES, YIELD PROTECTION, ETC.</w:t>
      </w:r>
    </w:p>
    <w:p>
      <w:pPr>
        <w:spacing w:after="0" w:line="225"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jc w:val="both"/>
        <w:ind w:firstLine="1106"/>
        <w:spacing w:after="0" w:line="286" w:lineRule="auto"/>
        <w:tabs>
          <w:tab w:leader="none" w:pos="1738"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Interest Rate Generally</w:t>
      </w:r>
      <w:r>
        <w:rPr>
          <w:rFonts w:ascii="Arial" w:cs="Arial" w:eastAsia="Arial" w:hAnsi="Arial"/>
          <w:sz w:val="17"/>
          <w:szCs w:val="17"/>
          <w:color w:val="auto"/>
        </w:rPr>
        <w:t xml:space="preserve">. All ABR Loans shall bear interest at the Alternate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w:t>
      </w:r>
      <w:r>
        <w:rPr>
          <w:rFonts w:ascii="Arial" w:cs="Arial" w:eastAsia="Arial" w:hAnsi="Arial"/>
          <w:sz w:val="17"/>
          <w:szCs w:val="17"/>
          <w:color w:val="FF0000"/>
          <w:strike w:val="1"/>
        </w:rPr>
        <w:t>Each LIBOR</w:t>
      </w:r>
      <w:r>
        <w:rPr>
          <w:rFonts w:ascii="Arial" w:cs="Arial" w:eastAsia="Arial" w:hAnsi="Arial"/>
          <w:sz w:val="17"/>
          <w:szCs w:val="17"/>
          <w:color w:val="auto"/>
        </w:rPr>
        <w:t xml:space="preserve"> </w:t>
      </w:r>
      <w:r>
        <w:rPr>
          <w:rFonts w:ascii="Arial" w:cs="Arial" w:eastAsia="Arial" w:hAnsi="Arial"/>
          <w:sz w:val="17"/>
          <w:szCs w:val="17"/>
          <w:color w:val="FF0000"/>
          <w:strike w:val="1"/>
        </w:rPr>
        <w:t>Loan</w:t>
      </w:r>
      <w:r>
        <w:rPr>
          <w:rFonts w:ascii="Arial" w:cs="Arial" w:eastAsia="Arial" w:hAnsi="Arial"/>
          <w:sz w:val="17"/>
          <w:szCs w:val="17"/>
          <w:u w:val="single" w:color="auto"/>
          <w:color w:val="0000FF"/>
        </w:rPr>
        <w:t>All SOFR Loans</w:t>
      </w:r>
      <w:r>
        <w:rPr>
          <w:rFonts w:ascii="Arial" w:cs="Arial" w:eastAsia="Arial" w:hAnsi="Arial"/>
          <w:sz w:val="17"/>
          <w:szCs w:val="17"/>
          <w:color w:val="FF0000"/>
        </w:rPr>
        <w:t xml:space="preserve"> </w:t>
      </w:r>
      <w:r>
        <w:rPr>
          <w:rFonts w:ascii="Arial" w:cs="Arial" w:eastAsia="Arial" w:hAnsi="Arial"/>
          <w:sz w:val="17"/>
          <w:szCs w:val="17"/>
          <w:color w:val="000000"/>
        </w:rPr>
        <w:t>shall bear interest at a rate per annum equal to the sum of</w:t>
      </w:r>
      <w:r>
        <w:rPr>
          <w:rFonts w:ascii="Arial" w:cs="Arial" w:eastAsia="Arial" w:hAnsi="Arial"/>
          <w:sz w:val="17"/>
          <w:szCs w:val="17"/>
          <w:color w:val="FF0000"/>
        </w:rPr>
        <w:t xml:space="preserve"> </w:t>
      </w:r>
      <w:r>
        <w:rPr>
          <w:rFonts w:ascii="Arial" w:cs="Arial" w:eastAsia="Arial" w:hAnsi="Arial"/>
          <w:sz w:val="17"/>
          <w:szCs w:val="17"/>
          <w:color w:val="FF0000"/>
          <w:strike w:val="1"/>
        </w:rPr>
        <w:t>the Adjusted LIBOR Rate</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for the Interest Period in effect for</w:t>
      </w:r>
      <w:r>
        <w:rPr>
          <w:rFonts w:ascii="Arial" w:cs="Arial" w:eastAsia="Arial" w:hAnsi="Arial"/>
          <w:sz w:val="17"/>
          <w:szCs w:val="17"/>
          <w:color w:val="FF0000"/>
        </w:rPr>
        <w:t xml:space="preserve"> </w:t>
      </w:r>
      <w:r>
        <w:rPr>
          <w:rFonts w:ascii="Arial" w:cs="Arial" w:eastAsia="Arial" w:hAnsi="Arial"/>
          <w:sz w:val="17"/>
          <w:szCs w:val="17"/>
          <w:color w:val="000000"/>
        </w:rPr>
        <w:t xml:space="preserve">such </w:t>
      </w:r>
      <w:r>
        <w:rPr>
          <w:rFonts w:ascii="Arial" w:cs="Arial" w:eastAsia="Arial" w:hAnsi="Arial"/>
          <w:sz w:val="17"/>
          <w:szCs w:val="17"/>
          <w:color w:val="FF0000"/>
          <w:strike w:val="1"/>
        </w:rPr>
        <w:t>Loan</w:t>
      </w:r>
      <w:r>
        <w:rPr>
          <w:rFonts w:ascii="Arial" w:cs="Arial" w:eastAsia="Arial" w:hAnsi="Arial"/>
          <w:sz w:val="17"/>
          <w:szCs w:val="17"/>
          <w:u w:val="single" w:color="auto"/>
          <w:color w:val="0000FF"/>
        </w:rPr>
        <w:t>Loans</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plus</w:t>
      </w:r>
      <w:r>
        <w:rPr>
          <w:rFonts w:ascii="Arial" w:cs="Arial" w:eastAsia="Arial" w:hAnsi="Arial"/>
          <w:sz w:val="17"/>
          <w:szCs w:val="17"/>
          <w:color w:val="000000"/>
        </w:rPr>
        <w:t xml:space="preserve"> the Applicable Margin. Each Swingline Loan shall bear interest at the Alternate Base Rate </w:t>
      </w:r>
      <w:r>
        <w:rPr>
          <w:rFonts w:ascii="Arial" w:cs="Arial" w:eastAsia="Arial" w:hAnsi="Arial"/>
          <w:sz w:val="17"/>
          <w:szCs w:val="17"/>
          <w:u w:val="single" w:color="auto"/>
          <w:color w:val="000000"/>
        </w:rPr>
        <w:t>plus</w:t>
      </w:r>
      <w:r>
        <w:rPr>
          <w:rFonts w:ascii="Arial" w:cs="Arial" w:eastAsia="Arial" w:hAnsi="Arial"/>
          <w:sz w:val="17"/>
          <w:szCs w:val="17"/>
          <w:color w:val="000000"/>
        </w:rPr>
        <w:t xml:space="preserve"> the Applicable Margin.</w:t>
      </w:r>
    </w:p>
    <w:p>
      <w:pPr>
        <w:spacing w:after="0" w:line="165" w:lineRule="exact"/>
        <w:rPr>
          <w:rFonts w:ascii="Arial" w:cs="Arial" w:eastAsia="Arial" w:hAnsi="Arial"/>
          <w:sz w:val="17"/>
          <w:szCs w:val="17"/>
          <w:color w:val="auto"/>
        </w:rPr>
      </w:pPr>
    </w:p>
    <w:p>
      <w:pPr>
        <w:ind w:left="1680" w:hanging="574"/>
        <w:spacing w:after="0"/>
        <w:tabs>
          <w:tab w:leader="none" w:pos="168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92"/>
        <w:spacing w:after="0" w:line="259" w:lineRule="auto"/>
        <w:tabs>
          <w:tab w:leader="none" w:pos="224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Notwithstanding the foregoing, if any principal of or interest on any Loan, any reimbursement obligation in respect of any L/C Disbursement or any fee or other amount payable by the Borrower hereunder is not paid when due, whether at stated maturity, upon acceleration or otherwise, such overdue amount shall bear interest, after as well as before judgment, at a rate per annum equal to the Default Rate to the fullest extent permitted by applicable law.</w:t>
      </w:r>
    </w:p>
    <w:p>
      <w:pPr>
        <w:spacing w:after="0" w:line="186" w:lineRule="exact"/>
        <w:rPr>
          <w:rFonts w:ascii="Arial" w:cs="Arial" w:eastAsia="Arial" w:hAnsi="Arial"/>
          <w:sz w:val="18"/>
          <w:szCs w:val="18"/>
          <w:color w:val="auto"/>
        </w:rPr>
      </w:pPr>
    </w:p>
    <w:p>
      <w:pPr>
        <w:jc w:val="both"/>
        <w:ind w:firstLine="1592"/>
        <w:spacing w:after="0" w:line="259" w:lineRule="auto"/>
        <w:tabs>
          <w:tab w:leader="none" w:pos="219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Notwithstanding the foregoing, if an Event of Default has occurred and is continuing, then, so long as such Event of Default is continuing, all outstanding principal of each Loan and all Unreimbursed Amounts in respect of L/C Disbursements (including L/C Borrowings) shall, without duplication of amounts payable under the preceding sentence, bear interest, after as well as before judgment, at a rate per annum equal to the Default Rate to the fullest extent permitted by applicable law.</w:t>
      </w:r>
    </w:p>
    <w:p>
      <w:pPr>
        <w:spacing w:after="0" w:line="186" w:lineRule="exact"/>
        <w:rPr>
          <w:rFonts w:ascii="Arial" w:cs="Arial" w:eastAsia="Arial" w:hAnsi="Arial"/>
          <w:sz w:val="18"/>
          <w:szCs w:val="18"/>
          <w:color w:val="auto"/>
        </w:rPr>
      </w:pPr>
    </w:p>
    <w:p>
      <w:pPr>
        <w:ind w:left="2300" w:hanging="708"/>
        <w:spacing w:after="0"/>
        <w:tabs>
          <w:tab w:leader="none" w:pos="23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demand.</w:t>
      </w:r>
    </w:p>
    <w:p>
      <w:pPr>
        <w:spacing w:after="0" w:line="210" w:lineRule="exact"/>
        <w:rPr>
          <w:rFonts w:ascii="Arial" w:cs="Arial" w:eastAsia="Arial" w:hAnsi="Arial"/>
          <w:sz w:val="16"/>
          <w:szCs w:val="16"/>
          <w:color w:val="auto"/>
        </w:rPr>
      </w:pPr>
    </w:p>
    <w:p>
      <w:pPr>
        <w:jc w:val="both"/>
        <w:ind w:firstLine="1106"/>
        <w:spacing w:after="0" w:line="275" w:lineRule="auto"/>
        <w:tabs>
          <w:tab w:leader="none" w:pos="1671"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Interest Payment Dates</w:t>
      </w:r>
      <w:r>
        <w:rPr>
          <w:rFonts w:ascii="Arial" w:cs="Arial" w:eastAsia="Arial" w:hAnsi="Arial"/>
          <w:sz w:val="17"/>
          <w:szCs w:val="17"/>
          <w:color w:val="auto"/>
        </w:rPr>
        <w:t xml:space="preserve">. Accrued interest on each Loan shall be payable in arrears on each Interest Payment Date for such Loan and at such other times as may be specified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interest accrued pursuant to paragraph (b) of this Section shall be payable on demand, (ii) in the event of any repayment or prepayment of any Loan, accrued interest on the principal amount repaid or prepaid shall be payable on the date of such repayment or prepayment, and (iii) in the event of any conversion of any </w:t>
      </w:r>
      <w:r>
        <w:rPr>
          <w:rFonts w:ascii="Arial" w:cs="Arial" w:eastAsia="Arial" w:hAnsi="Arial"/>
          <w:sz w:val="17"/>
          <w:szCs w:val="17"/>
          <w:color w:val="FF0000"/>
          <w:strike w:val="1"/>
        </w:rPr>
        <w:t>LIBOR</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 prior to the end of the current Interest Period therefor, accrued interest on such Loan shall be payable on the effective date of such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-3041650</wp:posOffset>
            </wp:positionV>
            <wp:extent cx="7797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-3041650</wp:posOffset>
            </wp:positionV>
            <wp:extent cx="55753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-2904490</wp:posOffset>
            </wp:positionV>
            <wp:extent cx="28321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-161290</wp:posOffset>
            </wp:positionV>
            <wp:extent cx="28257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7" w:name="page118"/>
    <w:bookmarkEnd w:id="117"/>
    <w:p>
      <w:pPr>
        <w:jc w:val="both"/>
        <w:ind w:firstLine="1106"/>
        <w:spacing w:after="0" w:line="254" w:lineRule="auto"/>
        <w:tabs>
          <w:tab w:leader="none" w:pos="170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Computation of Interest</w:t>
      </w:r>
      <w:r>
        <w:rPr>
          <w:rFonts w:ascii="Arial" w:cs="Arial" w:eastAsia="Arial" w:hAnsi="Arial"/>
          <w:sz w:val="18"/>
          <w:szCs w:val="18"/>
          <w:color w:val="auto"/>
        </w:rPr>
        <w:t>. All interest hereunder shall be computed on the basis of a year of 360 days</w:t>
      </w:r>
      <w:r>
        <w:rPr>
          <w:rFonts w:ascii="Arial" w:cs="Arial" w:eastAsia="Arial" w:hAnsi="Arial"/>
          <w:sz w:val="18"/>
          <w:szCs w:val="18"/>
          <w:color w:val="FF0000"/>
          <w:strike w:val="1"/>
        </w:rPr>
        <w:t>, except that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 in the case of</w:t>
      </w:r>
      <w:r>
        <w:rPr>
          <w:rFonts w:ascii="Arial" w:cs="Arial" w:eastAsia="Arial" w:hAnsi="Arial"/>
          <w:sz w:val="18"/>
          <w:szCs w:val="18"/>
          <w:color w:val="auto"/>
        </w:rPr>
        <w:t xml:space="preserve"> interest computed by reference to the Alternate Base Rate at times when the Alternate Base Rate is based on the Prime Rate</w:t>
      </w:r>
      <w:r>
        <w:rPr>
          <w:rFonts w:ascii="Arial" w:cs="Arial" w:eastAsia="Arial" w:hAnsi="Arial"/>
          <w:sz w:val="18"/>
          <w:szCs w:val="18"/>
          <w:u w:val="single" w:color="auto"/>
          <w:color w:val="0000FF"/>
        </w:rPr>
        <w:t>, such interest</w:t>
      </w:r>
      <w:r>
        <w:rPr>
          <w:rFonts w:ascii="Arial" w:cs="Arial" w:eastAsia="Arial" w:hAnsi="Arial"/>
          <w:sz w:val="18"/>
          <w:szCs w:val="18"/>
          <w:color w:val="auto"/>
        </w:rPr>
        <w:t xml:space="preserve"> shall be computed on the basis of a year of 365 days (or 366 days in a leap year</w:t>
      </w:r>
      <w:r>
        <w:rPr>
          <w:rFonts w:ascii="Arial" w:cs="Arial" w:eastAsia="Arial" w:hAnsi="Arial"/>
          <w:sz w:val="18"/>
          <w:szCs w:val="18"/>
          <w:u w:val="single" w:color="auto"/>
          <w:color w:val="auto"/>
        </w:rPr>
        <w:t>)</w:t>
      </w:r>
      <w:r>
        <w:rPr>
          <w:rFonts w:ascii="Arial" w:cs="Arial" w:eastAsia="Arial" w:hAnsi="Arial"/>
          <w:sz w:val="18"/>
          <w:szCs w:val="18"/>
          <w:color w:val="auto"/>
        </w:rPr>
        <w:t xml:space="preserve">), and in each case shall be payable for the actual number of days elapsed (including the first day but excluding the last day). </w:t>
      </w:r>
      <w:r>
        <w:rPr>
          <w:rFonts w:ascii="Arial" w:cs="Arial" w:eastAsia="Arial" w:hAnsi="Arial"/>
          <w:sz w:val="18"/>
          <w:szCs w:val="18"/>
          <w:u w:val="single" w:color="auto"/>
          <w:color w:val="0000FF"/>
        </w:rPr>
        <w:t>All interest hereunder on any Loan shall be computed on a daily basis based upon the outstanding principal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amount of such Loan as of the applicable date of determination.</w:t>
      </w:r>
      <w:r>
        <w:rPr>
          <w:rFonts w:ascii="Arial" w:cs="Arial" w:eastAsia="Arial" w:hAnsi="Arial"/>
          <w:sz w:val="18"/>
          <w:szCs w:val="18"/>
          <w:color w:val="0000FF"/>
        </w:rPr>
        <w:t xml:space="preserve"> </w:t>
      </w:r>
      <w:r>
        <w:rPr>
          <w:rFonts w:ascii="Arial" w:cs="Arial" w:eastAsia="Arial" w:hAnsi="Arial"/>
          <w:sz w:val="18"/>
          <w:szCs w:val="18"/>
          <w:color w:val="000000"/>
        </w:rPr>
        <w:t>The applicable Alternate Base Rate,</w:t>
      </w:r>
      <w:r>
        <w:rPr>
          <w:rFonts w:ascii="Arial" w:cs="Arial" w:eastAsia="Arial" w:hAnsi="Arial"/>
          <w:sz w:val="18"/>
          <w:szCs w:val="18"/>
          <w:color w:val="0000FF"/>
        </w:rPr>
        <w:t xml:space="preserve"> </w:t>
      </w:r>
      <w:r>
        <w:rPr>
          <w:rFonts w:ascii="Arial" w:cs="Arial" w:eastAsia="Arial" w:hAnsi="Arial"/>
          <w:sz w:val="18"/>
          <w:szCs w:val="18"/>
          <w:color w:val="FF0000"/>
          <w:strike w:val="1"/>
        </w:rPr>
        <w:t>Adjusted LIBOR Rate, Daily LIBOR Rate and</w:t>
      </w:r>
      <w:r>
        <w:rPr>
          <w:rFonts w:ascii="Arial" w:cs="Arial" w:eastAsia="Arial" w:hAnsi="Arial"/>
          <w:sz w:val="18"/>
          <w:szCs w:val="18"/>
          <w:color w:val="0000FF"/>
        </w:rPr>
        <w:t xml:space="preserve">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Daily SOFR Rate or Term SOFR</w:t>
      </w:r>
      <w:r>
        <w:rPr>
          <w:rFonts w:ascii="Arial" w:cs="Arial" w:eastAsia="Arial" w:hAnsi="Arial"/>
          <w:sz w:val="18"/>
          <w:szCs w:val="18"/>
          <w:color w:val="FF0000"/>
        </w:rPr>
        <w:t xml:space="preserve"> </w:t>
      </w:r>
      <w:r>
        <w:rPr>
          <w:rFonts w:ascii="Arial" w:cs="Arial" w:eastAsia="Arial" w:hAnsi="Arial"/>
          <w:sz w:val="18"/>
          <w:szCs w:val="18"/>
          <w:color w:val="000000"/>
        </w:rPr>
        <w:t>shall be determined by the Administrative Agent, and such determination shall be conclusive absent clearly</w:t>
      </w:r>
      <w:r>
        <w:rPr>
          <w:rFonts w:ascii="Arial" w:cs="Arial" w:eastAsia="Arial" w:hAnsi="Arial"/>
          <w:sz w:val="18"/>
          <w:szCs w:val="18"/>
          <w:color w:val="FF0000"/>
        </w:rPr>
        <w:t xml:space="preserve"> </w:t>
      </w:r>
      <w:r>
        <w:rPr>
          <w:rFonts w:ascii="Arial" w:cs="Arial" w:eastAsia="Arial" w:hAnsi="Arial"/>
          <w:sz w:val="18"/>
          <w:szCs w:val="18"/>
          <w:color w:val="000000"/>
        </w:rPr>
        <w:t>manifest error.</w:t>
      </w:r>
    </w:p>
    <w:p>
      <w:pPr>
        <w:spacing w:after="0" w:line="194" w:lineRule="exact"/>
        <w:rPr>
          <w:rFonts w:ascii="Arial" w:cs="Arial" w:eastAsia="Arial" w:hAnsi="Arial"/>
          <w:sz w:val="18"/>
          <w:szCs w:val="18"/>
          <w:color w:val="auto"/>
        </w:rPr>
      </w:pPr>
    </w:p>
    <w:p>
      <w:pPr>
        <w:jc w:val="both"/>
        <w:ind w:firstLine="1106"/>
        <w:spacing w:after="0" w:line="257" w:lineRule="auto"/>
        <w:tabs>
          <w:tab w:leader="none" w:pos="1673" w:val="left"/>
        </w:tabs>
        <w:numPr>
          <w:ilvl w:val="0"/>
          <w:numId w:val="101"/>
        </w:numPr>
        <w:rPr>
          <w:rFonts w:ascii="Arial" w:cs="Arial" w:eastAsia="Arial" w:hAnsi="Arial"/>
          <w:sz w:val="18"/>
          <w:szCs w:val="18"/>
          <w:color w:val="0000FF"/>
        </w:rPr>
      </w:pPr>
      <w:r>
        <w:rPr>
          <w:rFonts w:ascii="Arial" w:cs="Arial" w:eastAsia="Arial" w:hAnsi="Arial"/>
          <w:sz w:val="18"/>
          <w:szCs w:val="18"/>
          <w:color w:val="0000FF"/>
        </w:rPr>
        <w:t xml:space="preserve">Term SOFR Conforming Changes. In connection with the use or administration of Term SOFR, the Administrative Agent will have </w:t>
      </w:r>
      <w:r>
        <w:rPr>
          <w:rFonts w:ascii="Arial" w:cs="Arial" w:eastAsia="Arial" w:hAnsi="Arial"/>
          <w:sz w:val="18"/>
          <w:szCs w:val="18"/>
          <w:u w:val="single" w:color="auto"/>
          <w:color w:val="0000FF"/>
        </w:rPr>
        <w:t>the right to make Conforming Changes from time to time and, notwithstanding anything to the contrary herein or in any other Loan Document, any amendments implementing such Conforming Changes will become effective without any further action or consent of any other party to this Credit Agreement or any other Loan Document. The Administrative Agent will promptly notify the Borrower and the Lenders of the effectiveness of any Conforming Changes in connection with the use or administration of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6339840</wp:posOffset>
            </wp:positionH>
            <wp:positionV relativeFrom="paragraph">
              <wp:posOffset>-1662430</wp:posOffset>
            </wp:positionV>
            <wp:extent cx="79756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9756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-1525270</wp:posOffset>
            </wp:positionV>
            <wp:extent cx="6686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-1250950</wp:posOffset>
            </wp:positionV>
            <wp:extent cx="513461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346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31546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15468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-976630</wp:posOffset>
            </wp:positionV>
            <wp:extent cx="152590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52590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-565150</wp:posOffset>
            </wp:positionV>
            <wp:extent cx="643763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-582295</wp:posOffset>
            </wp:positionV>
            <wp:extent cx="64312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4312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2343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2343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37547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168"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jc w:val="both"/>
        <w:ind w:firstLine="1106"/>
        <w:spacing w:after="0" w:line="289" w:lineRule="auto"/>
        <w:tabs>
          <w:tab w:leader="none" w:pos="1927"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The Borrower agrees to pay to the Administrative Agent for the account of each Revolving Lender, a commitment fee (the “</w:t>
      </w:r>
      <w:r>
        <w:rPr>
          <w:rFonts w:ascii="Arial" w:cs="Arial" w:eastAsia="Arial" w:hAnsi="Arial"/>
          <w:sz w:val="16"/>
          <w:szCs w:val="16"/>
          <w:u w:val="single" w:color="auto"/>
          <w:color w:val="auto"/>
        </w:rPr>
        <w:t>Commitment Fee</w:t>
      </w:r>
      <w:r>
        <w:rPr>
          <w:rFonts w:ascii="Arial" w:cs="Arial" w:eastAsia="Arial" w:hAnsi="Arial"/>
          <w:sz w:val="16"/>
          <w:szCs w:val="16"/>
          <w:color w:val="auto"/>
        </w:rPr>
        <w:t xml:space="preserve">”), which shall accrue at a rate per annum equal to the Applicable Margin on the average daily unused amount of the Revolving Commitment of such Revolving Lender during the period from and including the date on which this Credit Agreement becomes effective pursuant to </w:t>
      </w:r>
      <w:r>
        <w:rPr>
          <w:rFonts w:ascii="Arial" w:cs="Arial" w:eastAsia="Arial" w:hAnsi="Arial"/>
          <w:sz w:val="16"/>
          <w:szCs w:val="16"/>
          <w:u w:val="single" w:color="auto"/>
          <w:color w:val="auto"/>
        </w:rPr>
        <w:t>Section 10.6(a)</w:t>
      </w:r>
      <w:r>
        <w:rPr>
          <w:rFonts w:ascii="Arial" w:cs="Arial" w:eastAsia="Arial" w:hAnsi="Arial"/>
          <w:sz w:val="16"/>
          <w:szCs w:val="16"/>
          <w:color w:val="auto"/>
        </w:rPr>
        <w:t xml:space="preserve"> to but excluding the date on which such Revolving Commitment terminates. For purposes of computing Commitment Fees, the Revolving Commitment of any Revolving Lender shall be deemed to be used to the extent of the aggregate principal amount at such time of its outstanding Revolving Loans and such Lender’s L/C Exposure. Accrued Commitment Fees shall be payable in arrears on the last day of March, June, September and December of each year, each date on which the Revolving Commitments are permanently reduced and on the date on which the Revolving Commitments terminate, commencing on the first such date to occur after the Agreement Date. All Commitment Fees shall be computed on the basis of a year of 360 days and shall be payable for the actual number of days elapsed (including the first day but excluding the last day).</w:t>
      </w:r>
    </w:p>
    <w:p>
      <w:pPr>
        <w:spacing w:after="0" w:line="166" w:lineRule="exact"/>
        <w:rPr>
          <w:rFonts w:ascii="Arial" w:cs="Arial" w:eastAsia="Arial" w:hAnsi="Arial"/>
          <w:sz w:val="16"/>
          <w:szCs w:val="16"/>
          <w:color w:val="auto"/>
        </w:rPr>
      </w:pPr>
    </w:p>
    <w:p>
      <w:pPr>
        <w:jc w:val="both"/>
        <w:ind w:firstLine="1106"/>
        <w:spacing w:after="0" w:line="286" w:lineRule="auto"/>
        <w:tabs>
          <w:tab w:leader="none" w:pos="1762"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L/C Fees</w:t>
      </w:r>
      <w:r>
        <w:rPr>
          <w:rFonts w:ascii="Arial" w:cs="Arial" w:eastAsia="Arial" w:hAnsi="Arial"/>
          <w:sz w:val="16"/>
          <w:szCs w:val="16"/>
          <w:color w:val="auto"/>
        </w:rPr>
        <w:t>. The Borrower agrees to pay (i) to the Administrative Agent for the account of the Revolving Lenders a fee (the “</w:t>
      </w:r>
      <w:r>
        <w:rPr>
          <w:rFonts w:ascii="Arial" w:cs="Arial" w:eastAsia="Arial" w:hAnsi="Arial"/>
          <w:sz w:val="16"/>
          <w:szCs w:val="16"/>
          <w:u w:val="single" w:color="auto"/>
          <w:color w:val="auto"/>
        </w:rPr>
        <w:t>L/C</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Participation Fee</w:t>
      </w:r>
      <w:r>
        <w:rPr>
          <w:rFonts w:ascii="Arial" w:cs="Arial" w:eastAsia="Arial" w:hAnsi="Arial"/>
          <w:sz w:val="16"/>
          <w:szCs w:val="16"/>
          <w:color w:val="auto"/>
        </w:rPr>
        <w:t xml:space="preserve">”) in Dollars for each standby Letter of Credit, at a rate per annum equal to the Applicable Margin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the average daily amount available to be drawn under such Letter of Credit, and (ii) to the L/C Issuer for its own account a fee (the “</w:t>
      </w:r>
      <w:r>
        <w:rPr>
          <w:rFonts w:ascii="Arial" w:cs="Arial" w:eastAsia="Arial" w:hAnsi="Arial"/>
          <w:sz w:val="16"/>
          <w:szCs w:val="16"/>
          <w:u w:val="single" w:color="auto"/>
          <w:color w:val="auto"/>
        </w:rPr>
        <w:t>L/C Fronting Fee</w:t>
      </w:r>
      <w:r>
        <w:rPr>
          <w:rFonts w:ascii="Arial" w:cs="Arial" w:eastAsia="Arial" w:hAnsi="Arial"/>
          <w:sz w:val="16"/>
          <w:szCs w:val="16"/>
          <w:color w:val="auto"/>
        </w:rPr>
        <w:t xml:space="preserve">”), which shall accrue at the rate or rates per annum separately agreed upon between the Borrower and the L/C Issuer on the average daily amount of the L/C Obligations (excluding any portion thereof attributable to unreimbursed L/C Disbursements) during the period from and including the Closing Date to but excluding the later of the date of termination of the Revolving Commitments and the date on which there ceases to be any L/C Obligations, as well as the L/C Issuer’s standard fees with respect to the issuance, amendment, renewal or extension of any Letter of Credit or processing of drawings thereunder. Accrued L/C Participation Fees and L/C Fronting Fees shall be payable in arrears on the last day of March, June, September and December of each year, commencing on the first such date to occur after the Agreement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Revolving Commitments terminate and any such fees accruing after the date on which the Revolving Commitments terminate shall be payable on demand. Any other fees payable to the L/C Issuer pursuant to this paragraph shall be payable within 10 days after demand. All L/C Participation Fees and L/C Fronting Fees shall be computed on the basis of a year of 365 days (or 366 days in a leap year) and shall be payable for the actual number of days elapsed (including the first day but excluding the last day). Notwithstanding the foregoing, if an Event of Default has occurred and is continuing</w:t>
      </w:r>
      <w:r>
        <w:rPr>
          <w:rFonts w:ascii="Arial" w:cs="Arial" w:eastAsia="Arial" w:hAnsi="Arial"/>
          <w:sz w:val="16"/>
          <w:szCs w:val="16"/>
          <w:b w:val="1"/>
          <w:bCs w:val="1"/>
          <w:color w:val="auto"/>
        </w:rPr>
        <w:t>,</w:t>
      </w:r>
      <w:r>
        <w:rPr>
          <w:rFonts w:ascii="Arial" w:cs="Arial" w:eastAsia="Arial" w:hAnsi="Arial"/>
          <w:sz w:val="16"/>
          <w:szCs w:val="16"/>
          <w:color w:val="auto"/>
        </w:rPr>
        <w:t xml:space="preserve"> then, so long as such Event of Default is continuing, L/C Participation Fees and L/C Fronting Fees, as applicable, shall be calculated at a rate per annum equal to the Default Rate.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8" w:name="page119"/>
    <w:bookmarkEnd w:id="118"/>
    <w:p>
      <w:pPr>
        <w:ind w:firstLine="1106"/>
        <w:spacing w:after="0" w:line="277" w:lineRule="auto"/>
        <w:tabs>
          <w:tab w:leader="none" w:pos="1711"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The Borrower agrees to pay to each Credit Party, for its own account, fees and other amounts payable in the amounts and at the times separately agreed upon between the Borrower and such Credit Party.</w:t>
      </w:r>
    </w:p>
    <w:p>
      <w:pPr>
        <w:spacing w:after="0" w:line="170" w:lineRule="exact"/>
        <w:rPr>
          <w:rFonts w:ascii="Arial" w:cs="Arial" w:eastAsia="Arial" w:hAnsi="Arial"/>
          <w:sz w:val="18"/>
          <w:szCs w:val="18"/>
          <w:color w:val="auto"/>
        </w:rPr>
      </w:pPr>
    </w:p>
    <w:p>
      <w:pPr>
        <w:ind w:firstLine="1106"/>
        <w:spacing w:after="0" w:line="277" w:lineRule="auto"/>
        <w:tabs>
          <w:tab w:leader="none" w:pos="169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Payment of Fees Generally</w:t>
      </w:r>
      <w:r>
        <w:rPr>
          <w:rFonts w:ascii="Arial" w:cs="Arial" w:eastAsia="Arial" w:hAnsi="Arial"/>
          <w:sz w:val="18"/>
          <w:szCs w:val="18"/>
          <w:color w:val="auto"/>
        </w:rPr>
        <w:t>. All fees and other amounts payable hereunder shall be paid on the dates due, in immediately available funds. Fees and other amounts paid shall not be refundable under any circumstances.</w:t>
      </w:r>
    </w:p>
    <w:p>
      <w:pPr>
        <w:spacing w:after="0" w:line="170" w:lineRule="exact"/>
        <w:rPr>
          <w:sz w:val="20"/>
          <w:szCs w:val="20"/>
          <w:color w:val="auto"/>
        </w:rPr>
      </w:pPr>
    </w:p>
    <w:p>
      <w:pPr>
        <w:ind w:left="160"/>
        <w:spacing w:after="0"/>
        <w:tabs>
          <w:tab w:leader="none" w:pos="126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FF0000"/>
          <w:strike w:val="1"/>
        </w:rPr>
        <w:t>Alternate Rate of Interest</w:t>
      </w:r>
      <w:r>
        <w:rPr>
          <w:rFonts w:ascii="Arial" w:cs="Arial" w:eastAsia="Arial" w:hAnsi="Arial"/>
          <w:sz w:val="16"/>
          <w:szCs w:val="16"/>
          <w:u w:val="single" w:color="auto"/>
          <w:color w:val="0000FF"/>
          <w:strike w:val="1"/>
        </w:rPr>
        <w:t>Inability to Determine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6350</wp:posOffset>
            </wp:positionV>
            <wp:extent cx="135445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05" w:lineRule="exact"/>
        <w:rPr>
          <w:sz w:val="20"/>
          <w:szCs w:val="20"/>
          <w:color w:val="auto"/>
        </w:rPr>
      </w:pPr>
    </w:p>
    <w:p>
      <w:pPr>
        <w:jc w:val="both"/>
        <w:ind w:firstLine="1106"/>
        <w:spacing w:after="0" w:line="255" w:lineRule="auto"/>
        <w:tabs>
          <w:tab w:leader="none" w:pos="1821" w:val="left"/>
        </w:tabs>
        <w:numPr>
          <w:ilvl w:val="0"/>
          <w:numId w:val="104"/>
        </w:numPr>
        <w:rPr>
          <w:rFonts w:ascii="Arial" w:cs="Arial" w:eastAsia="Arial" w:hAnsi="Arial"/>
          <w:sz w:val="18"/>
          <w:szCs w:val="18"/>
          <w:color w:val="0000FF"/>
        </w:rPr>
      </w:pPr>
      <w:r>
        <w:rPr>
          <w:rFonts w:ascii="Arial" w:cs="Arial" w:eastAsia="Arial" w:hAnsi="Arial"/>
          <w:sz w:val="18"/>
          <w:szCs w:val="18"/>
          <w:color w:val="0000FF"/>
        </w:rPr>
        <w:t xml:space="preserve">Subject to Section 3.8, if, on or prior to the first day of any Interest Period for any SOFR Loan: (i) the Administrative Agent </w:t>
      </w:r>
      <w:r>
        <w:rPr>
          <w:rFonts w:ascii="Arial" w:cs="Arial" w:eastAsia="Arial" w:hAnsi="Arial"/>
          <w:sz w:val="18"/>
          <w:szCs w:val="18"/>
          <w:u w:val="single" w:color="auto"/>
          <w:color w:val="0000FF"/>
        </w:rPr>
        <w:t xml:space="preserve">determines (which determination shall be conclusive and binding absent manifest error) that “Term SOFR” cannot be determined pursuant to the definition thereof, or (ii) </w:t>
      </w:r>
      <w:r>
        <w:rPr>
          <w:rFonts w:ascii="Arial" w:cs="Arial" w:eastAsia="Arial" w:hAnsi="Arial"/>
          <w:sz w:val="18"/>
          <w:szCs w:val="18"/>
          <w:b w:val="1"/>
          <w:bCs w:val="1"/>
          <w:u w:val="single" w:color="auto"/>
          <w:color w:val="0000FF"/>
        </w:rPr>
        <w:t>t</w:t>
      </w:r>
      <w:r>
        <w:rPr>
          <w:rFonts w:ascii="Arial" w:cs="Arial" w:eastAsia="Arial" w:hAnsi="Arial"/>
          <w:sz w:val="18"/>
          <w:szCs w:val="18"/>
          <w:u w:val="single" w:color="auto"/>
          <w:color w:val="0000FF"/>
        </w:rPr>
        <w:t>he Required Lenders determine that for any reason in connection with any request for a SOFR Loan or a conversion thereto or a continuation thereof that Term SOFR for any requested Interest Period with respect to a proposed SOFR Loan does not adequately and fairly reflect the cost to such Lenders of funding such Loan, and the Required Lenders have provided notice of such determination to the Administrative Agent, in each case, the Administrative Agent will promptly so notify the Borrower and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-699770</wp:posOffset>
            </wp:positionV>
            <wp:extent cx="643763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-716915</wp:posOffset>
            </wp:positionV>
            <wp:extent cx="643191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4319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-562610</wp:posOffset>
            </wp:positionV>
            <wp:extent cx="713232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2343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394335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172" w:lineRule="exact"/>
        <w:rPr>
          <w:sz w:val="20"/>
          <w:szCs w:val="20"/>
          <w:color w:val="auto"/>
        </w:rPr>
      </w:pPr>
    </w:p>
    <w:p>
      <w:pPr>
        <w:ind w:left="1660" w:hanging="554"/>
        <w:spacing w:after="0"/>
        <w:tabs>
          <w:tab w:leader="none" w:pos="1660" w:val="left"/>
        </w:tabs>
        <w:numPr>
          <w:ilvl w:val="0"/>
          <w:numId w:val="105"/>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Temporary Unavailability of LIBOR Rate</w:t>
      </w:r>
      <w:r>
        <w:rPr>
          <w:rFonts w:ascii="Arial" w:cs="Arial" w:eastAsia="Arial" w:hAnsi="Arial"/>
          <w:sz w:val="18"/>
          <w:szCs w:val="18"/>
          <w:color w:val="FF0000"/>
          <w:strike w:val="1"/>
        </w:rPr>
        <w:t>. If prior to the commencement of any Interest Period for a LIBOR Borrowing:</w:t>
      </w:r>
    </w:p>
    <w:p>
      <w:pPr>
        <w:spacing w:after="0" w:line="225" w:lineRule="exact"/>
        <w:rPr>
          <w:rFonts w:ascii="Arial" w:cs="Arial" w:eastAsia="Arial" w:hAnsi="Arial"/>
          <w:sz w:val="18"/>
          <w:szCs w:val="18"/>
          <w:color w:val="FF0000"/>
          <w:strike w:val="1"/>
        </w:rPr>
      </w:pPr>
    </w:p>
    <w:p>
      <w:pPr>
        <w:ind w:firstLine="1592"/>
        <w:spacing w:after="0" w:line="308" w:lineRule="auto"/>
        <w:tabs>
          <w:tab w:leader="none" w:pos="2334" w:val="left"/>
        </w:tabs>
        <w:numPr>
          <w:ilvl w:val="1"/>
          <w:numId w:val="105"/>
        </w:numPr>
        <w:rPr>
          <w:rFonts w:ascii="Arial" w:cs="Arial" w:eastAsia="Arial" w:hAnsi="Arial"/>
          <w:sz w:val="17"/>
          <w:szCs w:val="17"/>
          <w:color w:val="FF0000"/>
          <w:strike w:val="1"/>
        </w:rPr>
      </w:pPr>
      <w:r>
        <w:rPr>
          <w:rFonts w:ascii="Arial" w:cs="Arial" w:eastAsia="Arial" w:hAnsi="Arial"/>
          <w:sz w:val="17"/>
          <w:szCs w:val="17"/>
          <w:color w:val="FF0000"/>
          <w:strike w:val="1"/>
        </w:rPr>
        <w:t>the Administrative Agent determines (which determination shall be conclusive absent manifest error) that adequate and reasonable means do not exist for ascertaining the Adjusted LIBOR Rate or the LIBOR Rate, as applicable, for such Interest Period; or</w:t>
      </w:r>
    </w:p>
    <w:p>
      <w:pPr>
        <w:spacing w:after="0" w:line="146" w:lineRule="exact"/>
        <w:rPr>
          <w:rFonts w:ascii="Arial" w:cs="Arial" w:eastAsia="Arial" w:hAnsi="Arial"/>
          <w:sz w:val="17"/>
          <w:szCs w:val="17"/>
          <w:color w:val="FF0000"/>
          <w:strike w:val="1"/>
        </w:rPr>
      </w:pPr>
    </w:p>
    <w:p>
      <w:pPr>
        <w:jc w:val="both"/>
        <w:ind w:firstLine="1592"/>
        <w:spacing w:after="0" w:line="263" w:lineRule="auto"/>
        <w:tabs>
          <w:tab w:leader="none" w:pos="2218" w:val="left"/>
        </w:tabs>
        <w:numPr>
          <w:ilvl w:val="1"/>
          <w:numId w:val="105"/>
        </w:numPr>
        <w:rPr>
          <w:rFonts w:ascii="Arial" w:cs="Arial" w:eastAsia="Arial" w:hAnsi="Arial"/>
          <w:sz w:val="18"/>
          <w:szCs w:val="18"/>
          <w:color w:val="FF0000"/>
          <w:strike w:val="1"/>
        </w:rPr>
      </w:pPr>
      <w:r>
        <w:rPr>
          <w:rFonts w:ascii="Arial" w:cs="Arial" w:eastAsia="Arial" w:hAnsi="Arial"/>
          <w:sz w:val="18"/>
          <w:szCs w:val="18"/>
          <w:color w:val="FF0000"/>
          <w:strike w:val="1"/>
        </w:rPr>
        <w:t>the Administrative Agent is advised by Required Lenders that the Adjusted LIBOR Rate or the LIBOR Rate, as applicable, for such Interest Period will not adequately and fairly reflect the cost of making or maintaining their Loans included in such Borrowing for such Interest Period;</w:t>
      </w:r>
    </w:p>
    <w:p>
      <w:pPr>
        <w:spacing w:after="0" w:line="184" w:lineRule="exact"/>
        <w:rPr>
          <w:sz w:val="20"/>
          <w:szCs w:val="20"/>
          <w:color w:val="auto"/>
        </w:rPr>
      </w:pPr>
    </w:p>
    <w:p>
      <w:pPr>
        <w:jc w:val="both"/>
        <w:ind w:left="160"/>
        <w:spacing w:after="0" w:line="275" w:lineRule="auto"/>
        <w:rPr>
          <w:sz w:val="20"/>
          <w:szCs w:val="20"/>
          <w:color w:val="auto"/>
        </w:rPr>
      </w:pPr>
      <w:r>
        <w:rPr>
          <w:rFonts w:ascii="Arial" w:cs="Arial" w:eastAsia="Arial" w:hAnsi="Arial"/>
          <w:sz w:val="17"/>
          <w:szCs w:val="17"/>
          <w:color w:val="FF0000"/>
          <w:strike w:val="1"/>
        </w:rPr>
        <w:t>then the Administrative Agent shall give notice thereof to the Borrower and the Lenders (or the Swingline Lender, as the case may be) by telephone or as otherwise permitted hereunder as promptly as practicable thereafter and, until the Administrative Agent notifies the Borrower and the Lenders (or the Swingline Lender, as the case may be) that the circumstances giving rise to such notice no longer exist, (x) any Committed Loan Notice that requests the conversion of any Borrowing to, or continuation of any Borrowing as, a LIBOR Borrowing shall be ineffective, and (y) if any Request for Credit Extension requests a LIBOR Borrowing, such Borrowing shall be made as an ABR Borrowing.</w:t>
      </w:r>
    </w:p>
    <w:p>
      <w:pPr>
        <w:spacing w:after="0" w:line="176" w:lineRule="exact"/>
        <w:rPr>
          <w:sz w:val="20"/>
          <w:szCs w:val="20"/>
          <w:color w:val="auto"/>
        </w:rPr>
      </w:pPr>
    </w:p>
    <w:p>
      <w:pPr>
        <w:ind w:left="1680" w:hanging="574"/>
        <w:spacing w:after="0"/>
        <w:tabs>
          <w:tab w:leader="none" w:pos="1680" w:val="left"/>
        </w:tabs>
        <w:numPr>
          <w:ilvl w:val="0"/>
          <w:numId w:val="106"/>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Successor LIBOR Rate</w:t>
      </w:r>
      <w:r>
        <w:rPr>
          <w:rFonts w:ascii="Arial" w:cs="Arial" w:eastAsia="Arial" w:hAnsi="Arial"/>
          <w:sz w:val="18"/>
          <w:szCs w:val="18"/>
          <w:color w:val="FF0000"/>
          <w:strike w:val="1"/>
        </w:rPr>
        <w:t>.</w:t>
      </w:r>
    </w:p>
    <w:p>
      <w:pPr>
        <w:spacing w:after="0" w:line="225" w:lineRule="exact"/>
        <w:rPr>
          <w:rFonts w:ascii="Arial" w:cs="Arial" w:eastAsia="Arial" w:hAnsi="Arial"/>
          <w:sz w:val="18"/>
          <w:szCs w:val="18"/>
          <w:color w:val="FF0000"/>
          <w:strike w:val="1"/>
        </w:rPr>
      </w:pPr>
    </w:p>
    <w:p>
      <w:pPr>
        <w:jc w:val="both"/>
        <w:ind w:firstLine="1592"/>
        <w:spacing w:after="0" w:line="290" w:lineRule="auto"/>
        <w:tabs>
          <w:tab w:leader="none" w:pos="2388" w:val="left"/>
        </w:tabs>
        <w:numPr>
          <w:ilvl w:val="1"/>
          <w:numId w:val="106"/>
        </w:numPr>
        <w:rPr>
          <w:rFonts w:ascii="Arial" w:cs="Arial" w:eastAsia="Arial" w:hAnsi="Arial"/>
          <w:sz w:val="16"/>
          <w:szCs w:val="16"/>
          <w:color w:val="FF0000"/>
          <w:strike w:val="1"/>
        </w:rPr>
      </w:pPr>
      <w:r>
        <w:rPr>
          <w:rFonts w:ascii="Arial" w:cs="Arial" w:eastAsia="Arial" w:hAnsi="Arial"/>
          <w:sz w:val="16"/>
          <w:szCs w:val="16"/>
          <w:u w:val="single" w:color="auto"/>
          <w:color w:val="FF0000"/>
          <w:strike w:val="1"/>
        </w:rPr>
        <w:t>Benchmark Replacement</w:t>
      </w:r>
      <w:r>
        <w:rPr>
          <w:rFonts w:ascii="Arial" w:cs="Arial" w:eastAsia="Arial" w:hAnsi="Arial"/>
          <w:sz w:val="16"/>
          <w:szCs w:val="16"/>
          <w:color w:val="FF0000"/>
          <w:strike w:val="1"/>
        </w:rPr>
        <w:t>. Notwithstanding anything to the contrary herein or in any other Loan Document, upon the</w:t>
      </w:r>
      <w:r>
        <w:rPr>
          <w:rFonts w:ascii="Arial" w:cs="Arial" w:eastAsia="Arial" w:hAnsi="Arial"/>
          <w:sz w:val="16"/>
          <w:szCs w:val="16"/>
          <w:u w:val="single" w:color="auto"/>
          <w:color w:val="FF0000"/>
          <w:strike w:val="1"/>
        </w:rPr>
        <w:t xml:space="preserve"> </w:t>
      </w:r>
      <w:r>
        <w:rPr>
          <w:rFonts w:ascii="Arial" w:cs="Arial" w:eastAsia="Arial" w:hAnsi="Arial"/>
          <w:sz w:val="16"/>
          <w:szCs w:val="16"/>
          <w:color w:val="FF0000"/>
          <w:strike w:val="1"/>
        </w:rPr>
        <w:t xml:space="preserve">occurrence of a Benchmark Transition Event or an Early Opt-in Election, as applicable, the Administrative Agent and the Borrower may amend this Credit Agreement to replace the LIBOR Rate with a Benchmark Replacement. Any such amendment with respect to a Benchmark Transition Event will become effective at 5:00 p.m.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Any such amendment with respect to an Early Opt-in Election will become effective on the date that Lenders comprising the Required Lenders have delivered to the Administrative Agent written notice that such Required Lenders accept such amendment. No replacement of the LIBOR Rate with a Benchmark Replacement pursuant to this </w:t>
      </w:r>
      <w:r>
        <w:rPr>
          <w:rFonts w:ascii="Arial" w:cs="Arial" w:eastAsia="Arial" w:hAnsi="Arial"/>
          <w:sz w:val="16"/>
          <w:szCs w:val="16"/>
          <w:u w:val="single" w:color="auto"/>
          <w:color w:val="FF0000"/>
          <w:strike w:val="1"/>
        </w:rPr>
        <w:t>Section 3.3(b)</w:t>
      </w:r>
      <w:r>
        <w:rPr>
          <w:rFonts w:ascii="Arial" w:cs="Arial" w:eastAsia="Arial" w:hAnsi="Arial"/>
          <w:sz w:val="16"/>
          <w:szCs w:val="16"/>
          <w:color w:val="FF0000"/>
          <w:strike w:val="1"/>
        </w:rPr>
        <w:t xml:space="preserve"> will occur prior to the applicable Benchmark Transition Start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9" w:name="page120"/>
    <w:bookmarkEnd w:id="119"/>
    <w:p>
      <w:pPr>
        <w:jc w:val="both"/>
        <w:ind w:firstLine="1592"/>
        <w:spacing w:after="0" w:line="259" w:lineRule="auto"/>
        <w:tabs>
          <w:tab w:leader="none" w:pos="2245" w:val="left"/>
        </w:tabs>
        <w:numPr>
          <w:ilvl w:val="0"/>
          <w:numId w:val="107"/>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Benchmark Replacement Conforming Changes</w:t>
      </w:r>
      <w:r>
        <w:rPr>
          <w:rFonts w:ascii="Arial" w:cs="Arial" w:eastAsia="Arial" w:hAnsi="Arial"/>
          <w:sz w:val="18"/>
          <w:szCs w:val="18"/>
          <w:color w:val="FF0000"/>
          <w:strike w:val="1"/>
        </w:rPr>
        <w:t>. In connection with the implementation of a Benchmark Replacement, the</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Credit Agreement.</w:t>
      </w:r>
    </w:p>
    <w:p>
      <w:pPr>
        <w:spacing w:after="0" w:line="186" w:lineRule="exact"/>
        <w:rPr>
          <w:rFonts w:ascii="Arial" w:cs="Arial" w:eastAsia="Arial" w:hAnsi="Arial"/>
          <w:sz w:val="18"/>
          <w:szCs w:val="18"/>
          <w:color w:val="FF0000"/>
          <w:strike w:val="1"/>
        </w:rPr>
      </w:pPr>
    </w:p>
    <w:p>
      <w:pPr>
        <w:jc w:val="both"/>
        <w:ind w:firstLine="1592"/>
        <w:spacing w:after="0" w:line="270" w:lineRule="auto"/>
        <w:tabs>
          <w:tab w:leader="none" w:pos="2209" w:val="left"/>
        </w:tabs>
        <w:numPr>
          <w:ilvl w:val="0"/>
          <w:numId w:val="107"/>
        </w:numPr>
        <w:rPr>
          <w:rFonts w:ascii="Arial" w:cs="Arial" w:eastAsia="Arial" w:hAnsi="Arial"/>
          <w:sz w:val="17"/>
          <w:szCs w:val="17"/>
          <w:color w:val="FF0000"/>
          <w:strike w:val="1"/>
        </w:rPr>
      </w:pPr>
      <w:r>
        <w:rPr>
          <w:rFonts w:ascii="Arial" w:cs="Arial" w:eastAsia="Arial" w:hAnsi="Arial"/>
          <w:sz w:val="17"/>
          <w:szCs w:val="17"/>
          <w:u w:val="single" w:color="auto"/>
          <w:color w:val="FF0000"/>
          <w:strike w:val="1"/>
        </w:rPr>
        <w:t>Notices; Standards for Decisions and Determinations</w:t>
      </w:r>
      <w:r>
        <w:rPr>
          <w:rFonts w:ascii="Arial" w:cs="Arial" w:eastAsia="Arial" w:hAnsi="Arial"/>
          <w:sz w:val="17"/>
          <w:szCs w:val="17"/>
          <w:color w:val="FF0000"/>
          <w:strike w:val="1"/>
        </w:rPr>
        <w:t>. The Administrative Agent will promptly notify the Borrower and the</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 xml:space="preserve">Lenders of (A) any occurrence of a Benchmark Transition Event or an Early Opt-in Election, as applicable, and its related Benchmark Replacement Date and Benchmark Transition Start Date, (B) the implementation of any Benchmark Replacement, (C) the effectiveness of any Benchmark Replacement Conforming Changes and (D) the commencement or conclusion of any Benchmark Unavailability Period,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that the failure to give such notice under this clause (D) shall not affect the commencement or conclusion of any Benchmark Unavailability Period. Any determination, decision or election that may be made by the Administrative Agent or Lenders pursuant to this </w:t>
      </w:r>
      <w:r>
        <w:rPr>
          <w:rFonts w:ascii="Arial" w:cs="Arial" w:eastAsia="Arial" w:hAnsi="Arial"/>
          <w:sz w:val="17"/>
          <w:szCs w:val="17"/>
          <w:u w:val="single" w:color="auto"/>
          <w:color w:val="FF0000"/>
          <w:strike w:val="1"/>
        </w:rPr>
        <w:t>Section 3.3(b)</w:t>
      </w:r>
      <w:r>
        <w:rPr>
          <w:rFonts w:ascii="Arial" w:cs="Arial" w:eastAsia="Arial" w:hAnsi="Arial"/>
          <w:sz w:val="17"/>
          <w:szCs w:val="17"/>
          <w:color w:val="FF0000"/>
          <w:strike w:val="1"/>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Arial" w:cs="Arial" w:eastAsia="Arial" w:hAnsi="Arial"/>
          <w:sz w:val="17"/>
          <w:szCs w:val="17"/>
          <w:u w:val="single" w:color="auto"/>
          <w:color w:val="FF0000"/>
          <w:strike w:val="1"/>
        </w:rPr>
        <w:t>Section 3.3(b)</w:t>
      </w:r>
      <w:r>
        <w:rPr>
          <w:rFonts w:ascii="Arial" w:cs="Arial" w:eastAsia="Arial" w:hAnsi="Arial"/>
          <w:sz w:val="17"/>
          <w:szCs w:val="17"/>
          <w:color w:val="FF0000"/>
          <w:strike w:val="1"/>
        </w:rPr>
        <w:t>.</w:t>
      </w:r>
    </w:p>
    <w:p>
      <w:pPr>
        <w:spacing w:after="0" w:line="181" w:lineRule="exact"/>
        <w:rPr>
          <w:sz w:val="20"/>
          <w:szCs w:val="20"/>
          <w:color w:val="auto"/>
        </w:rPr>
      </w:pPr>
    </w:p>
    <w:p>
      <w:pPr>
        <w:jc w:val="both"/>
        <w:ind w:firstLine="1098"/>
        <w:spacing w:after="0" w:line="287" w:lineRule="auto"/>
        <w:rPr>
          <w:sz w:val="20"/>
          <w:szCs w:val="20"/>
          <w:color w:val="auto"/>
        </w:rPr>
      </w:pPr>
      <w:r>
        <w:rPr>
          <w:rFonts w:ascii="Arial" w:cs="Arial" w:eastAsia="Arial" w:hAnsi="Arial"/>
          <w:sz w:val="16"/>
          <w:szCs w:val="16"/>
          <w:color w:val="FF0000"/>
        </w:rPr>
        <w:t>(</w:t>
      </w:r>
      <w:r>
        <w:rPr>
          <w:rFonts w:ascii="Arial" w:cs="Arial" w:eastAsia="Arial" w:hAnsi="Arial"/>
          <w:sz w:val="16"/>
          <w:szCs w:val="16"/>
          <w:color w:val="FF0000"/>
          <w:strike w:val="1"/>
        </w:rPr>
        <w:t>iv</w:t>
      </w:r>
      <w:r>
        <w:rPr>
          <w:rFonts w:ascii="Arial" w:cs="Arial" w:eastAsia="Arial" w:hAnsi="Arial"/>
          <w:sz w:val="16"/>
          <w:szCs w:val="16"/>
          <w:u w:val="single" w:color="auto"/>
          <w:color w:val="0000FF"/>
        </w:rPr>
        <w:t>b</w:t>
      </w:r>
      <w:r>
        <w:rPr>
          <w:rFonts w:ascii="Arial" w:cs="Arial" w:eastAsia="Arial" w:hAnsi="Arial"/>
          <w:sz w:val="16"/>
          <w:szCs w:val="16"/>
          <w:color w:val="000000"/>
        </w:rPr>
        <w:t>)</w:t>
      </w:r>
      <w:r>
        <w:rPr>
          <w:rFonts w:ascii="Arial" w:cs="Arial" w:eastAsia="Arial" w:hAnsi="Arial"/>
          <w:sz w:val="16"/>
          <w:szCs w:val="16"/>
          <w:color w:val="FF0000"/>
        </w:rPr>
        <w:t xml:space="preserve"> </w:t>
      </w:r>
      <w:r>
        <w:rPr>
          <w:rFonts w:ascii="Arial" w:cs="Arial" w:eastAsia="Arial" w:hAnsi="Arial"/>
          <w:sz w:val="16"/>
          <w:szCs w:val="16"/>
          <w:u w:val="single" w:color="auto"/>
          <w:color w:val="FF0000"/>
          <w:strike w:val="1"/>
        </w:rPr>
        <w:t>Benchmark Unavailability Period</w:t>
      </w:r>
      <w:r>
        <w:rPr>
          <w:rFonts w:ascii="Arial" w:cs="Arial" w:eastAsia="Arial" w:hAnsi="Arial"/>
          <w:sz w:val="16"/>
          <w:szCs w:val="16"/>
          <w:color w:val="FF0000"/>
          <w:strike w:val="1"/>
        </w:rPr>
        <w:t>. Upon the commencement of a Benchmark Unavailability Period</w:t>
      </w:r>
      <w:r>
        <w:rPr>
          <w:rFonts w:ascii="Arial" w:cs="Arial" w:eastAsia="Arial" w:hAnsi="Arial"/>
          <w:sz w:val="16"/>
          <w:szCs w:val="16"/>
          <w:color w:val="000000"/>
          <w:strike w:val="1"/>
        </w:rPr>
        <w:t>,</w:t>
      </w:r>
      <w:r>
        <w:rPr>
          <w:rFonts w:ascii="Arial" w:cs="Arial" w:eastAsia="Arial" w:hAnsi="Arial"/>
          <w:sz w:val="16"/>
          <w:szCs w:val="16"/>
          <w:u w:val="single" w:color="auto"/>
          <w:color w:val="0000FF"/>
        </w:rPr>
        <w:t>Upon notice thereof by the</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Administrative Agent to the Borrower, any obligation of the Lenders to make or maintain SOFR Loans, and any right of the Borrower to continue SOFR Loans or to convert ABR Loans to SOFR Loans shall be suspended (to the extent of the affected Interest Periods) until the Administrative Agent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-280670</wp:posOffset>
            </wp:positionV>
            <wp:extent cx="5969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-280670</wp:posOffset>
            </wp:positionV>
            <wp:extent cx="129413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941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spacing w:after="0" w:line="281" w:lineRule="auto"/>
        <w:rPr>
          <w:sz w:val="20"/>
          <w:szCs w:val="20"/>
          <w:color w:val="auto"/>
        </w:rPr>
      </w:pPr>
      <w:r>
        <w:rPr>
          <w:rFonts w:ascii="Arial" w:cs="Arial" w:eastAsia="Arial" w:hAnsi="Arial"/>
          <w:sz w:val="16"/>
          <w:szCs w:val="16"/>
          <w:u w:val="single" w:color="auto"/>
          <w:color w:val="0000FF"/>
        </w:rPr>
        <w:t>respect to clause (a)(ii) above, at the instruction of the Required Lenders) revokes such notice. Upon the Borrower’s receipt of such notice, (i)</w:t>
      </w:r>
      <w:r>
        <w:rPr>
          <w:rFonts w:ascii="Arial" w:cs="Arial" w:eastAsia="Arial" w:hAnsi="Arial"/>
          <w:sz w:val="16"/>
          <w:szCs w:val="16"/>
          <w:color w:val="0000FF"/>
        </w:rPr>
        <w:t xml:space="preserve"> </w:t>
      </w:r>
      <w:r>
        <w:rPr>
          <w:rFonts w:ascii="Arial" w:cs="Arial" w:eastAsia="Arial" w:hAnsi="Arial"/>
          <w:sz w:val="16"/>
          <w:szCs w:val="16"/>
          <w:color w:val="000000"/>
        </w:rPr>
        <w:t>the</w:t>
      </w:r>
      <w:r>
        <w:rPr>
          <w:rFonts w:ascii="Arial" w:cs="Arial" w:eastAsia="Arial" w:hAnsi="Arial"/>
          <w:sz w:val="16"/>
          <w:szCs w:val="16"/>
          <w:color w:val="0000FF"/>
        </w:rPr>
        <w:t xml:space="preserve"> </w:t>
      </w:r>
      <w:r>
        <w:rPr>
          <w:rFonts w:ascii="Arial" w:cs="Arial" w:eastAsia="Arial" w:hAnsi="Arial"/>
          <w:sz w:val="16"/>
          <w:szCs w:val="16"/>
          <w:color w:val="000000"/>
        </w:rPr>
        <w:t xml:space="preserve">Borrower may revoke any pending request for a </w:t>
      </w:r>
      <w:r>
        <w:rPr>
          <w:rFonts w:ascii="Arial" w:cs="Arial" w:eastAsia="Arial" w:hAnsi="Arial"/>
          <w:sz w:val="16"/>
          <w:szCs w:val="16"/>
          <w:color w:val="FF0000"/>
          <w:strike w:val="1"/>
        </w:rPr>
        <w:t>Borrowing</w:t>
      </w:r>
      <w:r>
        <w:rPr>
          <w:rFonts w:ascii="Arial" w:cs="Arial" w:eastAsia="Arial" w:hAnsi="Arial"/>
          <w:sz w:val="16"/>
          <w:szCs w:val="16"/>
          <w:u w:val="single" w:color="auto"/>
          <w:color w:val="0000FF"/>
        </w:rPr>
        <w:t>borrowing</w:t>
      </w:r>
      <w:r>
        <w:rPr>
          <w:rFonts w:ascii="Arial" w:cs="Arial" w:eastAsia="Arial" w:hAnsi="Arial"/>
          <w:sz w:val="16"/>
          <w:szCs w:val="16"/>
          <w:color w:val="000000"/>
        </w:rPr>
        <w:t xml:space="preserve"> of, conversion to or continuation of </w:t>
      </w:r>
      <w:r>
        <w:rPr>
          <w:rFonts w:ascii="Arial" w:cs="Arial" w:eastAsia="Arial" w:hAnsi="Arial"/>
          <w:sz w:val="16"/>
          <w:szCs w:val="16"/>
          <w:color w:val="FF0000"/>
          <w:strike w:val="1"/>
        </w:rPr>
        <w:t>LIBOR Loans to be made, converted or</w:t>
      </w:r>
      <w:r>
        <w:rPr>
          <w:rFonts w:ascii="Arial" w:cs="Arial" w:eastAsia="Arial" w:hAnsi="Arial"/>
          <w:sz w:val="16"/>
          <w:szCs w:val="16"/>
          <w:color w:val="000000"/>
        </w:rPr>
        <w:t xml:space="preserve"> </w:t>
      </w:r>
      <w:r>
        <w:rPr>
          <w:rFonts w:ascii="Arial" w:cs="Arial" w:eastAsia="Arial" w:hAnsi="Arial"/>
          <w:sz w:val="16"/>
          <w:szCs w:val="16"/>
          <w:color w:val="FF0000"/>
          <w:strike w:val="1"/>
        </w:rPr>
        <w:t>continued during such Benchmark Unavailability Period and</w:t>
      </w:r>
      <w:r>
        <w:rPr>
          <w:rFonts w:ascii="Arial" w:cs="Arial" w:eastAsia="Arial" w:hAnsi="Arial"/>
          <w:sz w:val="16"/>
          <w:szCs w:val="16"/>
          <w:u w:val="single" w:color="auto"/>
          <w:color w:val="0000FF"/>
        </w:rPr>
        <w:t>SOFR Loans (to the extent of the affected Interest Periods) or,</w:t>
      </w:r>
      <w:r>
        <w:rPr>
          <w:rFonts w:ascii="Arial" w:cs="Arial" w:eastAsia="Arial" w:hAnsi="Arial"/>
          <w:sz w:val="16"/>
          <w:szCs w:val="16"/>
          <w:color w:val="FF0000"/>
        </w:rPr>
        <w:t xml:space="preserve"> </w:t>
      </w:r>
      <w:r>
        <w:rPr>
          <w:rFonts w:ascii="Arial" w:cs="Arial" w:eastAsia="Arial" w:hAnsi="Arial"/>
          <w:sz w:val="16"/>
          <w:szCs w:val="16"/>
          <w:color w:val="000000"/>
        </w:rPr>
        <w:t>failing that, the Borrower will</w:t>
      </w:r>
      <w:r>
        <w:rPr>
          <w:rFonts w:ascii="Arial" w:cs="Arial" w:eastAsia="Arial" w:hAnsi="Arial"/>
          <w:sz w:val="16"/>
          <w:szCs w:val="16"/>
          <w:color w:val="FF0000"/>
        </w:rPr>
        <w:t xml:space="preserve"> </w:t>
      </w:r>
      <w:r>
        <w:rPr>
          <w:rFonts w:ascii="Arial" w:cs="Arial" w:eastAsia="Arial" w:hAnsi="Arial"/>
          <w:sz w:val="16"/>
          <w:szCs w:val="16"/>
          <w:color w:val="000000"/>
        </w:rPr>
        <w:t>be deemed to have converted any such request into a request for a Borrowing of or conversion to ABR Loans</w:t>
      </w:r>
      <w:r>
        <w:rPr>
          <w:rFonts w:ascii="Arial" w:cs="Arial" w:eastAsia="Arial" w:hAnsi="Arial"/>
          <w:sz w:val="16"/>
          <w:szCs w:val="16"/>
          <w:color w:val="FF0000"/>
          <w:strike w:val="1"/>
        </w:rPr>
        <w:t>. During any Benchmark Unavailability</w:t>
      </w:r>
      <w:r>
        <w:rPr>
          <w:rFonts w:ascii="Arial" w:cs="Arial" w:eastAsia="Arial" w:hAnsi="Arial"/>
          <w:sz w:val="16"/>
          <w:szCs w:val="16"/>
          <w:color w:val="000000"/>
        </w:rPr>
        <w:t xml:space="preserve"> </w:t>
      </w:r>
      <w:r>
        <w:rPr>
          <w:rFonts w:ascii="Arial" w:cs="Arial" w:eastAsia="Arial" w:hAnsi="Arial"/>
          <w:sz w:val="16"/>
          <w:szCs w:val="16"/>
          <w:color w:val="FF0000"/>
          <w:strike w:val="1"/>
        </w:rPr>
        <w:t xml:space="preserve">Period, (A) the obligation of the Lenders to make or maintain LIBOR Loans shall be suspended, (B) any request for a Borrowing of, conversion to or continuation of LIBOR Loans shall be ineffective and will be deemed to have been a request for a Borrowing of or conversion to ABR Loans, and (C) the component of the </w:t>
      </w:r>
      <w:r>
        <w:rPr>
          <w:rFonts w:ascii="Arial" w:cs="Arial" w:eastAsia="Arial" w:hAnsi="Arial"/>
          <w:sz w:val="16"/>
          <w:szCs w:val="16"/>
          <w:u w:val="single" w:color="auto"/>
          <w:color w:val="0000FF"/>
          <w:strike w:val="1"/>
        </w:rPr>
        <w:t>in the amount specified therein and (ii) any outstanding affected SOFR Loans will be deemed to have been converted into ABR Loans</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at the end of the applicable Interest Period. Upon any such conversion, the Borrower shall also pay accrued interest on the amount so converted, together with any additional amounts required pursuant to Section 3.5. Subject to Section 3.8, if the Administrative Agent determines (which determination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-1101725</wp:posOffset>
            </wp:positionV>
            <wp:extent cx="69348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-964565</wp:posOffset>
            </wp:positionV>
            <wp:extent cx="47180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-827405</wp:posOffset>
            </wp:positionV>
            <wp:extent cx="288861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88861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-278765</wp:posOffset>
            </wp:positionV>
            <wp:extent cx="625792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2579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7"/>
          <w:szCs w:val="17"/>
          <w:u w:val="single" w:color="auto"/>
          <w:color w:val="0000FF"/>
        </w:rPr>
        <w:t>conclusive and binding absent manifest error) that “Term SOFR” cannot be determined pursuant to the definition thereof on any given day, the interest rate on ABR Loans shall be determined by the Administrative Agent without reference to clause (c) of the definition of “</w:t>
      </w:r>
      <w:r>
        <w:rPr>
          <w:rFonts w:ascii="Arial" w:cs="Arial" w:eastAsia="Arial" w:hAnsi="Arial"/>
          <w:sz w:val="17"/>
          <w:szCs w:val="17"/>
          <w:color w:val="000000"/>
        </w:rPr>
        <w:t>Alternate Base Rate</w:t>
      </w:r>
      <w:r>
        <w:rPr>
          <w:rFonts w:ascii="Arial" w:cs="Arial" w:eastAsia="Arial" w:hAnsi="Arial"/>
          <w:sz w:val="17"/>
          <w:szCs w:val="17"/>
          <w:color w:val="0000FF"/>
        </w:rPr>
        <w:t xml:space="preserve"> </w:t>
      </w:r>
      <w:r>
        <w:rPr>
          <w:rFonts w:ascii="Arial" w:cs="Arial" w:eastAsia="Arial" w:hAnsi="Arial"/>
          <w:sz w:val="17"/>
          <w:szCs w:val="17"/>
          <w:color w:val="FF0000"/>
          <w:strike w:val="1"/>
        </w:rPr>
        <w:t>based upon the</w:t>
      </w:r>
      <w:r>
        <w:rPr>
          <w:rFonts w:ascii="Arial" w:cs="Arial" w:eastAsia="Arial" w:hAnsi="Arial"/>
          <w:sz w:val="17"/>
          <w:szCs w:val="17"/>
          <w:color w:val="0000FF"/>
        </w:rPr>
        <w:t xml:space="preserve"> </w:t>
      </w:r>
      <w:r>
        <w:rPr>
          <w:rFonts w:ascii="Arial" w:cs="Arial" w:eastAsia="Arial" w:hAnsi="Arial"/>
          <w:sz w:val="17"/>
          <w:szCs w:val="17"/>
          <w:color w:val="FF0000"/>
          <w:strike w:val="1"/>
        </w:rPr>
        <w:t>LIBOR Rate will not be used in any</w:t>
      </w:r>
      <w:r>
        <w:rPr>
          <w:rFonts w:ascii="Arial" w:cs="Arial" w:eastAsia="Arial" w:hAnsi="Arial"/>
          <w:sz w:val="17"/>
          <w:szCs w:val="17"/>
          <w:u w:val="single" w:color="auto"/>
          <w:color w:val="0000FF"/>
        </w:rPr>
        <w:t>” until the Administrative Agent revokes such</w:t>
      </w:r>
      <w:r>
        <w:rPr>
          <w:rFonts w:ascii="Arial" w:cs="Arial" w:eastAsia="Arial" w:hAnsi="Arial"/>
          <w:sz w:val="17"/>
          <w:szCs w:val="17"/>
          <w:color w:val="FF0000"/>
        </w:rPr>
        <w:t xml:space="preserve"> </w:t>
      </w:r>
      <w:r>
        <w:rPr>
          <w:rFonts w:ascii="Arial" w:cs="Arial" w:eastAsia="Arial" w:hAnsi="Arial"/>
          <w:sz w:val="17"/>
          <w:szCs w:val="17"/>
          <w:color w:val="000000"/>
        </w:rPr>
        <w:t>determination</w:t>
      </w:r>
      <w:r>
        <w:rPr>
          <w:rFonts w:ascii="Arial" w:cs="Arial" w:eastAsia="Arial" w:hAnsi="Arial"/>
          <w:sz w:val="17"/>
          <w:szCs w:val="17"/>
          <w:color w:val="FF0000"/>
        </w:rPr>
        <w:t xml:space="preserve"> of the Alternate Base Rate</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546036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460365" cy="889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-26035</wp:posOffset>
            </wp:positionV>
            <wp:extent cx="209994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099945" cy="825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-94615</wp:posOffset>
            </wp:positionV>
            <wp:extent cx="123380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33805"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0" w:name="page121"/>
    <w:bookmarkEnd w:id="120"/>
    <w:p>
      <w:pPr>
        <w:ind w:left="460"/>
        <w:spacing w:after="0"/>
        <w:tabs>
          <w:tab w:leader="none" w:pos="156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Increased Costs; Illegality</w:t>
      </w:r>
      <w:r>
        <w:rPr>
          <w:rFonts w:ascii="Arial" w:cs="Arial" w:eastAsia="Arial" w:hAnsi="Arial"/>
          <w:sz w:val="16"/>
          <w:szCs w:val="16"/>
          <w:color w:val="auto"/>
        </w:rPr>
        <w:t>.</w:t>
      </w:r>
    </w:p>
    <w:p>
      <w:pPr>
        <w:spacing w:after="0" w:line="225" w:lineRule="exact"/>
        <w:rPr>
          <w:sz w:val="20"/>
          <w:szCs w:val="20"/>
          <w:color w:val="auto"/>
        </w:rPr>
      </w:pPr>
    </w:p>
    <w:p>
      <w:pPr>
        <w:ind w:left="1660" w:hanging="554"/>
        <w:spacing w:after="0"/>
        <w:tabs>
          <w:tab w:leader="none" w:pos="166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5" w:lineRule="exact"/>
        <w:rPr>
          <w:rFonts w:ascii="Arial" w:cs="Arial" w:eastAsia="Arial" w:hAnsi="Arial"/>
          <w:sz w:val="18"/>
          <w:szCs w:val="18"/>
          <w:color w:val="auto"/>
        </w:rPr>
      </w:pPr>
    </w:p>
    <w:p>
      <w:pPr>
        <w:jc w:val="both"/>
        <w:ind w:firstLine="1592"/>
        <w:spacing w:after="0" w:line="301" w:lineRule="auto"/>
        <w:tabs>
          <w:tab w:leader="none" w:pos="2272"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impose, modify or deem applicable any reserve </w:t>
      </w:r>
      <w:r>
        <w:rPr>
          <w:rFonts w:ascii="Arial" w:cs="Arial" w:eastAsia="Arial" w:hAnsi="Arial"/>
          <w:sz w:val="16"/>
          <w:szCs w:val="16"/>
          <w:u w:val="single" w:color="auto"/>
          <w:color w:val="0000FF"/>
        </w:rPr>
        <w:t>including pursuant to regulations issued from time to time by the Federal</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Reserve Board for determining any maximum reserve requirement (including any emergency, special, supplemental or other marginal reserve requirement))</w:t>
      </w:r>
      <w:r>
        <w:rPr>
          <w:rFonts w:ascii="Arial" w:cs="Arial" w:eastAsia="Arial" w:hAnsi="Arial"/>
          <w:sz w:val="16"/>
          <w:szCs w:val="16"/>
          <w:color w:val="000000"/>
        </w:rPr>
        <w:t>, special deposit, liquidity, compulsory loan, insurance charge or similar requirement against assets of, deposits with or for the account of, or</w:t>
      </w:r>
      <w:r>
        <w:rPr>
          <w:rFonts w:ascii="Arial" w:cs="Arial" w:eastAsia="Arial" w:hAnsi="Arial"/>
          <w:sz w:val="16"/>
          <w:szCs w:val="16"/>
          <w:color w:val="0000FF"/>
        </w:rPr>
        <w:t xml:space="preserve"> </w:t>
      </w:r>
      <w:r>
        <w:rPr>
          <w:rFonts w:ascii="Arial" w:cs="Arial" w:eastAsia="Arial" w:hAnsi="Arial"/>
          <w:sz w:val="16"/>
          <w:szCs w:val="16"/>
          <w:color w:val="000000"/>
        </w:rPr>
        <w:t xml:space="preserve">credit extended or participated in by, any Lender </w:t>
      </w:r>
      <w:r>
        <w:rPr>
          <w:rFonts w:ascii="Arial" w:cs="Arial" w:eastAsia="Arial" w:hAnsi="Arial"/>
          <w:sz w:val="16"/>
          <w:szCs w:val="16"/>
          <w:color w:val="FF0000"/>
          <w:strike w:val="1"/>
        </w:rPr>
        <w:t>(except any reserve requirement reflected in the Adjusted LIBOR Rate)</w:t>
      </w:r>
      <w:r>
        <w:rPr>
          <w:rFonts w:ascii="Arial" w:cs="Arial" w:eastAsia="Arial" w:hAnsi="Arial"/>
          <w:sz w:val="16"/>
          <w:szCs w:val="16"/>
          <w:color w:val="000000"/>
        </w:rPr>
        <w:t xml:space="preserve"> or the L/C Issuer;</w:t>
      </w:r>
    </w:p>
    <w:p>
      <w:pPr>
        <w:spacing w:after="0" w:line="157" w:lineRule="exact"/>
        <w:rPr>
          <w:rFonts w:ascii="Arial" w:cs="Arial" w:eastAsia="Arial" w:hAnsi="Arial"/>
          <w:sz w:val="16"/>
          <w:szCs w:val="16"/>
          <w:color w:val="auto"/>
        </w:rPr>
      </w:pPr>
    </w:p>
    <w:p>
      <w:pPr>
        <w:jc w:val="both"/>
        <w:ind w:firstLine="1592"/>
        <w:spacing w:after="0" w:line="263" w:lineRule="auto"/>
        <w:tabs>
          <w:tab w:leader="none" w:pos="222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83" w:lineRule="exact"/>
        <w:rPr>
          <w:rFonts w:ascii="Arial" w:cs="Arial" w:eastAsia="Arial" w:hAnsi="Arial"/>
          <w:sz w:val="18"/>
          <w:szCs w:val="18"/>
          <w:color w:val="auto"/>
        </w:rPr>
      </w:pPr>
    </w:p>
    <w:p>
      <w:pPr>
        <w:ind w:firstLine="1592"/>
        <w:spacing w:after="0" w:line="277" w:lineRule="auto"/>
        <w:tabs>
          <w:tab w:leader="none" w:pos="226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impose on any Lender or the L/C Issuer </w:t>
      </w:r>
      <w:r>
        <w:rPr>
          <w:rFonts w:ascii="Arial" w:cs="Arial" w:eastAsia="Arial" w:hAnsi="Arial"/>
          <w:sz w:val="18"/>
          <w:szCs w:val="18"/>
          <w:color w:val="FF0000"/>
          <w:strike w:val="1"/>
        </w:rPr>
        <w:t>or the London interbank market</w:t>
      </w:r>
      <w:r>
        <w:rPr>
          <w:rFonts w:ascii="Arial" w:cs="Arial" w:eastAsia="Arial" w:hAnsi="Arial"/>
          <w:sz w:val="18"/>
          <w:szCs w:val="18"/>
          <w:color w:val="auto"/>
        </w:rPr>
        <w:t xml:space="preserve"> any other condition, cost or expense (other than Taxes) affecting this Credit Agreement or Loans made by such Lender or any Letter of Credit or participation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-1399540</wp:posOffset>
            </wp:positionV>
            <wp:extent cx="34632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463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-1262380</wp:posOffset>
            </wp:positionV>
            <wp:extent cx="712343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-1125220</wp:posOffset>
            </wp:positionV>
            <wp:extent cx="62547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the L/C Issuer or such other Recipient of participating in, issuing or maintaining any Letter of Credit (or of maintaining its obligation to participate in or to issue any Letter of Credit), or to reduce the amount of any sum received or receivable by such Lender, the L/C Issuer or other Recipient hereunder (whether of principal, interest or any other amount) then, upon request of such Lender, L/C Issuer or other Recipient, the Borrower will pay to such Lender, the L/C Issuer or other Recipient, as the case may be, such additional amount or amounts as will compensate such Lender, the L/C Issuer or other Recipient, as the case may be, for such additional costs incurred or reduction suffered.</w:t>
      </w:r>
    </w:p>
    <w:p>
      <w:pPr>
        <w:spacing w:after="0" w:line="195" w:lineRule="exact"/>
        <w:rPr>
          <w:sz w:val="20"/>
          <w:szCs w:val="20"/>
          <w:color w:val="auto"/>
        </w:rPr>
      </w:pPr>
    </w:p>
    <w:p>
      <w:pPr>
        <w:jc w:val="both"/>
        <w:ind w:firstLine="1106"/>
        <w:spacing w:after="0" w:line="289" w:lineRule="auto"/>
        <w:tabs>
          <w:tab w:leader="none" w:pos="1708"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or the L/C Issuer determines that any Change in Law affecting such Lender or the L/C Issuer or any Applicable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Credit Agreement, the Commitments of such Lender or the Loans made by, or participations in Letters of Credit or Swingline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and liquidity),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1" w:name="page122"/>
    <w:bookmarkEnd w:id="121"/>
    <w:p>
      <w:pPr>
        <w:jc w:val="both"/>
        <w:ind w:firstLine="1106"/>
        <w:spacing w:after="0" w:line="259" w:lineRule="auto"/>
        <w:tabs>
          <w:tab w:leader="none" w:pos="1819"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the L/C Issuer setting forth the amount or amounts necessary to compensate such Lender or the L/C Issuer or its holding company, as the case may be, as specified in paragraph (a) or (b) of this Section and delivered to the Borrower, shall be conclusive absent manifest error. The Borrower shall pay such Lender or the L/C Issuer, as the case may be, the amount shown as due on any such certificate within 10 days after receipt thereof.</w:t>
      </w:r>
    </w:p>
    <w:p>
      <w:pPr>
        <w:spacing w:after="0" w:line="186" w:lineRule="exact"/>
        <w:rPr>
          <w:rFonts w:ascii="Arial" w:cs="Arial" w:eastAsia="Arial" w:hAnsi="Arial"/>
          <w:sz w:val="18"/>
          <w:szCs w:val="18"/>
          <w:color w:val="auto"/>
        </w:rPr>
      </w:pPr>
    </w:p>
    <w:p>
      <w:pPr>
        <w:jc w:val="both"/>
        <w:ind w:firstLine="1106"/>
        <w:spacing w:after="0" w:line="293" w:lineRule="auto"/>
        <w:tabs>
          <w:tab w:leader="none" w:pos="1735"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the L/C Issuer to demand compensation pursuant to this Section shall not constitute a waiver of such Lender’s or the L/C Issuer’s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the L/C Issuer pursuant to this Section for any increased costs incurred or reductions suffered more than nine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64" w:lineRule="exact"/>
        <w:rPr>
          <w:rFonts w:ascii="Arial" w:cs="Arial" w:eastAsia="Arial" w:hAnsi="Arial"/>
          <w:sz w:val="16"/>
          <w:szCs w:val="16"/>
          <w:color w:val="auto"/>
        </w:rPr>
      </w:pPr>
    </w:p>
    <w:p>
      <w:pPr>
        <w:jc w:val="both"/>
        <w:ind w:firstLine="1106"/>
        <w:spacing w:after="0" w:line="268" w:lineRule="auto"/>
        <w:tabs>
          <w:tab w:leader="none" w:pos="1719" w:val="left"/>
        </w:tabs>
        <w:numPr>
          <w:ilvl w:val="0"/>
          <w:numId w:val="110"/>
        </w:numPr>
        <w:rPr>
          <w:rFonts w:ascii="Arial" w:cs="Arial" w:eastAsia="Arial" w:hAnsi="Arial"/>
          <w:sz w:val="17"/>
          <w:szCs w:val="17"/>
          <w:color w:val="0000FF"/>
        </w:rPr>
      </w:pPr>
      <w:r>
        <w:rPr>
          <w:rFonts w:ascii="Arial" w:cs="Arial" w:eastAsia="Arial" w:hAnsi="Arial"/>
          <w:sz w:val="17"/>
          <w:szCs w:val="17"/>
          <w:color w:val="0000FF"/>
        </w:rPr>
        <w:t xml:space="preserve">Illegality. If any Lender determines that any Law has made it unlawful, or that any Governmental Authority has asserted that it is </w:t>
      </w:r>
      <w:r>
        <w:rPr>
          <w:rFonts w:ascii="Arial" w:cs="Arial" w:eastAsia="Arial" w:hAnsi="Arial"/>
          <w:sz w:val="17"/>
          <w:szCs w:val="17"/>
          <w:u w:val="single" w:color="auto"/>
          <w:color w:val="0000FF"/>
        </w:rPr>
        <w:t>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 (a) any obligation of the Lenders to make or maintain SOFR Loans, and any right of the Borrower to continue SOFR Loans or to convert ABR Loans to SOFR Loans, shall be suspended, and (b) the interest rate on which ABR Loans shall, if necessary to avoid such illegality, be determined by the Administrative Agent without reference to clause (c) of the definition of “Alternate Base Rate”, in each case until such Lender notifies the Administrative Agent and the Borrower that the circumstances giving rise to such determination no longer exist. Upon receipt of such notice, (i) the Borrower shall, if necessary to avoid such illegality, upon demand from any Lender (with a copy to the Administrative Agent), prepay or, if applicable, convert all SOFR Loans to ABR Loans (the interest rate on which ABR Loans of such Lender shall, if necessary to avoid such illegality, be determined by the Administrative Agent without reference to clause (c) of the definition of “Alternate Base Rate”), on the last day of the Interest Period therefor, if all affected Lenders may lawfully continue to maintain such Loans to such day, or immediately, if any Lender may not lawfully continue to maintain such Loans to such day, and (ii) if necessary to avoid such illegality, the Administrative Agent shall during the period of such suspension compute the Alternate Base Rate without reference to clause (c) of the definition of “Alternate Base Rate” in each case until the Administrative Agent is advised in writing by each affected Lender that it is no longer illegal for such Lender to determine or charge interest rates based upon SOFR or Term SOFR. Upon any such prepayment or conversion, the Borrower shall also pay accrued interest on the amount so prepaid or converted, together with any additional amounts required pursuant to Section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-2079625</wp:posOffset>
            </wp:positionV>
            <wp:extent cx="642937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-2096770</wp:posOffset>
            </wp:positionV>
            <wp:extent cx="642683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42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-1942465</wp:posOffset>
            </wp:positionV>
            <wp:extent cx="713232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-1805305</wp:posOffset>
            </wp:positionV>
            <wp:extent cx="712343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-1668145</wp:posOffset>
            </wp:positionV>
            <wp:extent cx="713232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-1530985</wp:posOffset>
            </wp:positionV>
            <wp:extent cx="713232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-1393825</wp:posOffset>
            </wp:positionV>
            <wp:extent cx="712343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-1256665</wp:posOffset>
            </wp:positionV>
            <wp:extent cx="712343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-1119505</wp:posOffset>
            </wp:positionV>
            <wp:extent cx="712343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-982345</wp:posOffset>
            </wp:positionV>
            <wp:extent cx="713232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-708025</wp:posOffset>
            </wp:positionV>
            <wp:extent cx="712343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wp:posOffset>
            </wp:positionV>
            <wp:extent cx="712343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2343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2343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149161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60" w:lineRule="exact"/>
        <w:rPr>
          <w:sz w:val="20"/>
          <w:szCs w:val="20"/>
          <w:color w:val="auto"/>
        </w:rPr>
      </w:pPr>
    </w:p>
    <w:p>
      <w:pPr>
        <w:jc w:val="both"/>
        <w:ind w:firstLine="1106"/>
        <w:spacing w:after="0" w:line="263" w:lineRule="auto"/>
        <w:tabs>
          <w:tab w:leader="none" w:pos="1738" w:val="left"/>
        </w:tabs>
        <w:numPr>
          <w:ilvl w:val="0"/>
          <w:numId w:val="111"/>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Illegality</w:t>
      </w:r>
      <w:r>
        <w:rPr>
          <w:rFonts w:ascii="Arial" w:cs="Arial" w:eastAsia="Arial" w:hAnsi="Arial"/>
          <w:sz w:val="18"/>
          <w:szCs w:val="18"/>
          <w:color w:val="FF0000"/>
          <w:strike w:val="1"/>
        </w:rPr>
        <w:t>. Notwithstanding any other provision of this Credit Agreement, if, after the Agreement Date, any Change in Law shall</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make it unlawful for any Lender to make or maintain any LIBOR Loan or to give effect to its obligations as contemplated hereby with respect to any LIBOR Loan, then, by written notice to the Borrower and to the Administrative Agent:</w:t>
      </w:r>
    </w:p>
    <w:p>
      <w:pPr>
        <w:spacing w:after="0" w:line="183" w:lineRule="exact"/>
        <w:rPr>
          <w:rFonts w:ascii="Arial" w:cs="Arial" w:eastAsia="Arial" w:hAnsi="Arial"/>
          <w:sz w:val="18"/>
          <w:szCs w:val="18"/>
          <w:color w:val="FF0000"/>
          <w:strike w:val="1"/>
        </w:rPr>
      </w:pPr>
    </w:p>
    <w:p>
      <w:pPr>
        <w:jc w:val="both"/>
        <w:ind w:firstLine="1592"/>
        <w:spacing w:after="0" w:line="255" w:lineRule="auto"/>
        <w:tabs>
          <w:tab w:leader="none" w:pos="2294" w:val="left"/>
        </w:tabs>
        <w:numPr>
          <w:ilvl w:val="1"/>
          <w:numId w:val="111"/>
        </w:numPr>
        <w:rPr>
          <w:rFonts w:ascii="Arial" w:cs="Arial" w:eastAsia="Arial" w:hAnsi="Arial"/>
          <w:sz w:val="18"/>
          <w:szCs w:val="18"/>
          <w:color w:val="FF0000"/>
          <w:strike w:val="1"/>
        </w:rPr>
      </w:pPr>
      <w:r>
        <w:rPr>
          <w:rFonts w:ascii="Arial" w:cs="Arial" w:eastAsia="Arial" w:hAnsi="Arial"/>
          <w:sz w:val="18"/>
          <w:szCs w:val="18"/>
          <w:color w:val="FF0000"/>
          <w:strike w:val="1"/>
        </w:rPr>
        <w:t>such Lender may declare that LIBOR Loans will not thereafter (for the duration of such unlawfulness) be made by such Lender hereunder (or be continued for additional Interest Periods) and ABR Loans will not thereafter (for such duration) be converted into LIBOR Loans, whereupon any request for a LIBOR Borrowing or to convert an ABR Borrowing to a LIBOR Borrowing or to continue a LIBOR Borrowing, as applicable, for an additional Interest Period shall, as to such Lender only, be deemed a request for an ABR Loan (or a request to continue an ABR Loan as such for an additional Interest Period or to convert a LIBOR Loan into an ABR Loan, as applicable), unless such declaration shall be subsequently withdrawn;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2" w:name="page123"/>
    <w:bookmarkEnd w:id="122"/>
    <w:p>
      <w:pPr>
        <w:ind w:right="20" w:firstLine="1592"/>
        <w:spacing w:after="0" w:line="342" w:lineRule="auto"/>
        <w:tabs>
          <w:tab w:leader="none" w:pos="2204" w:val="left"/>
        </w:tabs>
        <w:numPr>
          <w:ilvl w:val="0"/>
          <w:numId w:val="112"/>
        </w:numPr>
        <w:rPr>
          <w:rFonts w:ascii="Arial" w:cs="Arial" w:eastAsia="Arial" w:hAnsi="Arial"/>
          <w:sz w:val="16"/>
          <w:szCs w:val="16"/>
          <w:color w:val="FF0000"/>
          <w:strike w:val="1"/>
        </w:rPr>
      </w:pPr>
      <w:r>
        <w:rPr>
          <w:rFonts w:ascii="Arial" w:cs="Arial" w:eastAsia="Arial" w:hAnsi="Arial"/>
          <w:sz w:val="16"/>
          <w:szCs w:val="16"/>
          <w:color w:val="FF0000"/>
          <w:strike w:val="1"/>
        </w:rPr>
        <w:t>such Lender may require that all outstanding LIBOR Loans made by it be converted to ABR Loans, in which event all such LIBOR Loans shall be automatically converted to ABR Loans, as of the effective date of such notice as provided in the last sentence of this paragraph.</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FF0000"/>
          <w:strike w:val="1"/>
        </w:rPr>
        <w:t>In the event any Lender shall exercise its rights under clause (i) or (ii) of this paragraph, all payments and prepayments of principal that would otherwise have been applied to repay the LIBOR Loans that would have been made by such Lender or the converted LIBOR Loans of such Lender shall instead be applied to repay the ABR Loans made by such Lender in lieu of, or resulting from the conversion of, such LIBOR Loans, as applicable. For purposes of this paragraph, a notice to the Borrower by any Lender shall be effective as to each LIBOR Loan made by such Lender, if lawful, on the last day of the Interest Period currently applicable to such LIBOR Loan; in all other cases such notice shall be effective on the date of receipt by the Borrower.</w:t>
      </w:r>
    </w:p>
    <w:p>
      <w:pPr>
        <w:spacing w:after="0" w:line="161" w:lineRule="exact"/>
        <w:rPr>
          <w:sz w:val="20"/>
          <w:szCs w:val="20"/>
          <w:color w:val="auto"/>
        </w:rPr>
      </w:pPr>
    </w:p>
    <w:p>
      <w:pPr>
        <w:jc w:val="both"/>
        <w:ind w:firstLine="450"/>
        <w:spacing w:after="0" w:line="285"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FF0000"/>
          <w:strike w:val="1"/>
        </w:rPr>
        <w:t>Break Funding Payments</w:t>
      </w:r>
      <w:r>
        <w:rPr>
          <w:rFonts w:ascii="Arial" w:cs="Arial" w:eastAsia="Arial" w:hAnsi="Arial"/>
          <w:sz w:val="16"/>
          <w:szCs w:val="16"/>
          <w:u w:val="single" w:color="auto"/>
          <w:color w:val="0000FF"/>
        </w:rPr>
        <w:t>Compensation for Losses</w:t>
      </w:r>
      <w:r>
        <w:rPr>
          <w:rFonts w:ascii="Arial" w:cs="Arial" w:eastAsia="Arial" w:hAnsi="Arial"/>
          <w:sz w:val="16"/>
          <w:szCs w:val="16"/>
          <w:color w:val="auto"/>
        </w:rPr>
        <w:t xml:space="preserve">. In the event of (a) the payment or prepayment of any principal of any </w:t>
      </w:r>
      <w:r>
        <w:rPr>
          <w:rFonts w:ascii="Arial" w:cs="Arial" w:eastAsia="Arial" w:hAnsi="Arial"/>
          <w:sz w:val="16"/>
          <w:szCs w:val="16"/>
          <w:color w:val="FF0000"/>
          <w:strike w:val="1"/>
        </w:rPr>
        <w:t>LIBOR</w:t>
      </w:r>
      <w:r>
        <w:rPr>
          <w:rFonts w:ascii="Arial" w:cs="Arial" w:eastAsia="Arial" w:hAnsi="Arial"/>
          <w:sz w:val="16"/>
          <w:szCs w:val="16"/>
          <w:u w:val="single" w:color="auto"/>
          <w:color w:val="0000FF"/>
        </w:rPr>
        <w:t>SOFR</w:t>
      </w:r>
      <w:r>
        <w:rPr>
          <w:rFonts w:ascii="Arial" w:cs="Arial" w:eastAsia="Arial" w:hAnsi="Arial"/>
          <w:sz w:val="16"/>
          <w:szCs w:val="16"/>
          <w:color w:val="FF0000"/>
        </w:rPr>
        <w:t xml:space="preserve"> </w:t>
      </w:r>
      <w:r>
        <w:rPr>
          <w:rFonts w:ascii="Arial" w:cs="Arial" w:eastAsia="Arial" w:hAnsi="Arial"/>
          <w:sz w:val="16"/>
          <w:szCs w:val="16"/>
          <w:color w:val="000000"/>
        </w:rPr>
        <w:t>Loan other than on the last day of</w:t>
      </w:r>
      <w:r>
        <w:rPr>
          <w:rFonts w:ascii="Arial" w:cs="Arial" w:eastAsia="Arial" w:hAnsi="Arial"/>
          <w:sz w:val="16"/>
          <w:szCs w:val="16"/>
          <w:color w:val="FF0000"/>
        </w:rPr>
        <w:t xml:space="preserve"> </w:t>
      </w:r>
      <w:r>
        <w:rPr>
          <w:rFonts w:ascii="Arial" w:cs="Arial" w:eastAsia="Arial" w:hAnsi="Arial"/>
          <w:sz w:val="16"/>
          <w:szCs w:val="16"/>
          <w:color w:val="FF0000"/>
          <w:strike w:val="1"/>
        </w:rPr>
        <w:t>an</w:t>
      </w:r>
      <w:r>
        <w:rPr>
          <w:rFonts w:ascii="Arial" w:cs="Arial" w:eastAsia="Arial" w:hAnsi="Arial"/>
          <w:sz w:val="16"/>
          <w:szCs w:val="16"/>
          <w:u w:val="single" w:color="auto"/>
          <w:color w:val="0000FF"/>
        </w:rPr>
        <w:t>the</w:t>
      </w:r>
      <w:r>
        <w:rPr>
          <w:rFonts w:ascii="Arial" w:cs="Arial" w:eastAsia="Arial" w:hAnsi="Arial"/>
          <w:sz w:val="16"/>
          <w:szCs w:val="16"/>
          <w:color w:val="FF0000"/>
        </w:rPr>
        <w:t xml:space="preserve"> </w:t>
      </w:r>
      <w:r>
        <w:rPr>
          <w:rFonts w:ascii="Arial" w:cs="Arial" w:eastAsia="Arial" w:hAnsi="Arial"/>
          <w:sz w:val="16"/>
          <w:szCs w:val="16"/>
          <w:color w:val="000000"/>
        </w:rPr>
        <w:t>Interest Period applicable thereto</w:t>
      </w:r>
      <w:r>
        <w:rPr>
          <w:rFonts w:ascii="Arial" w:cs="Arial" w:eastAsia="Arial" w:hAnsi="Arial"/>
          <w:sz w:val="16"/>
          <w:szCs w:val="16"/>
          <w:color w:val="FF0000"/>
        </w:rPr>
        <w:t xml:space="preserve"> </w:t>
      </w:r>
      <w:r>
        <w:rPr>
          <w:rFonts w:ascii="Arial" w:cs="Arial" w:eastAsia="Arial" w:hAnsi="Arial"/>
          <w:sz w:val="16"/>
          <w:szCs w:val="16"/>
          <w:color w:val="FF0000"/>
          <w:strike w:val="1"/>
        </w:rPr>
        <w:t>(</w:t>
      </w:r>
      <w:r>
        <w:rPr>
          <w:rFonts w:ascii="Arial" w:cs="Arial" w:eastAsia="Arial" w:hAnsi="Arial"/>
          <w:sz w:val="16"/>
          <w:szCs w:val="16"/>
          <w:color w:val="000000"/>
        </w:rPr>
        <w:t>whether voluntary, mandatory, automatic, by reason of</w:t>
      </w:r>
      <w:r>
        <w:rPr>
          <w:rFonts w:ascii="Arial" w:cs="Arial" w:eastAsia="Arial" w:hAnsi="Arial"/>
          <w:sz w:val="16"/>
          <w:szCs w:val="16"/>
          <w:color w:val="FF0000"/>
        </w:rPr>
        <w:t xml:space="preserve"> </w:t>
      </w:r>
      <w:r>
        <w:rPr>
          <w:rFonts w:ascii="Arial" w:cs="Arial" w:eastAsia="Arial" w:hAnsi="Arial"/>
          <w:sz w:val="16"/>
          <w:szCs w:val="16"/>
          <w:color w:val="000000"/>
        </w:rPr>
        <w:t xml:space="preserve">acceleration (including as a result of </w:t>
      </w:r>
      <w:r>
        <w:rPr>
          <w:rFonts w:ascii="Arial" w:cs="Arial" w:eastAsia="Arial" w:hAnsi="Arial"/>
          <w:sz w:val="16"/>
          <w:szCs w:val="16"/>
          <w:color w:val="FF0000"/>
          <w:strike w:val="1"/>
        </w:rPr>
        <w:t>a bankruptcy filing, or otherwise</w:t>
      </w:r>
      <w:r>
        <w:rPr>
          <w:rFonts w:ascii="Arial" w:cs="Arial" w:eastAsia="Arial" w:hAnsi="Arial"/>
          <w:sz w:val="16"/>
          <w:szCs w:val="16"/>
          <w:u w:val="single" w:color="auto"/>
          <w:color w:val="0000FF"/>
        </w:rPr>
        <w:t>an Event of Default</w:t>
      </w:r>
      <w:r>
        <w:rPr>
          <w:rFonts w:ascii="Arial" w:cs="Arial" w:eastAsia="Arial" w:hAnsi="Arial"/>
          <w:sz w:val="16"/>
          <w:szCs w:val="16"/>
          <w:color w:val="000000"/>
        </w:rPr>
        <w:t xml:space="preserve">), (b) the conversion of any </w:t>
      </w:r>
      <w:r>
        <w:rPr>
          <w:rFonts w:ascii="Arial" w:cs="Arial" w:eastAsia="Arial" w:hAnsi="Arial"/>
          <w:sz w:val="16"/>
          <w:szCs w:val="16"/>
          <w:color w:val="FF0000"/>
          <w:strike w:val="1"/>
        </w:rPr>
        <w:t>LIBOR</w:t>
      </w:r>
      <w:r>
        <w:rPr>
          <w:rFonts w:ascii="Arial" w:cs="Arial" w:eastAsia="Arial" w:hAnsi="Arial"/>
          <w:sz w:val="16"/>
          <w:szCs w:val="16"/>
          <w:u w:val="single" w:color="auto"/>
          <w:color w:val="0000FF"/>
        </w:rPr>
        <w:t>SOFR</w:t>
      </w:r>
      <w:r>
        <w:rPr>
          <w:rFonts w:ascii="Arial" w:cs="Arial" w:eastAsia="Arial" w:hAnsi="Arial"/>
          <w:sz w:val="16"/>
          <w:szCs w:val="16"/>
          <w:color w:val="000000"/>
        </w:rPr>
        <w:t xml:space="preserve"> Loan other than on the last day of the Interest Period applicable thereto </w:t>
      </w:r>
      <w:r>
        <w:rPr>
          <w:rFonts w:ascii="Arial" w:cs="Arial" w:eastAsia="Arial" w:hAnsi="Arial"/>
          <w:sz w:val="16"/>
          <w:szCs w:val="16"/>
          <w:u w:val="single" w:color="auto"/>
          <w:color w:val="0000FF"/>
        </w:rPr>
        <w:t>(including as a result of an Event of Default),</w:t>
      </w:r>
      <w:r>
        <w:rPr>
          <w:rFonts w:ascii="Arial" w:cs="Arial" w:eastAsia="Arial" w:hAnsi="Arial"/>
          <w:sz w:val="16"/>
          <w:szCs w:val="16"/>
          <w:color w:val="000000"/>
        </w:rPr>
        <w:t xml:space="preserve"> (c) the failure to borrow, convert, continue or prepay any </w:t>
      </w:r>
      <w:r>
        <w:rPr>
          <w:rFonts w:ascii="Arial" w:cs="Arial" w:eastAsia="Arial" w:hAnsi="Arial"/>
          <w:sz w:val="16"/>
          <w:szCs w:val="16"/>
          <w:color w:val="FF0000"/>
          <w:strike w:val="1"/>
        </w:rPr>
        <w:t>LIBOR</w:t>
      </w:r>
      <w:r>
        <w:rPr>
          <w:rFonts w:ascii="Arial" w:cs="Arial" w:eastAsia="Arial" w:hAnsi="Arial"/>
          <w:sz w:val="16"/>
          <w:szCs w:val="16"/>
          <w:u w:val="single" w:color="auto"/>
          <w:color w:val="0000FF"/>
        </w:rPr>
        <w:t>SOFR</w:t>
      </w:r>
      <w:r>
        <w:rPr>
          <w:rFonts w:ascii="Arial" w:cs="Arial" w:eastAsia="Arial" w:hAnsi="Arial"/>
          <w:sz w:val="16"/>
          <w:szCs w:val="16"/>
          <w:color w:val="FF0000"/>
        </w:rPr>
        <w:t xml:space="preserve"> </w:t>
      </w:r>
      <w:r>
        <w:rPr>
          <w:rFonts w:ascii="Arial" w:cs="Arial" w:eastAsia="Arial" w:hAnsi="Arial"/>
          <w:sz w:val="16"/>
          <w:szCs w:val="16"/>
          <w:color w:val="000000"/>
        </w:rPr>
        <w:t>Loan on the date specified in any notice delivered pursuant hereto (regardless of whether such notice may be revoked under</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 2.7(a)</w:t>
      </w:r>
      <w:r>
        <w:rPr>
          <w:rFonts w:ascii="Arial" w:cs="Arial" w:eastAsia="Arial" w:hAnsi="Arial"/>
          <w:sz w:val="16"/>
          <w:szCs w:val="16"/>
          <w:color w:val="FF0000"/>
        </w:rPr>
        <w:t xml:space="preserve"> </w:t>
      </w:r>
      <w:r>
        <w:rPr>
          <w:rFonts w:ascii="Arial" w:cs="Arial" w:eastAsia="Arial" w:hAnsi="Arial"/>
          <w:sz w:val="16"/>
          <w:szCs w:val="16"/>
          <w:color w:val="000000"/>
        </w:rPr>
        <w:t xml:space="preserve">and is revoked in accordance therewith), or (d) the assignment of any </w:t>
      </w:r>
      <w:r>
        <w:rPr>
          <w:rFonts w:ascii="Arial" w:cs="Arial" w:eastAsia="Arial" w:hAnsi="Arial"/>
          <w:sz w:val="16"/>
          <w:szCs w:val="16"/>
          <w:color w:val="FF0000"/>
          <w:strike w:val="1"/>
        </w:rPr>
        <w:t>LIBOR</w:t>
      </w:r>
      <w:r>
        <w:rPr>
          <w:rFonts w:ascii="Arial" w:cs="Arial" w:eastAsia="Arial" w:hAnsi="Arial"/>
          <w:sz w:val="16"/>
          <w:szCs w:val="16"/>
          <w:u w:val="single" w:color="auto"/>
          <w:color w:val="0000FF"/>
        </w:rPr>
        <w:t>SOFR</w:t>
      </w:r>
      <w:r>
        <w:rPr>
          <w:rFonts w:ascii="Arial" w:cs="Arial" w:eastAsia="Arial" w:hAnsi="Arial"/>
          <w:sz w:val="16"/>
          <w:szCs w:val="16"/>
          <w:color w:val="000000"/>
        </w:rPr>
        <w:t xml:space="preserve"> Loan other than on the last day of the Interest Period </w:t>
      </w:r>
      <w:r>
        <w:rPr>
          <w:rFonts w:ascii="Arial" w:cs="Arial" w:eastAsia="Arial" w:hAnsi="Arial"/>
          <w:sz w:val="16"/>
          <w:szCs w:val="16"/>
          <w:u w:val="single" w:color="auto"/>
          <w:color w:val="0000FF"/>
        </w:rPr>
        <w:t>applicable thereto</w:t>
      </w:r>
      <w:r>
        <w:rPr>
          <w:rFonts w:ascii="Arial" w:cs="Arial" w:eastAsia="Arial" w:hAnsi="Arial"/>
          <w:sz w:val="16"/>
          <w:szCs w:val="16"/>
          <w:color w:val="000000"/>
        </w:rPr>
        <w:t xml:space="preserve"> or maturity date applicable thereto as a result of a request by the Borrower pursuant to </w:t>
      </w:r>
      <w:r>
        <w:rPr>
          <w:rFonts w:ascii="Arial" w:cs="Arial" w:eastAsia="Arial" w:hAnsi="Arial"/>
          <w:sz w:val="16"/>
          <w:szCs w:val="16"/>
          <w:u w:val="single" w:color="auto"/>
          <w:color w:val="000000"/>
        </w:rPr>
        <w:t>Section 3.7(b)</w:t>
      </w:r>
      <w:r>
        <w:rPr>
          <w:rFonts w:ascii="Arial" w:cs="Arial" w:eastAsia="Arial" w:hAnsi="Arial"/>
          <w:sz w:val="16"/>
          <w:szCs w:val="16"/>
          <w:color w:val="000000"/>
        </w:rPr>
        <w:t xml:space="preserve">, then, in any such event, the Borrower shall compensate each </w:t>
      </w:r>
      <w:r>
        <w:rPr>
          <w:rFonts w:ascii="Arial" w:cs="Arial" w:eastAsia="Arial" w:hAnsi="Arial"/>
          <w:sz w:val="16"/>
          <w:szCs w:val="16"/>
          <w:color w:val="FF0000"/>
          <w:strike w:val="1"/>
        </w:rPr>
        <w:t>applicable</w:t>
      </w:r>
      <w:r>
        <w:rPr>
          <w:rFonts w:ascii="Arial" w:cs="Arial" w:eastAsia="Arial" w:hAnsi="Arial"/>
          <w:sz w:val="16"/>
          <w:szCs w:val="16"/>
          <w:color w:val="000000"/>
        </w:rPr>
        <w:t xml:space="preserve"> Lender for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any</w:t>
      </w:r>
      <w:r>
        <w:rPr>
          <w:rFonts w:ascii="Arial" w:cs="Arial" w:eastAsia="Arial" w:hAnsi="Arial"/>
          <w:sz w:val="16"/>
          <w:szCs w:val="16"/>
          <w:color w:val="000000"/>
        </w:rPr>
        <w:t xml:space="preserve"> loss, cost and expense attributable to such event</w:t>
      </w:r>
      <w:r>
        <w:rPr>
          <w:rFonts w:ascii="Arial" w:cs="Arial" w:eastAsia="Arial" w:hAnsi="Arial"/>
          <w:sz w:val="16"/>
          <w:szCs w:val="16"/>
          <w:color w:val="FF0000"/>
          <w:strike w:val="1"/>
        </w:rPr>
        <w:t>. In the case of a LIBOR Loan, such</w:t>
      </w:r>
      <w:r>
        <w:rPr>
          <w:rFonts w:ascii="Arial" w:cs="Arial" w:eastAsia="Arial" w:hAnsi="Arial"/>
          <w:sz w:val="16"/>
          <w:szCs w:val="16"/>
          <w:u w:val="single" w:color="auto"/>
          <w:color w:val="0000FF"/>
        </w:rPr>
        <w:t>, including any</w:t>
      </w:r>
      <w:r>
        <w:rPr>
          <w:rFonts w:ascii="Arial" w:cs="Arial" w:eastAsia="Arial" w:hAnsi="Arial"/>
          <w:sz w:val="16"/>
          <w:szCs w:val="16"/>
          <w:color w:val="000000"/>
        </w:rPr>
        <w:t xml:space="preserve"> loss, cost or expense </w:t>
      </w:r>
      <w:r>
        <w:rPr>
          <w:rFonts w:ascii="Arial" w:cs="Arial" w:eastAsia="Arial" w:hAnsi="Arial"/>
          <w:sz w:val="16"/>
          <w:szCs w:val="16"/>
          <w:color w:val="FF0000"/>
          <w:strike w:val="1"/>
        </w:rPr>
        <w:t>to any Lender shall be deemed to include an amount determined by such Lender to be the excess, if any, of (i) the amount of interest that would</w:t>
      </w:r>
      <w:r>
        <w:rPr>
          <w:rFonts w:ascii="Arial" w:cs="Arial" w:eastAsia="Arial" w:hAnsi="Arial"/>
          <w:sz w:val="16"/>
          <w:szCs w:val="16"/>
          <w:color w:val="000000"/>
        </w:rPr>
        <w:t xml:space="preserve"> </w:t>
      </w:r>
      <w:r>
        <w:rPr>
          <w:rFonts w:ascii="Arial" w:cs="Arial" w:eastAsia="Arial" w:hAnsi="Arial"/>
          <w:sz w:val="16"/>
          <w:szCs w:val="16"/>
          <w:color w:val="FF0000"/>
          <w:strike w:val="1"/>
        </w:rPr>
        <w:t>have accrued on the principal amount of such Loan had such event not occurred, at the Adjusted LIBOR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were it to bid, at the commencement of such period, for Dollar deposits of a comparable amount and period from other banks in the eurocurrency market</w:t>
      </w:r>
      <w:r>
        <w:rPr>
          <w:rFonts w:ascii="Arial" w:cs="Arial" w:eastAsia="Arial" w:hAnsi="Arial"/>
          <w:sz w:val="16"/>
          <w:szCs w:val="16"/>
          <w:u w:val="single" w:color="auto"/>
          <w:color w:val="0000FF"/>
          <w:strike w:val="1"/>
        </w:rPr>
        <w:t>arising from the liquidation or redeployment of funds</w:t>
      </w:r>
      <w:r>
        <w:rPr>
          <w:rFonts w:ascii="Arial" w:cs="Arial" w:eastAsia="Arial" w:hAnsi="Arial"/>
          <w:sz w:val="16"/>
          <w:szCs w:val="16"/>
          <w:color w:val="000000"/>
          <w:strike w:val="1"/>
        </w:rPr>
        <w:t>. A certificate of any Lender setting</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-2081530</wp:posOffset>
            </wp:positionV>
            <wp:extent cx="120015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-1944370</wp:posOffset>
            </wp:positionV>
            <wp:extent cx="28321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-1944370</wp:posOffset>
            </wp:positionV>
            <wp:extent cx="13716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-1807210</wp:posOffset>
            </wp:positionV>
            <wp:extent cx="90868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-1807210</wp:posOffset>
            </wp:positionV>
            <wp:extent cx="29146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-1670050</wp:posOffset>
            </wp:positionV>
            <wp:extent cx="217741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-1532890</wp:posOffset>
            </wp:positionV>
            <wp:extent cx="28321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-1395730</wp:posOffset>
            </wp:positionV>
            <wp:extent cx="28257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-1395730</wp:posOffset>
            </wp:positionV>
            <wp:extent cx="81470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-1121410</wp:posOffset>
            </wp:positionV>
            <wp:extent cx="17145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-1121410</wp:posOffset>
            </wp:positionV>
            <wp:extent cx="67691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7691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-298450</wp:posOffset>
            </wp:positionV>
            <wp:extent cx="247713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56"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left="1700" w:hanging="594"/>
        <w:spacing w:after="0"/>
        <w:tabs>
          <w:tab w:leader="none" w:pos="170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3.6</w:t>
      </w:r>
      <w:r>
        <w:rPr>
          <w:rFonts w:ascii="Arial" w:cs="Arial" w:eastAsia="Arial" w:hAnsi="Arial"/>
          <w:sz w:val="16"/>
          <w:szCs w:val="16"/>
          <w:color w:val="auto"/>
        </w:rPr>
        <w:t>, the term “</w:t>
      </w:r>
      <w:r>
        <w:rPr>
          <w:rFonts w:ascii="Arial" w:cs="Arial" w:eastAsia="Arial" w:hAnsi="Arial"/>
          <w:sz w:val="16"/>
          <w:szCs w:val="16"/>
          <w:u w:val="single" w:color="auto"/>
          <w:color w:val="auto"/>
        </w:rPr>
        <w:t>Lender</w:t>
      </w:r>
      <w:r>
        <w:rPr>
          <w:rFonts w:ascii="Arial" w:cs="Arial" w:eastAsia="Arial" w:hAnsi="Arial"/>
          <w:sz w:val="16"/>
          <w:szCs w:val="16"/>
          <w:color w:val="auto"/>
        </w:rPr>
        <w:t>” includes the L/C Issuer and the term “applicable law” includes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FATCA.</w:t>
      </w:r>
    </w:p>
    <w:p>
      <w:pPr>
        <w:spacing w:after="0" w:line="211" w:lineRule="exact"/>
        <w:rPr>
          <w:sz w:val="20"/>
          <w:szCs w:val="20"/>
          <w:color w:val="auto"/>
        </w:rPr>
      </w:pPr>
    </w:p>
    <w:p>
      <w:pPr>
        <w:jc w:val="both"/>
        <w:ind w:firstLine="1106"/>
        <w:spacing w:after="0" w:line="254" w:lineRule="auto"/>
        <w:tabs>
          <w:tab w:leader="none" w:pos="1735"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3" w:name="page124"/>
    <w:bookmarkEnd w:id="123"/>
    <w:p>
      <w:pPr>
        <w:ind w:firstLine="1106"/>
        <w:spacing w:after="0" w:line="308" w:lineRule="auto"/>
        <w:tabs>
          <w:tab w:leader="none" w:pos="1711"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Payment of Other Taxes by the Loan Parties</w:t>
      </w:r>
      <w:r>
        <w:rPr>
          <w:rFonts w:ascii="Arial" w:cs="Arial" w:eastAsia="Arial" w:hAnsi="Arial"/>
          <w:sz w:val="17"/>
          <w:szCs w:val="17"/>
          <w:color w:val="auto"/>
        </w:rPr>
        <w:t>. Each of the Loan Parties shall timely pay to the relevant Governmental Authority in accordance with applicable law, or at the option of the Administrative Agent timely reimburse it for the payment of, any Other Taxes.</w:t>
      </w:r>
    </w:p>
    <w:p>
      <w:pPr>
        <w:spacing w:after="0" w:line="146" w:lineRule="exact"/>
        <w:rPr>
          <w:rFonts w:ascii="Arial" w:cs="Arial" w:eastAsia="Arial" w:hAnsi="Arial"/>
          <w:sz w:val="17"/>
          <w:szCs w:val="17"/>
          <w:color w:val="auto"/>
        </w:rPr>
      </w:pPr>
    </w:p>
    <w:p>
      <w:pPr>
        <w:jc w:val="both"/>
        <w:ind w:firstLine="1106"/>
        <w:spacing w:after="0" w:line="253" w:lineRule="auto"/>
        <w:tabs>
          <w:tab w:leader="none" w:pos="1694"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Indemnification by the Loan Parties</w:t>
      </w:r>
      <w:r>
        <w:rPr>
          <w:rFonts w:ascii="Arial" w:cs="Arial" w:eastAsia="Arial" w:hAnsi="Arial"/>
          <w:sz w:val="18"/>
          <w:szCs w:val="18"/>
          <w:color w:val="auto"/>
        </w:rPr>
        <w:t xml:space="preserve">. Each of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Each of the Loan Parties shall also, and does hereby, jointly and severally indemnify the Administrative Agent, and shall make payment in respect thereof within 10 days after demand therefor, for any amount which a Lender or the L/C Issuer for any reason fails to pay indefeasibly to the Administrative Agent as required pursuant to </w:t>
      </w:r>
      <w:r>
        <w:rPr>
          <w:rFonts w:ascii="Arial" w:cs="Arial" w:eastAsia="Arial" w:hAnsi="Arial"/>
          <w:sz w:val="18"/>
          <w:szCs w:val="18"/>
          <w:u w:val="single" w:color="auto"/>
          <w:color w:val="auto"/>
        </w:rPr>
        <w:t>Section 3.6(e)(ii)</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firstLine="1106"/>
        <w:spacing w:after="0" w:line="269" w:lineRule="auto"/>
        <w:tabs>
          <w:tab w:leader="none" w:pos="1779"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xml:space="preserv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Arial" w:cs="Arial" w:eastAsia="Arial" w:hAnsi="Arial"/>
          <w:sz w:val="17"/>
          <w:szCs w:val="17"/>
          <w:u w:val="single" w:color="auto"/>
          <w:color w:val="auto"/>
        </w:rPr>
        <w:t>Section 10.4(d)</w:t>
      </w:r>
      <w:r>
        <w:rPr>
          <w:rFonts w:ascii="Arial" w:cs="Arial" w:eastAsia="Arial" w:hAnsi="Arial"/>
          <w:sz w:val="17"/>
          <w:szCs w:val="17"/>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85" w:lineRule="exact"/>
        <w:rPr>
          <w:rFonts w:ascii="Arial" w:cs="Arial" w:eastAsia="Arial" w:hAnsi="Arial"/>
          <w:sz w:val="17"/>
          <w:szCs w:val="17"/>
          <w:color w:val="auto"/>
        </w:rPr>
      </w:pPr>
    </w:p>
    <w:p>
      <w:pPr>
        <w:jc w:val="both"/>
        <w:ind w:firstLine="1106"/>
        <w:spacing w:after="0" w:line="259" w:lineRule="auto"/>
        <w:tabs>
          <w:tab w:leader="none" w:pos="1651"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Taxes by any Loan Party to a Governmental Authority pursuant to this </w:t>
      </w:r>
      <w:r>
        <w:rPr>
          <w:rFonts w:ascii="Arial" w:cs="Arial" w:eastAsia="Arial" w:hAnsi="Arial"/>
          <w:sz w:val="18"/>
          <w:szCs w:val="18"/>
          <w:u w:val="single" w:color="auto"/>
          <w:color w:val="auto"/>
        </w:rPr>
        <w:t>Section 3.6</w:t>
      </w:r>
      <w:r>
        <w:rPr>
          <w:rFonts w:ascii="Arial" w:cs="Arial" w:eastAsia="Arial" w:hAnsi="Arial"/>
          <w:sz w:val="18"/>
          <w:szCs w:val="18"/>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6" w:lineRule="exact"/>
        <w:rPr>
          <w:rFonts w:ascii="Arial" w:cs="Arial" w:eastAsia="Arial" w:hAnsi="Arial"/>
          <w:sz w:val="18"/>
          <w:szCs w:val="18"/>
          <w:color w:val="auto"/>
        </w:rPr>
      </w:pPr>
    </w:p>
    <w:p>
      <w:pPr>
        <w:jc w:val="both"/>
        <w:ind w:firstLine="1106"/>
        <w:spacing w:after="0" w:line="269" w:lineRule="auto"/>
        <w:tabs>
          <w:tab w:leader="none" w:pos="1721"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Status of Lenders</w:t>
      </w:r>
      <w:r>
        <w:rPr>
          <w:rFonts w:ascii="Arial" w:cs="Arial" w:eastAsia="Arial" w:hAnsi="Arial"/>
          <w:sz w:val="17"/>
          <w:szCs w:val="17"/>
          <w:color w:val="auto"/>
        </w:rPr>
        <w:t xml:space="preserve">.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Section 3.6(g)(ii)(A)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4" w:name="page125"/>
    <w:bookmarkEnd w:id="124"/>
    <w:p>
      <w:pPr>
        <w:ind w:left="2180" w:hanging="588"/>
        <w:spacing w:after="0"/>
        <w:tabs>
          <w:tab w:leader="none" w:pos="21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225" w:lineRule="exact"/>
        <w:rPr>
          <w:rFonts w:ascii="Arial" w:cs="Arial" w:eastAsia="Arial" w:hAnsi="Arial"/>
          <w:sz w:val="18"/>
          <w:szCs w:val="18"/>
          <w:color w:val="auto"/>
        </w:rPr>
      </w:pPr>
    </w:p>
    <w:p>
      <w:pPr>
        <w:jc w:val="both"/>
        <w:ind w:firstLine="2240"/>
        <w:spacing w:after="0" w:line="311" w:lineRule="auto"/>
        <w:tabs>
          <w:tab w:leader="none" w:pos="2847"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any Lender that is a U.S. Person shall deliver to the Borrower and the Administrative Agent on or prior to the date on which such Lender becomes a Lender under this Credit Agreement (and from time to time thereafter upon the reasonable request of the Borrower or the Administrative Agent), executed copies of IRS Form W-9 certifying that such Lender is exempt from U.S. federal backup withholding tax;</w:t>
      </w:r>
    </w:p>
    <w:p>
      <w:pPr>
        <w:spacing w:after="0" w:line="148" w:lineRule="exact"/>
        <w:rPr>
          <w:rFonts w:ascii="Arial" w:cs="Arial" w:eastAsia="Arial" w:hAnsi="Arial"/>
          <w:sz w:val="16"/>
          <w:szCs w:val="16"/>
          <w:color w:val="auto"/>
        </w:rPr>
      </w:pPr>
    </w:p>
    <w:p>
      <w:pPr>
        <w:jc w:val="both"/>
        <w:ind w:firstLine="2240"/>
        <w:spacing w:after="0" w:line="259" w:lineRule="auto"/>
        <w:tabs>
          <w:tab w:leader="none" w:pos="282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Credit Agreement (and from time to time thereafter upon the reasonable request of the Borrower or the Administrative Agent), whichever of the following is applicable:</w:t>
      </w:r>
    </w:p>
    <w:p>
      <w:pPr>
        <w:spacing w:after="0" w:line="186" w:lineRule="exact"/>
        <w:rPr>
          <w:rFonts w:ascii="Arial" w:cs="Arial" w:eastAsia="Arial" w:hAnsi="Arial"/>
          <w:sz w:val="18"/>
          <w:szCs w:val="18"/>
          <w:color w:val="auto"/>
        </w:rPr>
      </w:pPr>
    </w:p>
    <w:p>
      <w:pPr>
        <w:jc w:val="both"/>
        <w:ind w:firstLine="2726"/>
        <w:spacing w:after="0" w:line="275" w:lineRule="auto"/>
        <w:tabs>
          <w:tab w:leader="none" w:pos="3343" w:val="left"/>
        </w:tabs>
        <w:numPr>
          <w:ilvl w:val="2"/>
          <w:numId w:val="116"/>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an income tax treaty to which the United States is a party (A) with respect to payments of interest under any Loan Document, executed copies of IRS Form W-8BEN or IRS Form W-8BEN-E, as applicable, establishing an exemption from, or reduction of, U.S. federal withholding Tax pursuant to the “interest” article of such tax treaty and (B)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76" w:lineRule="exact"/>
        <w:rPr>
          <w:rFonts w:ascii="Arial" w:cs="Arial" w:eastAsia="Arial" w:hAnsi="Arial"/>
          <w:sz w:val="17"/>
          <w:szCs w:val="17"/>
          <w:color w:val="auto"/>
        </w:rPr>
      </w:pPr>
    </w:p>
    <w:p>
      <w:pPr>
        <w:ind w:left="3300" w:hanging="574"/>
        <w:spacing w:after="0"/>
        <w:tabs>
          <w:tab w:leader="none" w:pos="330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225" w:lineRule="exact"/>
        <w:rPr>
          <w:rFonts w:ascii="Arial" w:cs="Arial" w:eastAsia="Arial" w:hAnsi="Arial"/>
          <w:sz w:val="18"/>
          <w:szCs w:val="18"/>
          <w:color w:val="auto"/>
        </w:rPr>
      </w:pPr>
    </w:p>
    <w:p>
      <w:pPr>
        <w:jc w:val="both"/>
        <w:ind w:firstLine="2726"/>
        <w:spacing w:after="0" w:line="257" w:lineRule="auto"/>
        <w:tabs>
          <w:tab w:leader="none" w:pos="3594" w:val="left"/>
        </w:tabs>
        <w:numPr>
          <w:ilvl w:val="2"/>
          <w:numId w:val="116"/>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Code, (A) a certificate substantially in the form of </w:t>
      </w:r>
      <w:r>
        <w:rPr>
          <w:rFonts w:ascii="Arial" w:cs="Arial" w:eastAsia="Arial" w:hAnsi="Arial"/>
          <w:sz w:val="18"/>
          <w:szCs w:val="18"/>
          <w:u w:val="single" w:color="auto"/>
          <w:color w:val="auto"/>
        </w:rPr>
        <w:t>Exhibit G-1</w:t>
      </w:r>
      <w:r>
        <w:rPr>
          <w:rFonts w:ascii="Arial" w:cs="Arial" w:eastAsia="Arial" w:hAnsi="Arial"/>
          <w:sz w:val="18"/>
          <w:szCs w:val="18"/>
          <w:color w:val="auto"/>
        </w:rPr>
        <w:t xml:space="preserve"> to the effect that such Foreign Lender is not a “</w:t>
      </w:r>
      <w:r>
        <w:rPr>
          <w:rFonts w:ascii="Arial" w:cs="Arial" w:eastAsia="Arial" w:hAnsi="Arial"/>
          <w:sz w:val="18"/>
          <w:szCs w:val="18"/>
          <w:u w:val="single" w:color="auto"/>
          <w:color w:val="auto"/>
        </w:rPr>
        <w:t>bank</w:t>
      </w:r>
      <w:r>
        <w:rPr>
          <w:rFonts w:ascii="Arial" w:cs="Arial" w:eastAsia="Arial" w:hAnsi="Arial"/>
          <w:sz w:val="18"/>
          <w:szCs w:val="18"/>
          <w:color w:val="auto"/>
        </w:rPr>
        <w:t>” within the meaning of Section 881(c)(3)(A) of the Code, a “10 percent shareholder” of the Borrower within the meaning of Section 881(c)(3)(B) of the Code, or a “</w:t>
      </w:r>
      <w:r>
        <w:rPr>
          <w:rFonts w:ascii="Arial" w:cs="Arial" w:eastAsia="Arial" w:hAnsi="Arial"/>
          <w:sz w:val="18"/>
          <w:szCs w:val="18"/>
          <w:u w:val="single" w:color="auto"/>
          <w:color w:val="auto"/>
        </w:rPr>
        <w:t>controlled foreign corporation</w:t>
      </w:r>
      <w:r>
        <w:rPr>
          <w:rFonts w:ascii="Arial" w:cs="Arial" w:eastAsia="Arial" w:hAnsi="Arial"/>
          <w:sz w:val="18"/>
          <w:szCs w:val="18"/>
          <w:color w:val="auto"/>
        </w:rPr>
        <w:t>”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(B) executed copies of IRS Form W-8BEN or IRS Form W-8BEN-E, as applicable; or</w:t>
      </w:r>
    </w:p>
    <w:p>
      <w:pPr>
        <w:spacing w:after="0" w:line="187" w:lineRule="exact"/>
        <w:rPr>
          <w:rFonts w:ascii="Arial" w:cs="Arial" w:eastAsia="Arial" w:hAnsi="Arial"/>
          <w:sz w:val="18"/>
          <w:szCs w:val="18"/>
          <w:color w:val="auto"/>
        </w:rPr>
      </w:pPr>
    </w:p>
    <w:p>
      <w:pPr>
        <w:jc w:val="both"/>
        <w:ind w:firstLine="2726"/>
        <w:spacing w:after="0" w:line="296" w:lineRule="auto"/>
        <w:tabs>
          <w:tab w:leader="none" w:pos="3589" w:val="left"/>
        </w:tabs>
        <w:numPr>
          <w:ilvl w:val="2"/>
          <w:numId w:val="116"/>
        </w:numPr>
        <w:rPr>
          <w:rFonts w:ascii="Arial" w:cs="Arial" w:eastAsia="Arial" w:hAnsi="Arial"/>
          <w:sz w:val="16"/>
          <w:szCs w:val="16"/>
          <w:color w:val="auto"/>
        </w:rPr>
      </w:pPr>
      <w:r>
        <w:rPr>
          <w:rFonts w:ascii="Arial" w:cs="Arial" w:eastAsia="Arial" w:hAnsi="Arial"/>
          <w:sz w:val="16"/>
          <w:szCs w:val="16"/>
          <w:color w:val="auto"/>
        </w:rPr>
        <w:t xml:space="preserve">to the extent a Foreign Lender is not the beneficial owner, executed copies of IRS Form W-8IMY, accompanied by IRS Form W-8ECI, IRS Form W-8BEN or IRS Form W-8BEN-E, as applicable, a U.S. Tax Compliance Certificate substantially in the form of </w:t>
      </w:r>
      <w:r>
        <w:rPr>
          <w:rFonts w:ascii="Arial" w:cs="Arial" w:eastAsia="Arial" w:hAnsi="Arial"/>
          <w:sz w:val="16"/>
          <w:szCs w:val="16"/>
          <w:u w:val="single" w:color="auto"/>
          <w:color w:val="auto"/>
        </w:rPr>
        <w:t>Exhibit G-2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G-3</w:t>
      </w:r>
      <w:r>
        <w:rPr>
          <w:rFonts w:ascii="Arial" w:cs="Arial" w:eastAsia="Arial" w:hAnsi="Arial"/>
          <w:sz w:val="16"/>
          <w:szCs w:val="16"/>
          <w:color w:val="auto"/>
        </w:rPr>
        <w:t xml:space="preserve">, IRS Form W-9, and/or other certification documents from each beneficial owner,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6"/>
          <w:szCs w:val="16"/>
          <w:u w:val="single" w:color="auto"/>
          <w:color w:val="auto"/>
        </w:rPr>
        <w:t>Exhibit G-4</w:t>
      </w:r>
      <w:r>
        <w:rPr>
          <w:rFonts w:ascii="Arial" w:cs="Arial" w:eastAsia="Arial" w:hAnsi="Arial"/>
          <w:sz w:val="16"/>
          <w:szCs w:val="16"/>
          <w:color w:val="auto"/>
        </w:rPr>
        <w:t xml:space="preserve"> on behalf of each such direct and indirect partner;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5" w:name="page126"/>
    <w:bookmarkEnd w:id="125"/>
    <w:p>
      <w:pPr>
        <w:jc w:val="both"/>
        <w:ind w:firstLine="2240"/>
        <w:spacing w:after="0" w:line="255" w:lineRule="auto"/>
        <w:tabs>
          <w:tab w:leader="none" w:pos="282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Credit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92" w:lineRule="exact"/>
        <w:rPr>
          <w:rFonts w:ascii="Arial" w:cs="Arial" w:eastAsia="Arial" w:hAnsi="Arial"/>
          <w:sz w:val="18"/>
          <w:szCs w:val="18"/>
          <w:color w:val="auto"/>
        </w:rPr>
      </w:pPr>
    </w:p>
    <w:p>
      <w:pPr>
        <w:jc w:val="both"/>
        <w:ind w:firstLine="2240"/>
        <w:spacing w:after="0" w:line="271" w:lineRule="auto"/>
        <w:tabs>
          <w:tab w:leader="none" w:pos="2804"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Credit Agreement.</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0" w:lineRule="exact"/>
        <w:rPr>
          <w:sz w:val="20"/>
          <w:szCs w:val="20"/>
          <w:color w:val="auto"/>
        </w:rPr>
      </w:pPr>
    </w:p>
    <w:p>
      <w:pPr>
        <w:jc w:val="both"/>
        <w:ind w:firstLine="1106"/>
        <w:spacing w:after="0" w:line="269" w:lineRule="auto"/>
        <w:tabs>
          <w:tab w:leader="none" w:pos="1694"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(including by the payment of additional amounts pursuant to this </w:t>
      </w:r>
      <w:r>
        <w:rPr>
          <w:rFonts w:ascii="Arial" w:cs="Arial" w:eastAsia="Arial" w:hAnsi="Arial"/>
          <w:sz w:val="17"/>
          <w:szCs w:val="17"/>
          <w:u w:val="single" w:color="auto"/>
          <w:color w:val="auto"/>
        </w:rPr>
        <w:t>Section 3.6</w:t>
      </w:r>
      <w:r>
        <w:rPr>
          <w:rFonts w:ascii="Arial" w:cs="Arial" w:eastAsia="Arial" w:hAnsi="Arial"/>
          <w:sz w:val="17"/>
          <w:szCs w:val="17"/>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6" w:name="page127"/>
    <w:bookmarkEnd w:id="126"/>
    <w:p>
      <w:pPr>
        <w:ind w:right="20" w:firstLine="1106"/>
        <w:spacing w:after="0" w:line="277" w:lineRule="auto"/>
        <w:tabs>
          <w:tab w:leader="none" w:pos="1673"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shall survive the resignation or replacement of the Administrative Agent or any assignment of rights by, or the replacement of, a Lender and the Termination Date.</w:t>
      </w:r>
    </w:p>
    <w:p>
      <w:pPr>
        <w:spacing w:after="0" w:line="170" w:lineRule="exact"/>
        <w:rPr>
          <w:rFonts w:ascii="Arial" w:cs="Arial" w:eastAsia="Arial" w:hAnsi="Arial"/>
          <w:sz w:val="18"/>
          <w:szCs w:val="18"/>
          <w:color w:val="auto"/>
        </w:rPr>
      </w:pPr>
    </w:p>
    <w:p>
      <w:pPr>
        <w:ind w:firstLine="1106"/>
        <w:spacing w:after="0" w:line="308" w:lineRule="auto"/>
        <w:tabs>
          <w:tab w:leader="none" w:pos="1727"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Nothing contained in this Section shall require any Credit Party or any other indemnified party to make available any of its Tax returns (or any other information that it deems to be confidential or proprietary) to the indemnifying party or any other Person.</w:t>
      </w:r>
    </w:p>
    <w:p>
      <w:pPr>
        <w:spacing w:after="0" w:line="146"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225" w:lineRule="exact"/>
        <w:rPr>
          <w:sz w:val="20"/>
          <w:szCs w:val="20"/>
          <w:color w:val="auto"/>
        </w:rPr>
      </w:pPr>
    </w:p>
    <w:p>
      <w:pPr>
        <w:jc w:val="both"/>
        <w:ind w:firstLine="1106"/>
        <w:spacing w:after="0" w:line="291" w:lineRule="auto"/>
        <w:tabs>
          <w:tab w:leader="none" w:pos="1671"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or requires the Borrower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then such Lender shall (at the request of the Borrower) use reasonable efforts to designate a different Applicable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3.6</w:t>
      </w:r>
      <w:r>
        <w:rPr>
          <w:rFonts w:ascii="Arial" w:cs="Arial" w:eastAsia="Arial" w:hAnsi="Arial"/>
          <w:sz w:val="16"/>
          <w:szCs w:val="16"/>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66" w:lineRule="exact"/>
        <w:rPr>
          <w:rFonts w:ascii="Arial" w:cs="Arial" w:eastAsia="Arial" w:hAnsi="Arial"/>
          <w:sz w:val="16"/>
          <w:szCs w:val="16"/>
          <w:color w:val="auto"/>
        </w:rPr>
      </w:pPr>
    </w:p>
    <w:p>
      <w:pPr>
        <w:jc w:val="both"/>
        <w:ind w:firstLine="1106"/>
        <w:spacing w:after="0" w:line="254" w:lineRule="auto"/>
        <w:tabs>
          <w:tab w:leader="none" w:pos="187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and, in each case, such Lender has declined or is unable to designate a different Applicable Lending Office in accordance with </w:t>
      </w:r>
      <w:r>
        <w:rPr>
          <w:rFonts w:ascii="Arial" w:cs="Arial" w:eastAsia="Arial" w:hAnsi="Arial"/>
          <w:sz w:val="18"/>
          <w:szCs w:val="18"/>
          <w:u w:val="single" w:color="auto"/>
          <w:color w:val="auto"/>
        </w:rPr>
        <w:t>Section 3.7(a)</w:t>
      </w:r>
      <w:r>
        <w:rPr>
          <w:rFonts w:ascii="Arial" w:cs="Arial" w:eastAsia="Arial" w:hAnsi="Arial"/>
          <w:sz w:val="18"/>
          <w:szCs w:val="18"/>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and obligations under this Credit Agreement and the related Loan Documents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91" w:lineRule="exact"/>
        <w:rPr>
          <w:rFonts w:ascii="Arial" w:cs="Arial" w:eastAsia="Arial" w:hAnsi="Arial"/>
          <w:sz w:val="18"/>
          <w:szCs w:val="18"/>
          <w:color w:val="auto"/>
        </w:rPr>
      </w:pPr>
    </w:p>
    <w:p>
      <w:pPr>
        <w:ind w:firstLine="1592"/>
        <w:spacing w:after="0" w:line="277" w:lineRule="auto"/>
        <w:tabs>
          <w:tab w:leader="none" w:pos="22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unless waived by the Administrative Agent in its sole discretion, the Borrower shall have paid to the Administrative Agent the assignment fee (if any) specified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592"/>
        <w:spacing w:after="0" w:line="259" w:lineRule="auto"/>
        <w:tabs>
          <w:tab w:leader="none" w:pos="223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and participations in L/C Obligations,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3.5</w:t>
      </w:r>
      <w:r>
        <w:rPr>
          <w:rFonts w:ascii="Arial" w:cs="Arial" w:eastAsia="Arial" w:hAnsi="Arial"/>
          <w:sz w:val="18"/>
          <w:szCs w:val="18"/>
          <w:color w:val="auto"/>
        </w:rPr>
        <w:t>) from the assignee (to the extent of such outstanding principal and accrued interest and fees) or the Borrower (in the case of all other amounts);</w:t>
      </w:r>
    </w:p>
    <w:p>
      <w:pPr>
        <w:spacing w:after="0" w:line="186" w:lineRule="exact"/>
        <w:rPr>
          <w:rFonts w:ascii="Arial" w:cs="Arial" w:eastAsia="Arial" w:hAnsi="Arial"/>
          <w:sz w:val="18"/>
          <w:szCs w:val="18"/>
          <w:color w:val="auto"/>
        </w:rPr>
      </w:pPr>
    </w:p>
    <w:p>
      <w:pPr>
        <w:ind w:firstLine="1592"/>
        <w:spacing w:after="0" w:line="277" w:lineRule="auto"/>
        <w:tabs>
          <w:tab w:leader="none" w:pos="225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3.6</w:t>
      </w:r>
      <w:r>
        <w:rPr>
          <w:rFonts w:ascii="Arial" w:cs="Arial" w:eastAsia="Arial" w:hAnsi="Arial"/>
          <w:sz w:val="18"/>
          <w:szCs w:val="18"/>
          <w:color w:val="auto"/>
        </w:rPr>
        <w:t>, such assignment will result in a reduction in such compensation or payments thereafter;</w:t>
      </w:r>
    </w:p>
    <w:p>
      <w:pPr>
        <w:spacing w:after="0" w:line="170" w:lineRule="exact"/>
        <w:rPr>
          <w:rFonts w:ascii="Arial" w:cs="Arial" w:eastAsia="Arial" w:hAnsi="Arial"/>
          <w:sz w:val="18"/>
          <w:szCs w:val="18"/>
          <w:color w:val="auto"/>
        </w:rPr>
      </w:pPr>
    </w:p>
    <w:p>
      <w:pPr>
        <w:ind w:left="2160" w:hanging="568"/>
        <w:spacing w:after="0"/>
        <w:tabs>
          <w:tab w:leader="none" w:pos="21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 and</w:t>
      </w:r>
    </w:p>
    <w:p>
      <w:pPr>
        <w:spacing w:after="0" w:line="225" w:lineRule="exact"/>
        <w:rPr>
          <w:rFonts w:ascii="Arial" w:cs="Arial" w:eastAsia="Arial" w:hAnsi="Arial"/>
          <w:sz w:val="18"/>
          <w:szCs w:val="18"/>
          <w:color w:val="auto"/>
        </w:rPr>
      </w:pPr>
    </w:p>
    <w:p>
      <w:pPr>
        <w:ind w:firstLine="1592"/>
        <w:spacing w:after="0" w:line="277" w:lineRule="auto"/>
        <w:tabs>
          <w:tab w:leader="none" w:pos="216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in the case of any assignment resulting from a Lender becoming a Non-Consenting Lender, the applicable assignee shall have consented (or is willing to consent upon becoming a Lender) to the applicable amendment, waiver or consent.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7" w:name="page128"/>
    <w:bookmarkEnd w:id="127"/>
    <w:p>
      <w:pPr>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0"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0000FF"/>
        </w:rPr>
        <w:t>Section 3.8</w:t>
      </w:r>
      <w:r>
        <w:rPr>
          <w:sz w:val="20"/>
          <w:szCs w:val="20"/>
          <w:color w:val="auto"/>
        </w:rPr>
        <w:tab/>
      </w:r>
      <w:r>
        <w:rPr>
          <w:rFonts w:ascii="Arial" w:cs="Arial" w:eastAsia="Arial" w:hAnsi="Arial"/>
          <w:sz w:val="16"/>
          <w:szCs w:val="16"/>
          <w:color w:val="0000FF"/>
        </w:rPr>
        <w:t>Benchmark Replacement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wp:posOffset>
            </wp:positionV>
            <wp:extent cx="230568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305685" cy="889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-10160</wp:posOffset>
            </wp:positionV>
            <wp:extent cx="23037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303780" cy="8255"/>
                    </a:xfrm>
                    <a:prstGeom prst="rect">
                      <a:avLst/>
                    </a:prstGeom>
                    <a:noFill/>
                  </pic:spPr>
                </pic:pic>
              </a:graphicData>
            </a:graphic>
          </wp:anchor>
        </w:drawing>
      </w:r>
    </w:p>
    <w:p>
      <w:pPr>
        <w:spacing w:after="0" w:line="205" w:lineRule="exact"/>
        <w:rPr>
          <w:sz w:val="20"/>
          <w:szCs w:val="20"/>
          <w:color w:val="auto"/>
        </w:rPr>
      </w:pPr>
    </w:p>
    <w:p>
      <w:pPr>
        <w:ind w:left="1660" w:hanging="554"/>
        <w:spacing w:after="0"/>
        <w:tabs>
          <w:tab w:leader="none" w:pos="1660" w:val="left"/>
        </w:tabs>
        <w:numPr>
          <w:ilvl w:val="0"/>
          <w:numId w:val="121"/>
        </w:numPr>
        <w:rPr>
          <w:rFonts w:ascii="Arial" w:cs="Arial" w:eastAsia="Arial" w:hAnsi="Arial"/>
          <w:sz w:val="18"/>
          <w:szCs w:val="18"/>
          <w:color w:val="0000FF"/>
        </w:rPr>
      </w:pPr>
      <w:r>
        <w:rPr>
          <w:rFonts w:ascii="Arial" w:cs="Arial" w:eastAsia="Arial" w:hAnsi="Arial"/>
          <w:sz w:val="18"/>
          <w:szCs w:val="18"/>
          <w:color w:val="0000FF"/>
        </w:rPr>
        <w:t>Benchmark Replacement.</w:t>
      </w:r>
    </w:p>
    <w:p>
      <w:pPr>
        <w:spacing w:after="0" w:line="225" w:lineRule="exact"/>
        <w:rPr>
          <w:rFonts w:ascii="Arial" w:cs="Arial" w:eastAsia="Arial" w:hAnsi="Arial"/>
          <w:sz w:val="18"/>
          <w:szCs w:val="18"/>
          <w:color w:val="0000FF"/>
        </w:rPr>
      </w:pPr>
    </w:p>
    <w:p>
      <w:pPr>
        <w:jc w:val="both"/>
        <w:ind w:firstLine="1592"/>
        <w:spacing w:after="0" w:line="269" w:lineRule="auto"/>
        <w:tabs>
          <w:tab w:leader="none" w:pos="2271" w:val="left"/>
        </w:tabs>
        <w:numPr>
          <w:ilvl w:val="1"/>
          <w:numId w:val="121"/>
        </w:numPr>
        <w:rPr>
          <w:rFonts w:ascii="Arial" w:cs="Arial" w:eastAsia="Arial" w:hAnsi="Arial"/>
          <w:sz w:val="17"/>
          <w:szCs w:val="17"/>
          <w:color w:val="0000FF"/>
        </w:rPr>
      </w:pPr>
      <w:r>
        <w:rPr>
          <w:rFonts w:ascii="Arial" w:cs="Arial" w:eastAsia="Arial" w:hAnsi="Arial"/>
          <w:sz w:val="17"/>
          <w:szCs w:val="17"/>
          <w:color w:val="0000FF"/>
        </w:rPr>
        <w:t xml:space="preserve">Notwithstanding anything to the contrary herein or in any other Loan Document, if a Benchmark Transition Event and its </w:t>
      </w:r>
      <w:r>
        <w:rPr>
          <w:rFonts w:ascii="Arial" w:cs="Arial" w:eastAsia="Arial" w:hAnsi="Arial"/>
          <w:sz w:val="17"/>
          <w:szCs w:val="17"/>
          <w:u w:val="single" w:color="auto"/>
          <w:color w:val="0000FF"/>
        </w:rPr>
        <w:t>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(subject to clause (y) below) of any other party to, this Credit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Credit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178" w:lineRule="exact"/>
        <w:rPr>
          <w:rFonts w:ascii="Arial" w:cs="Arial" w:eastAsia="Arial" w:hAnsi="Arial"/>
          <w:sz w:val="17"/>
          <w:szCs w:val="17"/>
          <w:color w:val="0000FF"/>
        </w:rPr>
      </w:pPr>
    </w:p>
    <w:p>
      <w:pPr>
        <w:ind w:left="2180" w:hanging="588"/>
        <w:spacing w:after="0"/>
        <w:tabs>
          <w:tab w:leader="none" w:pos="2180" w:val="left"/>
        </w:tabs>
        <w:numPr>
          <w:ilvl w:val="1"/>
          <w:numId w:val="121"/>
        </w:numPr>
        <w:rPr>
          <w:rFonts w:ascii="Arial" w:cs="Arial" w:eastAsia="Arial" w:hAnsi="Arial"/>
          <w:sz w:val="18"/>
          <w:szCs w:val="18"/>
          <w:color w:val="0000FF"/>
        </w:rPr>
      </w:pPr>
      <w:r>
        <w:rPr>
          <w:rFonts w:ascii="Arial" w:cs="Arial" w:eastAsia="Arial" w:hAnsi="Arial"/>
          <w:sz w:val="18"/>
          <w:szCs w:val="18"/>
          <w:color w:val="0000FF"/>
        </w:rPr>
        <w:t>Each Swap Agreement shall be deemed not to be a “Loan Document” for purposes of this Section 3.8).</w:t>
      </w:r>
    </w:p>
    <w:p>
      <w:pPr>
        <w:spacing w:after="0" w:line="225" w:lineRule="exact"/>
        <w:rPr>
          <w:rFonts w:ascii="Arial" w:cs="Arial" w:eastAsia="Arial" w:hAnsi="Arial"/>
          <w:sz w:val="18"/>
          <w:szCs w:val="18"/>
          <w:color w:val="0000FF"/>
        </w:rPr>
      </w:pPr>
    </w:p>
    <w:p>
      <w:pPr>
        <w:jc w:val="both"/>
        <w:ind w:firstLine="1106"/>
        <w:spacing w:after="0" w:line="259" w:lineRule="auto"/>
        <w:tabs>
          <w:tab w:leader="none" w:pos="1870" w:val="left"/>
        </w:tabs>
        <w:numPr>
          <w:ilvl w:val="0"/>
          <w:numId w:val="121"/>
        </w:numPr>
        <w:rPr>
          <w:rFonts w:ascii="Arial" w:cs="Arial" w:eastAsia="Arial" w:hAnsi="Arial"/>
          <w:sz w:val="18"/>
          <w:szCs w:val="18"/>
          <w:color w:val="0000FF"/>
        </w:rPr>
      </w:pPr>
      <w:r>
        <w:rPr>
          <w:rFonts w:ascii="Arial" w:cs="Arial" w:eastAsia="Arial" w:hAnsi="Arial"/>
          <w:sz w:val="18"/>
          <w:szCs w:val="18"/>
          <w:color w:val="0000FF"/>
        </w:rPr>
        <w:t xml:space="preserve">Benchmark Replacement Conforming Changes. In connection with the use, administration, adoption or implementation of a </w:t>
      </w:r>
      <w:r>
        <w:rPr>
          <w:rFonts w:ascii="Arial" w:cs="Arial" w:eastAsia="Arial" w:hAnsi="Arial"/>
          <w:sz w:val="18"/>
          <w:szCs w:val="18"/>
          <w:u w:val="single" w:color="auto"/>
          <w:color w:val="0000FF"/>
        </w:rPr>
        <w:t>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Credit Agreement or any other Loan Document.</w:t>
      </w:r>
    </w:p>
    <w:p>
      <w:pPr>
        <w:spacing w:after="0" w:line="186" w:lineRule="exact"/>
        <w:rPr>
          <w:rFonts w:ascii="Arial" w:cs="Arial" w:eastAsia="Arial" w:hAnsi="Arial"/>
          <w:sz w:val="18"/>
          <w:szCs w:val="18"/>
          <w:color w:val="0000FF"/>
        </w:rPr>
      </w:pPr>
    </w:p>
    <w:p>
      <w:pPr>
        <w:jc w:val="both"/>
        <w:ind w:firstLine="1106"/>
        <w:spacing w:after="0" w:line="253" w:lineRule="auto"/>
        <w:tabs>
          <w:tab w:leader="none" w:pos="1666" w:val="left"/>
        </w:tabs>
        <w:numPr>
          <w:ilvl w:val="0"/>
          <w:numId w:val="121"/>
        </w:numPr>
        <w:rPr>
          <w:rFonts w:ascii="Arial" w:cs="Arial" w:eastAsia="Arial" w:hAnsi="Arial"/>
          <w:sz w:val="18"/>
          <w:szCs w:val="18"/>
          <w:color w:val="0000FF"/>
        </w:rPr>
      </w:pPr>
      <w:r>
        <w:rPr>
          <w:rFonts w:ascii="Arial" w:cs="Arial" w:eastAsia="Arial" w:hAnsi="Arial"/>
          <w:sz w:val="18"/>
          <w:szCs w:val="18"/>
          <w:color w:val="0000FF"/>
        </w:rPr>
        <w:t xml:space="preserve">Notices; Standards for Decisions and Determinations. The Administrative Agent will promptly notify the Borrower and the Lenders </w:t>
      </w:r>
      <w:r>
        <w:rPr>
          <w:rFonts w:ascii="Arial" w:cs="Arial" w:eastAsia="Arial" w:hAnsi="Arial"/>
          <w:sz w:val="18"/>
          <w:szCs w:val="18"/>
          <w:u w:val="single" w:color="auto"/>
          <w:color w:val="0000FF"/>
        </w:rPr>
        <w:t>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3.8(d) and (y) the commencement of any Benchmark Unavailability Period. Any determination, decision or election that may be made by the Administrative Agent or, if applicable, any Lender (or group of Lenders) pursuant to this Section 3.8, including any determination with respect to a tenor, rate or adjustment or of the occurrence or non-occurrence of an event, circumstance or date and any decision to take or refrain from taking any action or selection, will be conclusive and binding absent manifest error and may be made in its or their sole discretion and without consent from any other party to this Credit Agreement or any other Loan Document, except, in each case, as expressly required pursuant to this Section 3.8.</w:t>
      </w:r>
    </w:p>
    <w:p>
      <w:pPr>
        <w:spacing w:after="0" w:line="196" w:lineRule="exact"/>
        <w:rPr>
          <w:rFonts w:ascii="Arial" w:cs="Arial" w:eastAsia="Arial" w:hAnsi="Arial"/>
          <w:sz w:val="18"/>
          <w:szCs w:val="18"/>
          <w:color w:val="0000FF"/>
        </w:rPr>
      </w:pPr>
    </w:p>
    <w:p>
      <w:pPr>
        <w:jc w:val="both"/>
        <w:ind w:firstLine="1106"/>
        <w:spacing w:after="0" w:line="269" w:lineRule="auto"/>
        <w:tabs>
          <w:tab w:leader="none" w:pos="1671" w:val="left"/>
        </w:tabs>
        <w:numPr>
          <w:ilvl w:val="0"/>
          <w:numId w:val="121"/>
        </w:numPr>
        <w:rPr>
          <w:rFonts w:ascii="Arial" w:cs="Arial" w:eastAsia="Arial" w:hAnsi="Arial"/>
          <w:sz w:val="17"/>
          <w:szCs w:val="17"/>
          <w:color w:val="0000FF"/>
        </w:rPr>
      </w:pPr>
      <w:r>
        <w:rPr>
          <w:rFonts w:ascii="Arial" w:cs="Arial" w:eastAsia="Arial" w:hAnsi="Arial"/>
          <w:sz w:val="17"/>
          <w:szCs w:val="17"/>
          <w:color w:val="0000FF"/>
        </w:rPr>
        <w:t xml:space="preserve">Unavailability of Tenor of Benchmark. Notwithstanding anything to the contrary herein or in any other Loan Document, at any time </w:t>
      </w:r>
      <w:r>
        <w:rPr>
          <w:rFonts w:ascii="Arial" w:cs="Arial" w:eastAsia="Arial" w:hAnsi="Arial"/>
          <w:sz w:val="17"/>
          <w:szCs w:val="17"/>
          <w:u w:val="single" w:color="auto"/>
          <w:color w:val="0000FF"/>
        </w:rPr>
        <w:t>(including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-5781040</wp:posOffset>
            </wp:positionV>
            <wp:extent cx="153416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534160" cy="8255"/>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-5798185</wp:posOffset>
            </wp:positionV>
            <wp:extent cx="153543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535430" cy="88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-5506720</wp:posOffset>
            </wp:positionV>
            <wp:extent cx="612902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1010920</wp:posOffset>
            </wp:positionH>
            <wp:positionV relativeFrom="paragraph">
              <wp:posOffset>-5523865</wp:posOffset>
            </wp:positionV>
            <wp:extent cx="612457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124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-5369560</wp:posOffset>
            </wp:positionV>
            <wp:extent cx="713232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-5232400</wp:posOffset>
            </wp:positionV>
            <wp:extent cx="712343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-5095240</wp:posOffset>
            </wp:positionV>
            <wp:extent cx="713232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-4958080</wp:posOffset>
            </wp:positionV>
            <wp:extent cx="713232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-4820920</wp:posOffset>
            </wp:positionV>
            <wp:extent cx="712343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-4683760</wp:posOffset>
            </wp:positionV>
            <wp:extent cx="712343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-4546600</wp:posOffset>
            </wp:positionV>
            <wp:extent cx="712343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-4409440</wp:posOffset>
            </wp:positionV>
            <wp:extent cx="712343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-4272280</wp:posOffset>
            </wp:positionV>
            <wp:extent cx="712343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-4135120</wp:posOffset>
            </wp:positionV>
            <wp:extent cx="713232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-3997960</wp:posOffset>
            </wp:positionV>
            <wp:extent cx="25717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-3723640</wp:posOffset>
            </wp:positionV>
            <wp:extent cx="508317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083175" cy="8890"/>
                    </a:xfrm>
                    <a:prstGeom prst="rect">
                      <a:avLst/>
                    </a:prstGeom>
                    <a:noFill/>
                  </pic:spPr>
                </pic:pic>
              </a:graphicData>
            </a:graphic>
          </wp:anchor>
        </w:drawing>
        <w:drawing>
          <wp:anchor simplePos="0" relativeHeight="251657728" behindDoc="1" locked="0" layoutInCell="0" allowOverlap="1">
            <wp:simplePos x="0" y="0"/>
            <wp:positionH relativeFrom="column">
              <wp:posOffset>1010920</wp:posOffset>
            </wp:positionH>
            <wp:positionV relativeFrom="paragraph">
              <wp:posOffset>-3740785</wp:posOffset>
            </wp:positionV>
            <wp:extent cx="507936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07936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-3449320</wp:posOffset>
            </wp:positionV>
            <wp:extent cx="642937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-3466465</wp:posOffset>
            </wp:positionV>
            <wp:extent cx="642874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428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-3312160</wp:posOffset>
            </wp:positionV>
            <wp:extent cx="713232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-3175000</wp:posOffset>
            </wp:positionV>
            <wp:extent cx="713232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-3037840</wp:posOffset>
            </wp:positionV>
            <wp:extent cx="416623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16623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-2763520</wp:posOffset>
            </wp:positionV>
            <wp:extent cx="643763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-2780665</wp:posOffset>
            </wp:positionV>
            <wp:extent cx="643255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4325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-2626360</wp:posOffset>
            </wp:positionV>
            <wp:extent cx="713232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-2489200</wp:posOffset>
            </wp:positionV>
            <wp:extent cx="712343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-2352040</wp:posOffset>
            </wp:positionV>
            <wp:extent cx="713232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-2214880</wp:posOffset>
            </wp:positionV>
            <wp:extent cx="713232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-2077720</wp:posOffset>
            </wp:positionV>
            <wp:extent cx="713232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-1940560</wp:posOffset>
            </wp:positionV>
            <wp:extent cx="713232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-1803400</wp:posOffset>
            </wp:positionV>
            <wp:extent cx="713232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-1666240</wp:posOffset>
            </wp:positionV>
            <wp:extent cx="53975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397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-1391920</wp:posOffset>
            </wp:positionV>
            <wp:extent cx="643763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-1409065</wp:posOffset>
            </wp:positionV>
            <wp:extent cx="64350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435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-1254760</wp:posOffset>
            </wp:positionV>
            <wp:extent cx="712343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-1117600</wp:posOffset>
            </wp:positionV>
            <wp:extent cx="713232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-980440</wp:posOffset>
            </wp:positionV>
            <wp:extent cx="713232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-843280</wp:posOffset>
            </wp:positionV>
            <wp:extent cx="712343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-706120</wp:posOffset>
            </wp:positionV>
            <wp:extent cx="713232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-568960</wp:posOffset>
            </wp:positionV>
            <wp:extent cx="712343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-431800</wp:posOffset>
            </wp:positionV>
            <wp:extent cx="712343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220281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8" w:name="page129"/>
    <w:bookmarkEnd w:id="128"/>
    <w:p>
      <w:pPr>
        <w:jc w:val="both"/>
        <w:ind w:firstLine="1106"/>
        <w:spacing w:after="0" w:line="255" w:lineRule="auto"/>
        <w:tabs>
          <w:tab w:leader="none" w:pos="1779" w:val="left"/>
        </w:tabs>
        <w:numPr>
          <w:ilvl w:val="0"/>
          <w:numId w:val="122"/>
        </w:numPr>
        <w:rPr>
          <w:rFonts w:ascii="Arial" w:cs="Arial" w:eastAsia="Arial" w:hAnsi="Arial"/>
          <w:sz w:val="18"/>
          <w:szCs w:val="18"/>
          <w:color w:val="0000FF"/>
        </w:rPr>
      </w:pPr>
      <w:r>
        <w:rPr>
          <w:rFonts w:ascii="Arial" w:cs="Arial" w:eastAsia="Arial" w:hAnsi="Arial"/>
          <w:sz w:val="18"/>
          <w:szCs w:val="18"/>
          <w:color w:val="0000FF"/>
        </w:rPr>
        <w:t xml:space="preserve">Benchmark Unavailability Period. Upon the Borrower’s receipt of notice of the commencement of a Benchmark Unavailability </w:t>
      </w:r>
      <w:r>
        <w:rPr>
          <w:rFonts w:ascii="Arial" w:cs="Arial" w:eastAsia="Arial" w:hAnsi="Arial"/>
          <w:sz w:val="18"/>
          <w:szCs w:val="18"/>
          <w:u w:val="single" w:color="auto"/>
          <w:color w:val="0000FF"/>
        </w:rPr>
        <w:t>Period,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-699770</wp:posOffset>
            </wp:positionV>
            <wp:extent cx="643763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-716915</wp:posOffset>
            </wp:positionV>
            <wp:extent cx="643191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4319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-562610</wp:posOffset>
            </wp:positionV>
            <wp:extent cx="712343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2343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12343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296608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 TO CREDIT EXTENSIONS</w:t>
      </w:r>
    </w:p>
    <w:p>
      <w:pPr>
        <w:spacing w:after="0" w:line="225"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7"/>
          <w:szCs w:val="17"/>
          <w:u w:val="single" w:color="auto"/>
          <w:color w:val="auto"/>
        </w:rPr>
        <w:t>Conditions to Initial Credit Extensions</w:t>
      </w:r>
      <w:r>
        <w:rPr>
          <w:rFonts w:ascii="Arial" w:cs="Arial" w:eastAsia="Arial" w:hAnsi="Arial"/>
          <w:sz w:val="17"/>
          <w:szCs w:val="17"/>
          <w:color w:val="auto"/>
        </w:rPr>
        <w:t>.  The effectiveness of this Credit Agreement and the obligation of each Lender and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L/C Issuer to make its initial Credit Extension hereunder on the Closing Date is subject to satisfaction or waiver of the following conditions precedent:</w:t>
      </w:r>
    </w:p>
    <w:p>
      <w:pPr>
        <w:spacing w:after="0" w:line="222" w:lineRule="exact"/>
        <w:rPr>
          <w:sz w:val="20"/>
          <w:szCs w:val="20"/>
          <w:color w:val="auto"/>
        </w:rPr>
      </w:pPr>
    </w:p>
    <w:p>
      <w:pPr>
        <w:jc w:val="both"/>
        <w:ind w:firstLine="1106"/>
        <w:spacing w:after="0" w:line="263" w:lineRule="auto"/>
        <w:tabs>
          <w:tab w:leader="none" w:pos="1752"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 The Administrative Agent (or its counsel) shall have received a counterpart of this Credit Agreement (which may include facsimile transmission or electronic mail transmission of a signed signature page of this Credit Agreement) that, when taken together, bear the signatures of the Borrower and each Lender.</w:t>
      </w:r>
    </w:p>
    <w:p>
      <w:pPr>
        <w:spacing w:after="0" w:line="183" w:lineRule="exact"/>
        <w:rPr>
          <w:rFonts w:ascii="Arial" w:cs="Arial" w:eastAsia="Arial" w:hAnsi="Arial"/>
          <w:sz w:val="18"/>
          <w:szCs w:val="18"/>
          <w:color w:val="auto"/>
        </w:rPr>
      </w:pPr>
    </w:p>
    <w:p>
      <w:pPr>
        <w:ind w:left="1700" w:hanging="594"/>
        <w:spacing w:after="0"/>
        <w:tabs>
          <w:tab w:leader="none" w:pos="1700"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Notes</w:t>
      </w:r>
      <w:r>
        <w:rPr>
          <w:rFonts w:ascii="Arial" w:cs="Arial" w:eastAsia="Arial" w:hAnsi="Arial"/>
          <w:sz w:val="16"/>
          <w:szCs w:val="16"/>
          <w:color w:val="auto"/>
        </w:rPr>
        <w:t>. The Administrative Agent shall have received a Note for each Lender that shall have requested one, signed on behalf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210" w:lineRule="exact"/>
        <w:rPr>
          <w:rFonts w:ascii="Arial" w:cs="Arial" w:eastAsia="Arial" w:hAnsi="Arial"/>
          <w:sz w:val="16"/>
          <w:szCs w:val="16"/>
          <w:color w:val="auto"/>
        </w:rPr>
      </w:pPr>
    </w:p>
    <w:p>
      <w:pPr>
        <w:jc w:val="both"/>
        <w:ind w:firstLine="1106"/>
        <w:spacing w:after="0" w:line="263" w:lineRule="auto"/>
        <w:tabs>
          <w:tab w:leader="none" w:pos="1671"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The Administrative Agent shall have received a favorable written opinion (addressed to the Credit Parties and dated the Closing Date) from Olshan Frome Wolosky LLP, special counsel to the Loan Parties, in form, scope and substance satisfactory to the Administrative Agent. The Borrower hereby requests such counsel to deliver such opinions.</w:t>
      </w:r>
    </w:p>
    <w:p>
      <w:pPr>
        <w:spacing w:after="0" w:line="183" w:lineRule="exact"/>
        <w:rPr>
          <w:rFonts w:ascii="Arial" w:cs="Arial" w:eastAsia="Arial" w:hAnsi="Arial"/>
          <w:sz w:val="18"/>
          <w:szCs w:val="18"/>
          <w:color w:val="auto"/>
        </w:rPr>
      </w:pPr>
    </w:p>
    <w:p>
      <w:pPr>
        <w:ind w:firstLine="1106"/>
        <w:spacing w:after="0" w:line="277" w:lineRule="auto"/>
        <w:tabs>
          <w:tab w:leader="none" w:pos="1667"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Officers’ Closing Certificate</w:t>
      </w:r>
      <w:r>
        <w:rPr>
          <w:rFonts w:ascii="Arial" w:cs="Arial" w:eastAsia="Arial" w:hAnsi="Arial"/>
          <w:sz w:val="18"/>
          <w:szCs w:val="18"/>
          <w:color w:val="auto"/>
        </w:rPr>
        <w:t xml:space="preserve">. The Administrative Agent shall have received a certificate of the President or a Vice President and the Secretary or Assistant Secretary of each Loan Party, dated the Closing Date,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106"/>
        <w:spacing w:after="0" w:line="259" w:lineRule="auto"/>
        <w:tabs>
          <w:tab w:leader="none" w:pos="1698"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Substantially contemporaneously with the making of the Loans to be made on the Closing Date, the Borrower shall have paid all fees and expenses that under the terms hereof or of the Fee Letter are due and payable on or prior to the Closing Date, as well as the reasonable fees, disbursements and other charges of counsel to the Administrative Agent and the Lead Arrangers in connection with the Transactions to the extent invoiced on or prior to the Closing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9" w:name="page130"/>
    <w:bookmarkEnd w:id="129"/>
    <w:p>
      <w:pPr>
        <w:ind w:left="1640" w:hanging="534"/>
        <w:spacing w:after="0"/>
        <w:tabs>
          <w:tab w:leader="none" w:pos="164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Collateral and Guarantee Requirement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92"/>
        <w:spacing w:after="0" w:line="263" w:lineRule="auto"/>
        <w:tabs>
          <w:tab w:leader="none" w:pos="2159"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The Collateral Documents set forth in </w:t>
      </w:r>
      <w:r>
        <w:rPr>
          <w:rFonts w:ascii="Arial" w:cs="Arial" w:eastAsia="Arial" w:hAnsi="Arial"/>
          <w:sz w:val="18"/>
          <w:szCs w:val="18"/>
          <w:u w:val="single" w:color="auto"/>
          <w:color w:val="auto"/>
        </w:rPr>
        <w:t>Schedule 4.1(f)</w:t>
      </w:r>
      <w:r>
        <w:rPr>
          <w:rFonts w:ascii="Arial" w:cs="Arial" w:eastAsia="Arial" w:hAnsi="Arial"/>
          <w:sz w:val="18"/>
          <w:szCs w:val="18"/>
          <w:color w:val="auto"/>
        </w:rPr>
        <w:t xml:space="preserve"> shall have been duly executed and/or delivered by each Loan Party that is to be a party thereto and shall be in full force and effect. The Administrative Agent on behalf of the Secured Parties shall have a security interest in the Collateral of the type and the priority described in each such Collateral Document; and</w:t>
      </w:r>
    </w:p>
    <w:p>
      <w:pPr>
        <w:spacing w:after="0" w:line="183" w:lineRule="exact"/>
        <w:rPr>
          <w:rFonts w:ascii="Arial" w:cs="Arial" w:eastAsia="Arial" w:hAnsi="Arial"/>
          <w:sz w:val="18"/>
          <w:szCs w:val="18"/>
          <w:color w:val="auto"/>
        </w:rPr>
      </w:pPr>
    </w:p>
    <w:p>
      <w:pPr>
        <w:jc w:val="both"/>
        <w:ind w:firstLine="1592"/>
        <w:spacing w:after="0" w:line="273" w:lineRule="auto"/>
        <w:tabs>
          <w:tab w:leader="none" w:pos="2172" w:val="left"/>
        </w:tabs>
        <w:numPr>
          <w:ilvl w:val="1"/>
          <w:numId w:val="124"/>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a Perfection Certificate with respect to each Loan Party dated the Closing Date and duly executed by a Responsible Officer of the Borrower and shall have received the results of a search of the Uniform Commercial Code filings (or equivalent filings) made with respect to the Loan Parties in the states (or other jurisdictions) of formation of such persons, in each case as indicated on such Perfection Certificate, together with copies of the financing statements (or similar documents) disclosed by such search, and accompanied by evidence satisfactory to the Administrative Agent that the Liens indicated in any such financing statement (or similar document) would be permitted under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or have been or will be contemporaneously released or terminated.</w:t>
      </w:r>
    </w:p>
    <w:p>
      <w:pPr>
        <w:spacing w:after="0" w:line="177" w:lineRule="exact"/>
        <w:rPr>
          <w:rFonts w:ascii="Arial" w:cs="Arial" w:eastAsia="Arial" w:hAnsi="Arial"/>
          <w:sz w:val="17"/>
          <w:szCs w:val="17"/>
          <w:color w:val="auto"/>
        </w:rPr>
      </w:pPr>
    </w:p>
    <w:p>
      <w:pPr>
        <w:ind w:firstLine="1106"/>
        <w:spacing w:after="0" w:line="277" w:lineRule="auto"/>
        <w:tabs>
          <w:tab w:leader="none" w:pos="173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Guarantee Agreement</w:t>
      </w:r>
      <w:r>
        <w:rPr>
          <w:rFonts w:ascii="Arial" w:cs="Arial" w:eastAsia="Arial" w:hAnsi="Arial"/>
          <w:sz w:val="18"/>
          <w:szCs w:val="18"/>
          <w:color w:val="auto"/>
        </w:rPr>
        <w:t>. The Guarantee Agreement shall have been duly executed and delivered by each Loan Party that is to be a party thereto and shall be in full force and effect.</w:t>
      </w:r>
    </w:p>
    <w:p>
      <w:pPr>
        <w:spacing w:after="0" w:line="170" w:lineRule="exact"/>
        <w:rPr>
          <w:rFonts w:ascii="Arial" w:cs="Arial" w:eastAsia="Arial" w:hAnsi="Arial"/>
          <w:sz w:val="18"/>
          <w:szCs w:val="18"/>
          <w:color w:val="auto"/>
        </w:rPr>
      </w:pPr>
    </w:p>
    <w:p>
      <w:pPr>
        <w:ind w:left="1680" w:hanging="574"/>
        <w:spacing w:after="0"/>
        <w:tabs>
          <w:tab w:leader="none" w:pos="168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106"/>
        <w:spacing w:after="0" w:line="263" w:lineRule="auto"/>
        <w:tabs>
          <w:tab w:leader="none" w:pos="1727"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The Administrative Agent shall have received a Solvency Certificate attesting to the Solvency of each Loan Party and its Subsidiaries (taken as a whole) on the Closing Date immediately before and after giving effect to the Transactions, from the chief financial officer or an authorized person performing similar function of the Borrower.</w:t>
      </w:r>
    </w:p>
    <w:p>
      <w:pPr>
        <w:spacing w:after="0" w:line="183" w:lineRule="exact"/>
        <w:rPr>
          <w:rFonts w:ascii="Arial" w:cs="Arial" w:eastAsia="Arial" w:hAnsi="Arial"/>
          <w:sz w:val="18"/>
          <w:szCs w:val="18"/>
          <w:color w:val="auto"/>
        </w:rPr>
      </w:pPr>
    </w:p>
    <w:p>
      <w:pPr>
        <w:jc w:val="both"/>
        <w:ind w:firstLine="1106"/>
        <w:spacing w:after="0" w:line="263" w:lineRule="auto"/>
        <w:tabs>
          <w:tab w:leader="none" w:pos="168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Committed Loan Notice; Letter of Credit Application</w:t>
      </w:r>
      <w:r>
        <w:rPr>
          <w:rFonts w:ascii="Arial" w:cs="Arial" w:eastAsia="Arial" w:hAnsi="Arial"/>
          <w:sz w:val="18"/>
          <w:szCs w:val="18"/>
          <w:color w:val="auto"/>
        </w:rPr>
        <w:t>. The Administrative Agent shall have received a completed Committed Loan Notice and/or Letter of Credit Application, duly executed by a Responsible Officer of the Borrower with respect to any Credit Extensions to be made on the Closing Date.</w:t>
      </w:r>
    </w:p>
    <w:p>
      <w:pPr>
        <w:spacing w:after="0" w:line="183" w:lineRule="exact"/>
        <w:rPr>
          <w:rFonts w:ascii="Arial" w:cs="Arial" w:eastAsia="Arial" w:hAnsi="Arial"/>
          <w:sz w:val="18"/>
          <w:szCs w:val="18"/>
          <w:color w:val="auto"/>
        </w:rPr>
      </w:pPr>
    </w:p>
    <w:p>
      <w:pPr>
        <w:jc w:val="both"/>
        <w:ind w:firstLine="1106"/>
        <w:spacing w:after="0" w:line="301" w:lineRule="auto"/>
        <w:tabs>
          <w:tab w:leader="none" w:pos="1667"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Administrative Agent shall have received evidence that all insurance required to be maintained pursuant to the Loan Documents has been obtained and is in effect and that the Administrative Agent has been named as lender’s loss payee and/or additional insured, as applicable, under each insurance policy with respect thereto and all endorsements thereto have been delivered, in each case, in accordance with the terms of the Loan Documents, and the Administrative Agent is otherwise satisfied with all of the insurance arrangements of the Loan Parties and their Subsidiaries.</w:t>
      </w:r>
    </w:p>
    <w:p>
      <w:pPr>
        <w:spacing w:after="0" w:line="157" w:lineRule="exact"/>
        <w:rPr>
          <w:rFonts w:ascii="Arial" w:cs="Arial" w:eastAsia="Arial" w:hAnsi="Arial"/>
          <w:sz w:val="16"/>
          <w:szCs w:val="16"/>
          <w:color w:val="auto"/>
        </w:rPr>
      </w:pPr>
    </w:p>
    <w:p>
      <w:pPr>
        <w:jc w:val="both"/>
        <w:ind w:firstLine="1106"/>
        <w:spacing w:after="0" w:line="263" w:lineRule="auto"/>
        <w:tabs>
          <w:tab w:leader="none" w:pos="1727"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Pro-Forma Compliance Certificate</w:t>
      </w:r>
      <w:r>
        <w:rPr>
          <w:rFonts w:ascii="Arial" w:cs="Arial" w:eastAsia="Arial" w:hAnsi="Arial"/>
          <w:sz w:val="18"/>
          <w:szCs w:val="18"/>
          <w:color w:val="auto"/>
        </w:rPr>
        <w:t>. The Administrative Agent shall have received a certificate, dated the Closing Date and signed by a Financial Officer of the Borrower, setting forth reasonably detailed calculations demonstrating compliance with the Financial Covenants on a Pro Forma Basis immediately after giving effect to the Transactions occurring on the Closing Date.</w:t>
      </w:r>
    </w:p>
    <w:p>
      <w:pPr>
        <w:spacing w:after="0" w:line="183" w:lineRule="exact"/>
        <w:rPr>
          <w:rFonts w:ascii="Arial" w:cs="Arial" w:eastAsia="Arial" w:hAnsi="Arial"/>
          <w:sz w:val="18"/>
          <w:szCs w:val="18"/>
          <w:color w:val="auto"/>
        </w:rPr>
      </w:pPr>
    </w:p>
    <w:p>
      <w:pPr>
        <w:ind w:left="1680" w:hanging="574"/>
        <w:spacing w:after="0"/>
        <w:tabs>
          <w:tab w:leader="none" w:pos="168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USA PATRIOT Act; KYC</w:t>
      </w:r>
      <w:r>
        <w:rPr>
          <w:rFonts w:ascii="Arial" w:cs="Arial" w:eastAsia="Arial" w:hAnsi="Arial"/>
          <w:sz w:val="18"/>
          <w:szCs w:val="18"/>
          <w:color w:val="auto"/>
        </w:rPr>
        <w:t>. At least three days prior to the Closing Date, each Lender shall have received: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0" w:name="page131"/>
    <w:bookmarkEnd w:id="130"/>
    <w:p>
      <w:pPr>
        <w:ind w:firstLine="1592"/>
        <w:spacing w:after="0" w:line="277" w:lineRule="auto"/>
        <w:tabs>
          <w:tab w:leader="none" w:pos="237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and all documentation and other information requested by such Lender in connection with applicable “know your customer” and anti-money-laundering rules and regulations, including the USA PATRIOT Act; and</w:t>
      </w:r>
    </w:p>
    <w:p>
      <w:pPr>
        <w:spacing w:after="0" w:line="170" w:lineRule="exact"/>
        <w:rPr>
          <w:rFonts w:ascii="Arial" w:cs="Arial" w:eastAsia="Arial" w:hAnsi="Arial"/>
          <w:sz w:val="18"/>
          <w:szCs w:val="18"/>
          <w:color w:val="auto"/>
        </w:rPr>
      </w:pPr>
    </w:p>
    <w:p>
      <w:pPr>
        <w:ind w:right="20" w:firstLine="1592"/>
        <w:spacing w:after="0" w:line="277" w:lineRule="auto"/>
        <w:tabs>
          <w:tab w:leader="none" w:pos="229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the extent the Borrower constitutes a “legal entity customer” under the Beneficial Ownership Regulation, a completed Beneficial Ownership Certification in relation to the Borrower.</w:t>
      </w:r>
    </w:p>
    <w:p>
      <w:pPr>
        <w:spacing w:after="0" w:line="170" w:lineRule="exact"/>
        <w:rPr>
          <w:rFonts w:ascii="Arial" w:cs="Arial" w:eastAsia="Arial" w:hAnsi="Arial"/>
          <w:sz w:val="18"/>
          <w:szCs w:val="18"/>
          <w:color w:val="auto"/>
        </w:rPr>
      </w:pPr>
    </w:p>
    <w:p>
      <w:pPr>
        <w:jc w:val="both"/>
        <w:ind w:firstLine="1106"/>
        <w:spacing w:after="0" w:line="257" w:lineRule="auto"/>
        <w:tabs>
          <w:tab w:leader="none" w:pos="1856"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The Administrative Agent shall have received (i) the Audited Financial Statements, (ii) the Unaudited Financial Statements and (iii) the Pro Forma Financial Statements. Availability of the Audited Financial Statements and the Unaudited Financial Statements on the SEC’s website with respect to any fiscal year, or the availability of such report on the SEC’s EDGAR website or the Borrower’s website (to the extent such report complies with the requirements of the applicable definitions), shall be deemed to be compliance by the Borrower with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4.1(n)</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1700" w:hanging="594"/>
        <w:spacing w:after="0"/>
        <w:tabs>
          <w:tab w:leader="none" w:pos="1700"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Legal Impediments</w:t>
      </w:r>
      <w:r>
        <w:rPr>
          <w:rFonts w:ascii="Arial" w:cs="Arial" w:eastAsia="Arial" w:hAnsi="Arial"/>
          <w:sz w:val="16"/>
          <w:szCs w:val="16"/>
          <w:color w:val="auto"/>
        </w:rPr>
        <w:t>. No law or regulation shall be applicable that restrains, prevents or imposes materially adverse conditions upon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Credit Facilities.</w:t>
      </w:r>
    </w:p>
    <w:p>
      <w:pPr>
        <w:spacing w:after="0" w:line="210" w:lineRule="exact"/>
        <w:rPr>
          <w:rFonts w:ascii="Arial" w:cs="Arial" w:eastAsia="Arial" w:hAnsi="Arial"/>
          <w:sz w:val="16"/>
          <w:szCs w:val="16"/>
          <w:color w:val="auto"/>
        </w:rPr>
      </w:pPr>
    </w:p>
    <w:p>
      <w:pPr>
        <w:jc w:val="both"/>
        <w:ind w:firstLine="1106"/>
        <w:spacing w:after="0" w:line="263" w:lineRule="auto"/>
        <w:tabs>
          <w:tab w:leader="none" w:pos="1762"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December 31, 2019, there shall not have occurred a Material Adverse Effect or any event or circumstance that could reasonably be expected to result in a Material Adverse Effect and the Administrative Agent shall have received a certificate of a Financial Officer of the Borrower to the foregoing effect.</w:t>
      </w:r>
    </w:p>
    <w:p>
      <w:pPr>
        <w:spacing w:after="0" w:line="183" w:lineRule="exact"/>
        <w:rPr>
          <w:rFonts w:ascii="Arial" w:cs="Arial" w:eastAsia="Arial" w:hAnsi="Arial"/>
          <w:sz w:val="18"/>
          <w:szCs w:val="18"/>
          <w:color w:val="auto"/>
        </w:rPr>
      </w:pPr>
    </w:p>
    <w:p>
      <w:pPr>
        <w:jc w:val="both"/>
        <w:ind w:firstLine="1106"/>
        <w:spacing w:after="0" w:line="259" w:lineRule="auto"/>
        <w:tabs>
          <w:tab w:leader="none" w:pos="1748"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Financial Officer Certificate</w:t>
      </w:r>
      <w:r>
        <w:rPr>
          <w:rFonts w:ascii="Arial" w:cs="Arial" w:eastAsia="Arial" w:hAnsi="Arial"/>
          <w:sz w:val="18"/>
          <w:szCs w:val="18"/>
          <w:color w:val="auto"/>
        </w:rPr>
        <w:t xml:space="preserve">. The Administrative Agent shall have received a certificate, dated the Closing Date and signed by a Financial Officer of the Borrower confirming that (i) the conditions set forth in paragraph (p) of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and clauses (a) and (b) of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shall be satisfied and (ii) on a Pro Forma Basis after giving effect to the Transactions to be effected on the Closing Date, the Consolidated Net Leverage Ratio does not exceed 4.00 to 1.00.</w:t>
      </w:r>
    </w:p>
    <w:p>
      <w:pPr>
        <w:spacing w:after="0" w:line="186" w:lineRule="exact"/>
        <w:rPr>
          <w:rFonts w:ascii="Arial" w:cs="Arial" w:eastAsia="Arial" w:hAnsi="Arial"/>
          <w:sz w:val="18"/>
          <w:szCs w:val="18"/>
          <w:color w:val="auto"/>
        </w:rPr>
      </w:pPr>
    </w:p>
    <w:p>
      <w:pPr>
        <w:jc w:val="both"/>
        <w:ind w:firstLine="1106"/>
        <w:spacing w:after="0" w:line="255" w:lineRule="auto"/>
        <w:tabs>
          <w:tab w:leader="none" w:pos="1719"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Existing Credit Agreement Refinancing</w:t>
      </w:r>
      <w:r>
        <w:rPr>
          <w:rFonts w:ascii="Arial" w:cs="Arial" w:eastAsia="Arial" w:hAnsi="Arial"/>
          <w:sz w:val="18"/>
          <w:szCs w:val="18"/>
          <w:color w:val="auto"/>
        </w:rPr>
        <w:t>. The Existing Credit Agreement Refinancing shall have been consummated substantially contemporaneously with the funding of the Loans to be made on the Closing Date. The Existing Credit Agreement (and each related loan document) and all commitments thereunder shall have been terminated, all obligations thereunder shall have been paid in full (other than obligations that are contingent in nature or unliquidated at such time, which under the terms of the Existing Credit Agreement or related loan documents expressly survive such payment and termination) and all documentation necessary to release or terminate, as applicable, security interests and guarantees in respect thereof shall have been delivered to the Administrative Agent or its counsel.</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For purposes of determining whether the Closing Date has occurred, each Lender that has executed this Credit Agreement shall be deemed to have consented to, approved or accepted, or to be satisfied with, each document or other matter required hereunder to be consented to or approved by or acceptable or satisfactory to the Lead Arrangers, Administrative Agent or such Lender, as the case may be, unless such Lender has notified the Administrative Agent of any disagreement prior to the initial Credit Extensions hereunder. Notwithstanding the foregoing, the obligations of the Lenders to make Credit Extension and of the L/C Issuer to issue Letters of Credit hereunder shall not become effective unless each of the foregoing conditions shall have been satisfied (or waived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at or prior to 5:00 p.m. on December 22, 2020 (and, in the event such conditions are not so satisfied or waived, the Commitments shall terminate at such time).</w:t>
      </w:r>
    </w:p>
    <w:p>
      <w:pPr>
        <w:spacing w:after="0" w:line="19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Conditions to All Credit Extensions</w:t>
      </w:r>
      <w:r>
        <w:rPr>
          <w:rFonts w:ascii="Arial" w:cs="Arial" w:eastAsia="Arial" w:hAnsi="Arial"/>
          <w:sz w:val="18"/>
          <w:szCs w:val="18"/>
          <w:color w:val="auto"/>
        </w:rPr>
        <w:t xml:space="preserve">. The obligation of each Lender or the L/C Issuer, as the case may be, to honor any Request for Credit Extension (other than a Committed Loan Notice requesting only a conversion of Loans to the other Type, or a continuation of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is subject to the satisfaction of the conditions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and the following additional 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6494145</wp:posOffset>
            </wp:positionH>
            <wp:positionV relativeFrom="paragraph">
              <wp:posOffset>-156845</wp:posOffset>
            </wp:positionV>
            <wp:extent cx="29146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1" w:name="page132"/>
    <w:bookmarkEnd w:id="131"/>
    <w:p>
      <w:pPr>
        <w:jc w:val="both"/>
        <w:ind w:firstLine="1106"/>
        <w:spacing w:after="0" w:line="257" w:lineRule="auto"/>
        <w:tabs>
          <w:tab w:leader="none" w:pos="180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of the Loan Parties set forth in the Loan Documents shall be true and correct in all material respects, in each case on and as of such date as if made on and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187" w:lineRule="exact"/>
        <w:rPr>
          <w:rFonts w:ascii="Arial" w:cs="Arial" w:eastAsia="Arial" w:hAnsi="Arial"/>
          <w:sz w:val="18"/>
          <w:szCs w:val="18"/>
          <w:color w:val="auto"/>
        </w:rPr>
      </w:pPr>
    </w:p>
    <w:p>
      <w:pPr>
        <w:ind w:left="1680" w:hanging="574"/>
        <w:spacing w:after="0"/>
        <w:tabs>
          <w:tab w:leader="none" w:pos="1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No Default shall exist, or would result from such proposed Credit Extension or from the application of the proceeds therefrom.</w:t>
      </w:r>
    </w:p>
    <w:p>
      <w:pPr>
        <w:spacing w:after="0" w:line="236" w:lineRule="exact"/>
        <w:rPr>
          <w:rFonts w:ascii="Arial" w:cs="Arial" w:eastAsia="Arial" w:hAnsi="Arial"/>
          <w:sz w:val="17"/>
          <w:szCs w:val="17"/>
          <w:color w:val="auto"/>
        </w:rPr>
      </w:pPr>
    </w:p>
    <w:p>
      <w:pPr>
        <w:ind w:firstLine="1106"/>
        <w:spacing w:after="0" w:line="277" w:lineRule="auto"/>
        <w:tabs>
          <w:tab w:leader="none" w:pos="182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Administrative Agent and, if applicable, the L/C Issuer or the Swingline Lender shall have received a Request for Credit Extension in accordance with the requirements hereof.</w:t>
      </w:r>
    </w:p>
    <w:p>
      <w:pPr>
        <w:spacing w:after="0" w:line="170" w:lineRule="exact"/>
        <w:rPr>
          <w:rFonts w:ascii="Arial" w:cs="Arial" w:eastAsia="Arial" w:hAnsi="Arial"/>
          <w:sz w:val="18"/>
          <w:szCs w:val="18"/>
          <w:color w:val="auto"/>
        </w:rPr>
      </w:pPr>
    </w:p>
    <w:p>
      <w:pPr>
        <w:ind w:left="1760" w:hanging="654"/>
        <w:spacing w:after="0"/>
        <w:tabs>
          <w:tab w:leader="none" w:pos="17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In the case of a Borrowing under an Incremental Facility, each of the applicable requirements set forth in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shall have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been satisfied.</w:t>
      </w:r>
    </w:p>
    <w:p>
      <w:pPr>
        <w:spacing w:after="0" w:line="21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 xml:space="preserve">Each Request for Credit Extension (other than a Committed Loan Notice requesting only a conversion of Loans to the other Type or a continuation of </w:t>
      </w:r>
      <w:r>
        <w:rPr>
          <w:rFonts w:ascii="Arial" w:cs="Arial" w:eastAsia="Arial" w:hAnsi="Arial"/>
          <w:sz w:val="17"/>
          <w:szCs w:val="17"/>
          <w:color w:val="FF0000"/>
          <w:strike w:val="1"/>
        </w:rPr>
        <w:t>LIBOR</w:t>
      </w:r>
      <w:r>
        <w:rPr>
          <w:rFonts w:ascii="Arial" w:cs="Arial" w:eastAsia="Arial" w:hAnsi="Arial"/>
          <w:sz w:val="17"/>
          <w:szCs w:val="17"/>
          <w:u w:val="single" w:color="auto"/>
          <w:color w:val="0000FF"/>
        </w:rPr>
        <w:t>SOFR</w:t>
      </w:r>
      <w:r>
        <w:rPr>
          <w:rFonts w:ascii="Arial" w:cs="Arial" w:eastAsia="Arial" w:hAnsi="Arial"/>
          <w:sz w:val="17"/>
          <w:szCs w:val="17"/>
          <w:color w:val="FF0000"/>
        </w:rPr>
        <w:t xml:space="preserve"> </w:t>
      </w:r>
      <w:r>
        <w:rPr>
          <w:rFonts w:ascii="Arial" w:cs="Arial" w:eastAsia="Arial" w:hAnsi="Arial"/>
          <w:sz w:val="17"/>
          <w:szCs w:val="17"/>
          <w:color w:val="000000"/>
        </w:rPr>
        <w:t>Loans) submitted by the Borrower shall be deemed to be a representation and warranty that the applicable conditions specified in</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Sections 4.2(a)</w:t>
      </w:r>
      <w:r>
        <w:rPr>
          <w:rFonts w:ascii="Arial" w:cs="Arial" w:eastAsia="Arial" w:hAnsi="Arial"/>
          <w:sz w:val="17"/>
          <w:szCs w:val="17"/>
          <w:color w:val="000000"/>
        </w:rPr>
        <w:t xml:space="preserve"> and, if applicable, </w:t>
      </w:r>
      <w:r>
        <w:rPr>
          <w:rFonts w:ascii="Arial" w:cs="Arial" w:eastAsia="Arial" w:hAnsi="Arial"/>
          <w:sz w:val="17"/>
          <w:szCs w:val="17"/>
          <w:u w:val="single" w:color="auto"/>
          <w:color w:val="000000"/>
        </w:rPr>
        <w:t>(b)</w:t>
      </w:r>
      <w:r>
        <w:rPr>
          <w:rFonts w:ascii="Arial" w:cs="Arial" w:eastAsia="Arial" w:hAnsi="Arial"/>
          <w:sz w:val="17"/>
          <w:szCs w:val="17"/>
          <w:color w:val="000000"/>
        </w:rPr>
        <w:t xml:space="preserve"> have been satisfied on and as of the date of the applicable Credit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-168275</wp:posOffset>
            </wp:positionV>
            <wp:extent cx="28321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Borrower represent and warrant to the Administrative Agent and the Lenders that:</w:t>
      </w:r>
    </w:p>
    <w:p>
      <w:pPr>
        <w:spacing w:after="0" w:line="225"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Existence, Qualification and Power; Compliance with Laws</w:t>
      </w:r>
      <w:r>
        <w:rPr>
          <w:rFonts w:ascii="Arial" w:cs="Arial" w:eastAsia="Arial" w:hAnsi="Arial"/>
          <w:sz w:val="17"/>
          <w:szCs w:val="17"/>
          <w:color w:val="auto"/>
        </w:rPr>
        <w:t>. Each Loan Party and each of its Subsidiaries (a) is duly incorporated, organized or formed, and validly existing and, where applicable, in good standing under the laws of the jurisdiction of its incorporation or organization, (b) has all requisite power and authority to (i) own or lease its assets and carry on its business as now conducted and (ii) execute, deliver and perform its obligations under the Loan Documents to which it is a party, (c) is duly qualified and, where applicable, in good standing under the laws of each jurisdiction where its ownership, lease or operation of properties or the conduct of its business requires such qualification, and (d) has all requisite governmental licenses, authorizations, consents and approvals to operate its business as currently conducted; except in each case referred to in clause (c) or (d), to the extent that failure to do so could not, individually or in the aggregate, reasonably be expected to have a Material Adverse Effect. The Borrower and its Subsidiaries are in compliance with all laws, rules, regulations and orders of any Governmental Authority applicable to it or its property and maintains all permits and licenses necessary to conduct its business, except where the failure to do so, individually or in the aggregate, would not reasonably be expected to result in a Material Adverse Effect.</w:t>
      </w:r>
    </w:p>
    <w:p>
      <w:pPr>
        <w:spacing w:after="0" w:line="185" w:lineRule="exact"/>
        <w:rPr>
          <w:sz w:val="20"/>
          <w:szCs w:val="20"/>
          <w:color w:val="auto"/>
        </w:rPr>
      </w:pPr>
    </w:p>
    <w:p>
      <w:pPr>
        <w:jc w:val="both"/>
        <w:ind w:firstLine="450"/>
        <w:spacing w:after="0" w:line="270"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Authorization; No Contravention</w:t>
      </w:r>
      <w:r>
        <w:rPr>
          <w:rFonts w:ascii="Arial" w:cs="Arial" w:eastAsia="Arial" w:hAnsi="Arial"/>
          <w:sz w:val="17"/>
          <w:szCs w:val="17"/>
          <w:color w:val="auto"/>
        </w:rPr>
        <w:t>. The execution, delivery and performance by each Loan Party of each Loan Document to which such Loan Party is a party, and the consummation of the Transactions, are within such Loan Party’s corporate, limited liability company or other analogous powers, have been duly authorized by all necessary corporate, limited liability company or other analogous action, and do not and will not (a) contravene the terms of any of such Person’s Organizational Documents, (b) conflict with or result in any breach or contravention of, or the creation of any Lien under (other than under the Loan Documents),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except with respect to any conflict, breach or contravention or payment (but not creation of Liens) referred to in clause (b)(i), to the extent that such conflict, breach, contravention or payment would not, individually or in the aggregate, reasonably be expected to have a Material Adverse Effect.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2" w:name="page133"/>
    <w:bookmarkEnd w:id="132"/>
    <w:p>
      <w:pPr>
        <w:jc w:val="both"/>
        <w:ind w:firstLine="450"/>
        <w:spacing w:after="0" w:line="254"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 No approval, consent, exemption, authorization, or other action by, or notice to, or filing with, any Governmental Authority or any other Person is necessary or required in connection with (a) the execution, delivery or performance by, or enforcement against, any Loan Party of any Loan Document to which it is a party, or for the consummation of the Transactions,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Loan Documents, except for (i) filings and recordings necessary to satisfy the Collateral and Guarantee Requirement, and (ii) the approvals, consents, exemptions, authorizations, actions, notices and filings which have been duly obtained, taken, given or made and are in full force and effect.</w:t>
      </w:r>
    </w:p>
    <w:p>
      <w:pPr>
        <w:spacing w:after="0" w:line="192"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Binding Effect</w:t>
      </w:r>
      <w:r>
        <w:rPr>
          <w:rFonts w:ascii="Arial" w:cs="Arial" w:eastAsia="Arial" w:hAnsi="Arial"/>
          <w:sz w:val="18"/>
          <w:szCs w:val="18"/>
          <w:color w:val="auto"/>
        </w:rPr>
        <w:t>. Each Loan Document has been duly executed and delivered by each Loan Party that is party thereto and constitutes a legal, valid and binding obligation of each such Loan Party, enforceable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spacing w:after="0" w:line="187"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Financial Statements; No Material Adverse Effect</w:t>
      </w:r>
      <w:r>
        <w:rPr>
          <w:rFonts w:ascii="Arial" w:cs="Arial" w:eastAsia="Arial" w:hAnsi="Arial"/>
          <w:sz w:val="16"/>
          <w:szCs w:val="16"/>
          <w:color w:val="auto"/>
        </w:rPr>
        <w:t>.</w:t>
      </w:r>
    </w:p>
    <w:p>
      <w:pPr>
        <w:spacing w:after="0" w:line="225" w:lineRule="exact"/>
        <w:rPr>
          <w:sz w:val="20"/>
          <w:szCs w:val="20"/>
          <w:color w:val="auto"/>
        </w:rPr>
      </w:pPr>
    </w:p>
    <w:p>
      <w:pPr>
        <w:ind w:left="1660" w:hanging="554"/>
        <w:spacing w:after="0"/>
        <w:tabs>
          <w:tab w:leader="none" w:pos="1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Audited Financial Statements and Unaudited Financial Statements:</w:t>
      </w:r>
    </w:p>
    <w:p>
      <w:pPr>
        <w:spacing w:after="0" w:line="225" w:lineRule="exact"/>
        <w:rPr>
          <w:rFonts w:ascii="Arial" w:cs="Arial" w:eastAsia="Arial" w:hAnsi="Arial"/>
          <w:sz w:val="18"/>
          <w:szCs w:val="18"/>
          <w:color w:val="auto"/>
        </w:rPr>
      </w:pPr>
    </w:p>
    <w:p>
      <w:pPr>
        <w:jc w:val="both"/>
        <w:ind w:firstLine="1592"/>
        <w:spacing w:after="0" w:line="263" w:lineRule="auto"/>
        <w:tabs>
          <w:tab w:leader="none" w:pos="218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fairly present the financial condition of the Borrower and its Subsidiaries, as applicable, as of the dates thereof and its results of operations for the period covered thereby in accordance with GAAP consistently applied throughout the periods covered thereby, subject, in the case of the Unaudited Financial Statements, to normal year-end audit adjustments and the absence of footnotes; and</w:t>
      </w:r>
    </w:p>
    <w:p>
      <w:pPr>
        <w:spacing w:after="0" w:line="183" w:lineRule="exact"/>
        <w:rPr>
          <w:rFonts w:ascii="Arial" w:cs="Arial" w:eastAsia="Arial" w:hAnsi="Arial"/>
          <w:sz w:val="18"/>
          <w:szCs w:val="18"/>
          <w:color w:val="auto"/>
        </w:rPr>
      </w:pPr>
    </w:p>
    <w:p>
      <w:pPr>
        <w:ind w:right="20" w:firstLine="1592"/>
        <w:spacing w:after="0" w:line="277" w:lineRule="auto"/>
        <w:tabs>
          <w:tab w:leader="none" w:pos="221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show all material Indebtedness and other liabilities, direct or contingent, of the Borrower and its Subsidiaries, as applicable, as of the date thereof, including liabilities for Taxes, material commitments and contingent obligations.</w:t>
      </w:r>
    </w:p>
    <w:p>
      <w:pPr>
        <w:spacing w:after="0" w:line="170" w:lineRule="exact"/>
        <w:rPr>
          <w:rFonts w:ascii="Arial" w:cs="Arial" w:eastAsia="Arial" w:hAnsi="Arial"/>
          <w:sz w:val="18"/>
          <w:szCs w:val="18"/>
          <w:color w:val="auto"/>
        </w:rPr>
      </w:pPr>
    </w:p>
    <w:p>
      <w:pPr>
        <w:jc w:val="both"/>
        <w:ind w:firstLine="1106"/>
        <w:spacing w:after="0" w:line="290" w:lineRule="auto"/>
        <w:tabs>
          <w:tab w:leader="none" w:pos="174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unaudited pro forma consolidated balance sheet of the Borrower and its Subsidiaries as at September 30, 2020 (including the notes thereto) (the “</w:t>
      </w:r>
      <w:r>
        <w:rPr>
          <w:rFonts w:ascii="Arial" w:cs="Arial" w:eastAsia="Arial" w:hAnsi="Arial"/>
          <w:sz w:val="16"/>
          <w:szCs w:val="16"/>
          <w:u w:val="single" w:color="auto"/>
          <w:color w:val="auto"/>
        </w:rPr>
        <w:t>Pro Forma Balance Sheet</w:t>
      </w:r>
      <w:r>
        <w:rPr>
          <w:rFonts w:ascii="Arial" w:cs="Arial" w:eastAsia="Arial" w:hAnsi="Arial"/>
          <w:sz w:val="16"/>
          <w:szCs w:val="16"/>
          <w:color w:val="auto"/>
        </w:rPr>
        <w:t>”) and the unaudited pro forma consolidated statement of income of the Borrower and its Subsidiaries for the nine month period ending on September 30, 2020 (together with the Pro Forma Balance Sheet, the “</w:t>
      </w:r>
      <w:r>
        <w:rPr>
          <w:rFonts w:ascii="Arial" w:cs="Arial" w:eastAsia="Arial" w:hAnsi="Arial"/>
          <w:sz w:val="16"/>
          <w:szCs w:val="16"/>
          <w:u w:val="single" w:color="auto"/>
          <w:color w:val="auto"/>
        </w:rPr>
        <w:t>Pro Forma Financial Statements</w:t>
      </w:r>
      <w:r>
        <w:rPr>
          <w:rFonts w:ascii="Arial" w:cs="Arial" w:eastAsia="Arial" w:hAnsi="Arial"/>
          <w:sz w:val="16"/>
          <w:szCs w:val="16"/>
          <w:color w:val="auto"/>
        </w:rPr>
        <w:t>”), copies of which have heretofore been furnished to the Administrative Agent, have been prepared giving effect (as if such events had occurred on such date or at the beginning of such periods, as the case may be) to the Transactions. The Pro Forma Financial Statements have been prepared in good faith, based on assumptions believed by the Borrower to be reasonable as of the date of delivery thereof, and present fairly in all material respects on a pro forma basis the estimated financial position of the Borrower and its Subsidiaries as at September 30, 2020 and their estimated results of operations for the periods covered thereby, assuming that the events specified in the preceding sentence had actually occurred at such date or at the beginning of the periods covered thereby.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3" w:name="page134"/>
    <w:bookmarkEnd w:id="133"/>
    <w:p>
      <w:pPr>
        <w:ind w:firstLine="1106"/>
        <w:spacing w:after="0" w:line="277" w:lineRule="auto"/>
        <w:tabs>
          <w:tab w:leader="none" w:pos="173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Since December 31, 2019, there has been no event or circumstance, either individually or in the aggregate, that has had or would reasonably be expected to have a Material Adverse Effect.</w:t>
      </w:r>
    </w:p>
    <w:p>
      <w:pPr>
        <w:spacing w:after="0" w:line="170"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suits or proceedings by or before any arbitrator or Governmental Authority pending against any Loan Party or, to the knowledge of the Borrower, threatened against or affecting the Loan Parties or any of their Subsidiaries (a) as to which there is a reasonable possibility of an adverse determination and that, if adversely determined, could reasonably be expected, individually or in the aggregate, to result in a Material Adverse Effect (other than the Disclosed Matters) or (b) that involve or affect, or that purport to or could reasonably be expected to involve or affect, any Loan Document or the Transactions.</w:t>
      </w:r>
    </w:p>
    <w:p>
      <w:pPr>
        <w:spacing w:after="0" w:line="188"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225" w:lineRule="exact"/>
        <w:rPr>
          <w:sz w:val="20"/>
          <w:szCs w:val="20"/>
          <w:color w:val="auto"/>
        </w:rPr>
      </w:pPr>
    </w:p>
    <w:p>
      <w:pPr>
        <w:ind w:left="1920" w:hanging="814"/>
        <w:spacing w:after="0"/>
        <w:tabs>
          <w:tab w:leader="none" w:pos="19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Except for the Disclosed Matters and except for Environmental Claims which have been fully resolved with no remaining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obligations or conditions:</w:t>
      </w:r>
    </w:p>
    <w:p>
      <w:pPr>
        <w:spacing w:after="0" w:line="210" w:lineRule="exact"/>
        <w:rPr>
          <w:rFonts w:ascii="Arial" w:cs="Arial" w:eastAsia="Arial" w:hAnsi="Arial"/>
          <w:sz w:val="17"/>
          <w:szCs w:val="17"/>
          <w:color w:val="auto"/>
        </w:rPr>
      </w:pPr>
    </w:p>
    <w:p>
      <w:pPr>
        <w:jc w:val="both"/>
        <w:ind w:firstLine="1592"/>
        <w:spacing w:after="0" w:line="259" w:lineRule="auto"/>
        <w:tabs>
          <w:tab w:leader="none" w:pos="2305"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each Loan Party and its Subsidiaries possess all Environmental Permits required under applicable Environmental Law to conduct their respective businesses and are, and within applicable statutes of limitation, have been, in material compliance with the terms of such Environmental Permits. No Loan Party or any of its Subsidiaries has received written notice that any Environmental Permits possessed by any of them will be revoked, suspended or will not be renewed;</w:t>
      </w:r>
    </w:p>
    <w:p>
      <w:pPr>
        <w:spacing w:after="0" w:line="186" w:lineRule="exact"/>
        <w:rPr>
          <w:rFonts w:ascii="Arial" w:cs="Arial" w:eastAsia="Arial" w:hAnsi="Arial"/>
          <w:sz w:val="18"/>
          <w:szCs w:val="18"/>
          <w:color w:val="auto"/>
        </w:rPr>
      </w:pPr>
    </w:p>
    <w:p>
      <w:pPr>
        <w:ind w:right="20" w:firstLine="1592"/>
        <w:spacing w:after="0" w:line="308" w:lineRule="auto"/>
        <w:tabs>
          <w:tab w:leader="none" w:pos="2204"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execution and delivery of this Credit Agreement and the consummation by the Loan Parties of the Transactions does not require any notification, registration, reporting, filing, investigation, or environmental response action under any Environmental Law;</w:t>
      </w:r>
    </w:p>
    <w:p>
      <w:pPr>
        <w:spacing w:after="0" w:line="146" w:lineRule="exact"/>
        <w:rPr>
          <w:rFonts w:ascii="Arial" w:cs="Arial" w:eastAsia="Arial" w:hAnsi="Arial"/>
          <w:sz w:val="17"/>
          <w:szCs w:val="17"/>
          <w:color w:val="auto"/>
        </w:rPr>
      </w:pPr>
    </w:p>
    <w:p>
      <w:pPr>
        <w:ind w:right="20" w:firstLine="1592"/>
        <w:spacing w:after="0" w:line="277" w:lineRule="auto"/>
        <w:tabs>
          <w:tab w:leader="none" w:pos="2324"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each of the Loan Parties and their Subsidiaries are currently, and within applicable statutes of limitation, have been, in material compliance with all applicable Environmental Law;</w:t>
      </w:r>
    </w:p>
    <w:p>
      <w:pPr>
        <w:spacing w:after="0" w:line="170" w:lineRule="exact"/>
        <w:rPr>
          <w:rFonts w:ascii="Arial" w:cs="Arial" w:eastAsia="Arial" w:hAnsi="Arial"/>
          <w:sz w:val="18"/>
          <w:szCs w:val="18"/>
          <w:color w:val="auto"/>
        </w:rPr>
      </w:pPr>
    </w:p>
    <w:p>
      <w:pPr>
        <w:jc w:val="both"/>
        <w:ind w:firstLine="1592"/>
        <w:spacing w:after="0" w:line="273" w:lineRule="auto"/>
        <w:tabs>
          <w:tab w:leader="none" w:pos="2438" w:val="left"/>
        </w:tabs>
        <w:numPr>
          <w:ilvl w:val="1"/>
          <w:numId w:val="130"/>
        </w:numPr>
        <w:rPr>
          <w:rFonts w:ascii="Arial" w:cs="Arial" w:eastAsia="Arial" w:hAnsi="Arial"/>
          <w:sz w:val="17"/>
          <w:szCs w:val="17"/>
          <w:color w:val="auto"/>
        </w:rPr>
      </w:pPr>
      <w:r>
        <w:rPr>
          <w:rFonts w:ascii="Arial" w:cs="Arial" w:eastAsia="Arial" w:hAnsi="Arial"/>
          <w:sz w:val="17"/>
          <w:szCs w:val="17"/>
          <w:color w:val="auto"/>
        </w:rPr>
        <w:t>no Loan Party nor any of its Subsidiaries has received (A) notice of any pending or threatened civil, criminal or administrative action, suit, demand, claim, hearing, notice of violation, investigation, notice or demand letter or request for information under any Environmental Law, or (B) notice of actual or potential liability under any Environmental Law including any Environmental Liability that such Loan Party or Subsidiary may have retained or assumed either contractually or by operation of law or of any Environmental Claim, in either case with respect to clauses (A) or (B) that reasonably could be expected to result in material expenditure by such Loan Party or Subsidiary. No Loan Party or any of its Subsidiaries has knowledge of any circumstances that reasonably could be expected to result in a material Environmental Liability;</w:t>
      </w:r>
    </w:p>
    <w:p>
      <w:pPr>
        <w:spacing w:after="0" w:line="177" w:lineRule="exact"/>
        <w:rPr>
          <w:rFonts w:ascii="Arial" w:cs="Arial" w:eastAsia="Arial" w:hAnsi="Arial"/>
          <w:sz w:val="17"/>
          <w:szCs w:val="17"/>
          <w:color w:val="auto"/>
        </w:rPr>
      </w:pPr>
    </w:p>
    <w:p>
      <w:pPr>
        <w:jc w:val="both"/>
        <w:ind w:firstLine="1592"/>
        <w:spacing w:after="0" w:line="257" w:lineRule="auto"/>
        <w:tabs>
          <w:tab w:leader="none" w:pos="225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as of the Agreement Date: (A) no property or facility currently, or to the knowledge of each Loan Party, formerly owned, operated or leased by any Loan Party or any of its current or former Subsidiaries or by any respective predecessor in interest, and (B) no property at which Hazardous Materials generated, owned or controlled by any Loan Party, any of its present or former Subsidiaries or any predecessor in interest have been stored, treated or disposed of, have been identified by a Governmental Authority as recommended for or requiring or potentially requiring environmental assessment and/or response actions under Environmental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4" w:name="page135"/>
    <w:bookmarkEnd w:id="134"/>
    <w:p>
      <w:pPr>
        <w:jc w:val="both"/>
        <w:ind w:firstLine="1592"/>
        <w:spacing w:after="0" w:line="253" w:lineRule="auto"/>
        <w:tabs>
          <w:tab w:leader="none" w:pos="2295"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 there has been no disposal, spill, discharge or Release of any Hazardous Material generated, used, owned, stored or controlled by any Loan Party, any of its Subsidiaries or any predecessor in interest, on, at or under any property currently or formerly owned, leased or operated by any Loan Party, any of its current or former Subsidiaries or any predecessor in interest, (B) there are no Hazardous Materials located in, at, on or under such facility or property, or at any other location, in either case (A) or (B), that reasonably would be expected to require investigation, removal, remedial or corrective measures by any Loan Party or any of its Subsidiaries or that reasonably could result in material liabilities of, or material losses, damages or costs to any Loan Party or any of its Subsidiaries under any Environmental Law, and (C) neither the Loan Parties nor any of their Subsidiaries has retained or assumed any liability contractually or by operation of law with regard to the generation, treatment, storage or disposal of Hazardous Materials or compliance with Environmental Law that would reasonably be expected to result in material expenditures by any Loan Party or any of its Subsidiaries;</w:t>
      </w:r>
    </w:p>
    <w:p>
      <w:pPr>
        <w:spacing w:after="0" w:line="196" w:lineRule="exact"/>
        <w:rPr>
          <w:rFonts w:ascii="Arial" w:cs="Arial" w:eastAsia="Arial" w:hAnsi="Arial"/>
          <w:sz w:val="18"/>
          <w:szCs w:val="18"/>
          <w:color w:val="auto"/>
        </w:rPr>
      </w:pPr>
    </w:p>
    <w:p>
      <w:pPr>
        <w:jc w:val="both"/>
        <w:ind w:firstLine="1592"/>
        <w:spacing w:after="0" w:line="296" w:lineRule="auto"/>
        <w:tabs>
          <w:tab w:leader="none" w:pos="2283"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 there has not been any underground or aboveground storage tank or other underground storage receptacle or related piping, or any impoundment or other disposal area in each case containing Hazardous Materials located on any facility or property currently or formerly owned, leased or operated by any Loan Party or any of its Subsidiaries, and (B) no asbestos or polychlorinated biphenyls have been used or disposed of, or have been located at, on or under any facility or property currently or formerly owned, leased or operated by any Loan Party or any of its Subsidiaries, in either case (A) or (B) except in material compliance with applicable Environmental Laws or as would not result in material Environmental Liability;</w:t>
      </w:r>
    </w:p>
    <w:p>
      <w:pPr>
        <w:spacing w:after="0" w:line="161" w:lineRule="exact"/>
        <w:rPr>
          <w:rFonts w:ascii="Arial" w:cs="Arial" w:eastAsia="Arial" w:hAnsi="Arial"/>
          <w:sz w:val="16"/>
          <w:szCs w:val="16"/>
          <w:color w:val="auto"/>
        </w:rPr>
      </w:pPr>
    </w:p>
    <w:p>
      <w:pPr>
        <w:ind w:firstLine="1592"/>
        <w:spacing w:after="0" w:line="277" w:lineRule="auto"/>
        <w:tabs>
          <w:tab w:leader="none" w:pos="2205" w:val="left"/>
        </w:tabs>
        <w:numPr>
          <w:ilvl w:val="1"/>
          <w:numId w:val="131"/>
        </w:numPr>
        <w:rPr>
          <w:rFonts w:ascii="Arial" w:cs="Arial" w:eastAsia="Arial" w:hAnsi="Arial"/>
          <w:sz w:val="18"/>
          <w:szCs w:val="18"/>
          <w:color w:val="auto"/>
        </w:rPr>
      </w:pPr>
      <w:r>
        <w:rPr>
          <w:rFonts w:ascii="Arial" w:cs="Arial" w:eastAsia="Arial" w:hAnsi="Arial"/>
          <w:sz w:val="18"/>
          <w:szCs w:val="18"/>
          <w:color w:val="auto"/>
        </w:rPr>
        <w:t>no Lien has been recorded against any properties, assets or facilities currently owned, leased or operated by any Loan Party or any of its Subsidiaries under any Environmental Law.</w:t>
      </w:r>
    </w:p>
    <w:p>
      <w:pPr>
        <w:spacing w:after="0" w:line="170" w:lineRule="exact"/>
        <w:rPr>
          <w:rFonts w:ascii="Arial" w:cs="Arial" w:eastAsia="Arial" w:hAnsi="Arial"/>
          <w:sz w:val="18"/>
          <w:szCs w:val="18"/>
          <w:color w:val="auto"/>
        </w:rPr>
      </w:pPr>
    </w:p>
    <w:p>
      <w:pPr>
        <w:ind w:right="20" w:firstLine="1106"/>
        <w:spacing w:after="0" w:line="277" w:lineRule="auto"/>
        <w:tabs>
          <w:tab w:leader="none" w:pos="168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Since the Agreement Date, there has been no change in the status of the Disclosed Matters that, individually or in the aggregate, has resulted in, or materially increased the likelihood of, a Material Adverse Effect.</w:t>
      </w:r>
    </w:p>
    <w:p>
      <w:pPr>
        <w:spacing w:after="0" w:line="170" w:lineRule="exact"/>
        <w:rPr>
          <w:rFonts w:ascii="Arial" w:cs="Arial" w:eastAsia="Arial" w:hAnsi="Arial"/>
          <w:sz w:val="18"/>
          <w:szCs w:val="18"/>
          <w:color w:val="auto"/>
        </w:rPr>
      </w:pPr>
    </w:p>
    <w:p>
      <w:pPr>
        <w:jc w:val="both"/>
        <w:ind w:firstLine="1106"/>
        <w:spacing w:after="0" w:line="275" w:lineRule="auto"/>
        <w:tabs>
          <w:tab w:leader="none" w:pos="1753"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Loan Parties and their Subsidiaries have provided to the Administrative Agent and its authorized representatives all material records and files, including all material assessments, reports, studies, analyses, audits, tests and data in their possession or under their control concerning any Environmental Claim, the existence of Hazardous Materials or any other environmental concern at properties, assets or facilities currently or formerly owned, operated or leased by any Loan Party or any of their present or former Subsidiaries or predecessor in interest, or concerning compliance by any Loan Party or any such Subsidiary with, or liability under any Environmental Law.</w:t>
      </w:r>
    </w:p>
    <w:p>
      <w:pPr>
        <w:spacing w:after="0" w:line="176" w:lineRule="exact"/>
        <w:rPr>
          <w:sz w:val="20"/>
          <w:szCs w:val="20"/>
          <w:color w:val="auto"/>
        </w:rPr>
      </w:pPr>
    </w:p>
    <w:p>
      <w:pPr>
        <w:jc w:val="both"/>
        <w:ind w:firstLine="450"/>
        <w:spacing w:after="0" w:line="271"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Ownership of Properties; Liens</w:t>
      </w:r>
      <w:r>
        <w:rPr>
          <w:rFonts w:ascii="Arial" w:cs="Arial" w:eastAsia="Arial" w:hAnsi="Arial"/>
          <w:sz w:val="17"/>
          <w:szCs w:val="17"/>
          <w:color w:val="auto"/>
        </w:rPr>
        <w:t>. Each Loan Party and its Subsidiaries (a)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 (b) owns, or is entitled to use, all trademarks, service marks, trade names, domain names, copyrights, patents, patent rights, technology, software, know-how database rights, design rights and other intellectual property rights material to its business, and the use thereof by the Loan Parties and their respective Subsidiaries does not infringe upon the rights of any other Person, except for any such infringements that, individually or in the aggregate, would not reasonably be expected to result in a Material Adverse Effect, (c) has complied in all material respects with all obligations under all material leases to which it is a party and all such leases are in full force and effect and (d) enjoys peaceful and undisturbed possession under all such material leases.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5" w:name="page136"/>
    <w:bookmarkEnd w:id="135"/>
    <w:p>
      <w:pPr>
        <w:jc w:val="both"/>
        <w:ind w:firstLine="450"/>
        <w:spacing w:after="0" w:line="311"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Casualty, Etc</w:t>
      </w:r>
      <w:r>
        <w:rPr>
          <w:rFonts w:ascii="Arial" w:cs="Arial" w:eastAsia="Arial" w:hAnsi="Arial"/>
          <w:sz w:val="16"/>
          <w:szCs w:val="16"/>
          <w:color w:val="auto"/>
        </w:rPr>
        <w:t>. 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would reasonably be expected to have a Material Adverse Effect.</w:t>
      </w:r>
    </w:p>
    <w:p>
      <w:pPr>
        <w:spacing w:after="0" w:line="149" w:lineRule="exact"/>
        <w:rPr>
          <w:sz w:val="20"/>
          <w:szCs w:val="20"/>
          <w:color w:val="auto"/>
        </w:rPr>
      </w:pPr>
    </w:p>
    <w:p>
      <w:pPr>
        <w:jc w:val="both"/>
        <w:ind w:firstLine="450"/>
        <w:spacing w:after="0" w:line="308"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Investment Company Status, Etc</w:t>
      </w:r>
      <w:r>
        <w:rPr>
          <w:rFonts w:ascii="Arial" w:cs="Arial" w:eastAsia="Arial" w:hAnsi="Arial"/>
          <w:sz w:val="17"/>
          <w:szCs w:val="17"/>
          <w:color w:val="auto"/>
        </w:rPr>
        <w:t>. No Loan Party or any of its Subsidiaries is (a) an “investment company” as defined in, or subject to regulation under, the Investment Company Act of 1940 or (b) otherwise subject to any other regulatory scheme limiting its ability to incur debt.</w:t>
      </w:r>
    </w:p>
    <w:p>
      <w:pPr>
        <w:spacing w:after="0" w:line="146"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Taxes</w:t>
      </w:r>
      <w:r>
        <w:rPr>
          <w:rFonts w:ascii="Arial" w:cs="Arial" w:eastAsia="Arial" w:hAnsi="Arial"/>
          <w:sz w:val="18"/>
          <w:szCs w:val="18"/>
          <w:color w:val="auto"/>
        </w:rPr>
        <w:t>. Each Loan Party and its Subsidiaries has timely filed or caused to be filed all federal, provincial, state, municipal, foreign and other Tax returns and reports required to be filed, and have timely paid all federal, provincial, state, municipal, foreign and Taxes levied or imposed upon them or their properties, income or assets otherwise due and payable, except (a) those which are being Contested in Good Faith and (b) failures to file or pay as could not, either individually or in the aggregate, reasonably be expected to result in a Material Adverse Effect. There are no Tax audits, deficiencies, assessments or other claims with respect to any Loan Party or any of its Subsidiaries that would, either individually or in the aggregate, reasonably be expected to result in a Material Adverse Effect.</w:t>
      </w:r>
    </w:p>
    <w:p>
      <w:pPr>
        <w:spacing w:after="0" w:line="192"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7"/>
          <w:szCs w:val="17"/>
          <w:u w:val="single" w:color="auto"/>
          <w:color w:val="auto"/>
        </w:rPr>
        <w:t>ERISA</w:t>
      </w:r>
      <w:r>
        <w:rPr>
          <w:rFonts w:ascii="Arial" w:cs="Arial" w:eastAsia="Arial" w:hAnsi="Arial"/>
          <w:sz w:val="17"/>
          <w:szCs w:val="17"/>
          <w:color w:val="auto"/>
        </w:rPr>
        <w:t>.</w:t>
      </w:r>
    </w:p>
    <w:p>
      <w:pPr>
        <w:spacing w:after="0" w:line="225" w:lineRule="exact"/>
        <w:rPr>
          <w:sz w:val="20"/>
          <w:szCs w:val="20"/>
          <w:color w:val="auto"/>
        </w:rPr>
      </w:pPr>
    </w:p>
    <w:p>
      <w:pPr>
        <w:jc w:val="both"/>
        <w:ind w:firstLine="1106"/>
        <w:spacing w:after="0" w:line="285" w:lineRule="auto"/>
        <w:tabs>
          <w:tab w:leader="none" w:pos="169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Each Loan Party and each of its ERISA Affiliates is in compliance in all material respects with the applicable provisions of ERISA and the Code and the regulations and published interpretations thereunder. No ERISA Event has occurred or is reasonably expected to occur that, when taken together with all other such ERISA Events for which liability is reasonably expected to occur, would reasonably be expected to result in a Material Adverse Effect. No event described in Section 4062(e) of ERISA has occurred and is continuing with respect to any Pension Plan. The present value of all accumulated benefit obligations under each Pension Plan (based on the assumptions used for purposes of Statement of Financial Accounting Standards No.</w:t>
      </w:r>
    </w:p>
    <w:p>
      <w:pPr>
        <w:spacing w:after="0" w:line="1" w:lineRule="exact"/>
        <w:rPr>
          <w:rFonts w:ascii="Arial" w:cs="Arial" w:eastAsia="Arial" w:hAnsi="Arial"/>
          <w:sz w:val="16"/>
          <w:szCs w:val="16"/>
          <w:color w:val="auto"/>
        </w:rPr>
      </w:pPr>
    </w:p>
    <w:p>
      <w:pPr>
        <w:jc w:val="both"/>
        <w:ind w:firstLine="8"/>
        <w:spacing w:after="0" w:line="253" w:lineRule="auto"/>
        <w:tabs>
          <w:tab w:leader="none" w:pos="29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did not, as of the date of the most recent financial statements reflecting such amounts, exceed the fair market value of the assets of such Pension Plan and the present value of all accumulated benefit obligations of all underfunded Pension Plans (based on the assumptions used for purposes of Statement of Financial Accounting Standards No. 87) did not, as of the date of the most recent financial statements reflecting such amounts, exceed the fair market value of the assets of all such underfunded Pension Plans.</w:t>
      </w:r>
    </w:p>
    <w:p>
      <w:pPr>
        <w:spacing w:after="0" w:line="192" w:lineRule="exact"/>
        <w:rPr>
          <w:rFonts w:ascii="Arial" w:cs="Arial" w:eastAsia="Arial" w:hAnsi="Arial"/>
          <w:sz w:val="18"/>
          <w:szCs w:val="18"/>
          <w:color w:val="auto"/>
        </w:rPr>
      </w:pPr>
    </w:p>
    <w:p>
      <w:pPr>
        <w:jc w:val="both"/>
        <w:ind w:firstLine="1106"/>
        <w:spacing w:after="0" w:line="257" w:lineRule="auto"/>
        <w:tabs>
          <w:tab w:leader="none" w:pos="174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Each Pension Plan that is intended to qualify under Section 401(a) of the Code has received a favorable determination letter from the IRS or an application for such a letter is currently being processed by the IRS with respect thereto and, to the knowledge of the Loan Parties, nothing has occurred which would prevent, or cause the loss of, such qualification. Each Loan Party and ERISA Affiliate has made all required contributions to each Pension Plan subject to Section 412 of the Code, and no application for a funding waiver pursuant to Section 412 of the Code has been made with respect to any Pension Plan.</w:t>
      </w:r>
    </w:p>
    <w:p>
      <w:pPr>
        <w:spacing w:after="0" w:line="187" w:lineRule="exact"/>
        <w:rPr>
          <w:rFonts w:ascii="Arial" w:cs="Arial" w:eastAsia="Arial" w:hAnsi="Arial"/>
          <w:sz w:val="18"/>
          <w:szCs w:val="18"/>
          <w:color w:val="auto"/>
        </w:rPr>
      </w:pPr>
    </w:p>
    <w:p>
      <w:pPr>
        <w:jc w:val="both"/>
        <w:ind w:firstLine="1106"/>
        <w:spacing w:after="0" w:line="259" w:lineRule="auto"/>
        <w:tabs>
          <w:tab w:leader="none" w:pos="195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There are no pending or, to the knowledge of the Loan Parties, threatened claims, actions, or lawsuits, or action by any Governmental Authority, with respect to any Pension Plan that would reasonably be expected to have a Material Adverse Effect. There has been no violation of the fiduciary responsibility rules of ERISA with respect to any Pension Plan that has resulted in or would reasonably be expected to have a Material Adverse Effect.</w:t>
      </w:r>
    </w:p>
    <w:p>
      <w:pPr>
        <w:spacing w:after="0" w:line="186" w:lineRule="exact"/>
        <w:rPr>
          <w:rFonts w:ascii="Arial" w:cs="Arial" w:eastAsia="Arial" w:hAnsi="Arial"/>
          <w:sz w:val="18"/>
          <w:szCs w:val="18"/>
          <w:color w:val="auto"/>
        </w:rPr>
      </w:pPr>
    </w:p>
    <w:p>
      <w:pPr>
        <w:jc w:val="both"/>
        <w:ind w:firstLine="1106"/>
        <w:spacing w:after="0" w:line="301" w:lineRule="auto"/>
        <w:tabs>
          <w:tab w:leader="none" w:pos="1668" w:val="left"/>
        </w:tabs>
        <w:numPr>
          <w:ilvl w:val="1"/>
          <w:numId w:val="134"/>
        </w:numPr>
        <w:rPr>
          <w:rFonts w:ascii="Arial" w:cs="Arial" w:eastAsia="Arial" w:hAnsi="Arial"/>
          <w:sz w:val="16"/>
          <w:szCs w:val="16"/>
          <w:color w:val="auto"/>
        </w:rPr>
      </w:pPr>
      <w:r>
        <w:rPr>
          <w:rFonts w:ascii="Arial" w:cs="Arial" w:eastAsia="Arial" w:hAnsi="Arial"/>
          <w:sz w:val="16"/>
          <w:szCs w:val="16"/>
          <w:color w:val="auto"/>
        </w:rPr>
        <w:t>No Loan Party or ERISA Affiliate (i) has incurred, or reasonably expects to incur, any liability under Title IV of ERISA with respect to any Pension Plan (other than premiums due and not delinquent under Section 4007 of ERISA), (ii) has incurred, or reasonably expects to incur, any liability (and no event has occurred which, with the giving of notice under Section 4219 of ERISA, would result in such liability) under Section 4201 of ERISA with respect to a Multiemployer Plan, and (iii) has engaged in a transaction that could be subject to Section 4069 or Section 4212(c) of ERISA.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6" w:name="page137"/>
    <w:bookmarkEnd w:id="136"/>
    <w:p>
      <w:pPr>
        <w:jc w:val="both"/>
        <w:ind w:firstLine="1106"/>
        <w:spacing w:after="0" w:line="257" w:lineRule="auto"/>
        <w:tabs>
          <w:tab w:leader="none" w:pos="17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such Pension Plan or trust created thereunder, or party in interest (as defined in Section 3(14) of ERISA), or any fiduciary (as defined in Section 3(21) of ERISA), has engaged in a “prohibited transaction” (as such term is defined in Section 406 of ERISA or Section 4975 of the Code) which would subject such Pension Plan or any other plan of any Loan Party or any of its ERISA Affiliates, any trust created thereunder, or any such party in interest or fiduciary, or any party dealing with any such Pension Plan or any such trust, to any material penalty or tax on “prohibited transactions” imposed by Section 502 of ERISA or Section 4975 of the Code.</w:t>
      </w:r>
    </w:p>
    <w:p>
      <w:pPr>
        <w:spacing w:after="0" w:line="187" w:lineRule="exact"/>
        <w:rPr>
          <w:rFonts w:ascii="Arial" w:cs="Arial" w:eastAsia="Arial" w:hAnsi="Arial"/>
          <w:sz w:val="18"/>
          <w:szCs w:val="18"/>
          <w:color w:val="auto"/>
        </w:rPr>
      </w:pPr>
    </w:p>
    <w:p>
      <w:pPr>
        <w:jc w:val="both"/>
        <w:ind w:firstLine="1106"/>
        <w:spacing w:after="0" w:line="254" w:lineRule="auto"/>
        <w:tabs>
          <w:tab w:leader="none" w:pos="169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With respect to any Foreign Plan, (i) all employer and employee contributions required by law or by the terms of the Foreign Plan have been made, or, if applicable, accrued, in accordance with normal accounting practices; (ii)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with respect to all current and former participants in such Foreign Plan according to the actuarial assumptions and valuations most recently used to account for such obligations in accordance with applicable generally accepted accounting principles; and (iii) it has been registered as required and has been maintained in good standing with applicable regulatory authorities.</w:t>
      </w:r>
    </w:p>
    <w:p>
      <w:pPr>
        <w:spacing w:after="0" w:line="195"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Subsidiaries; Equity Interests</w:t>
      </w:r>
      <w:r>
        <w:rPr>
          <w:rFonts w:ascii="Arial" w:cs="Arial" w:eastAsia="Arial" w:hAnsi="Arial"/>
          <w:sz w:val="17"/>
          <w:szCs w:val="17"/>
          <w:color w:val="auto"/>
        </w:rPr>
        <w:t xml:space="preserve">. As of the Agreement Date, no Loan Party has any direct or indirect Subsidiaries or investments (other than Cash Equivalents) in, or joint ventures or partnerships with, any Person, except as disclosed in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Such Schedule sets forth (a) the name and jurisdiction of organization or incorporation of each Subsidiary and identifies each Subsidiary that is a Subsidiary Guarantor and/or an Excluded Subsidiary on the Agreement Date, (b) the ownership interest of each Loan Party and tier respective Subsidiaries in each of their respective Subsidiaries, including the percentage of such ownership and (c) identifies each Person the Equity Interests of which are required to be pledged on the Closing Date pursuant to the Collateral and Guarantee Requirement. Neither any Loan Party nor any of its Subsidiaries has issued any Disqualified Equity Interests and there are no outstanding options or warrants to purchase Equity Interests of any Loan Party or any of its Subsidiaries of any class or kind, and, except as disclosed in </w:t>
      </w:r>
      <w:r>
        <w:rPr>
          <w:rFonts w:ascii="Arial" w:cs="Arial" w:eastAsia="Arial" w:hAnsi="Arial"/>
          <w:sz w:val="17"/>
          <w:szCs w:val="17"/>
          <w:u w:val="single" w:color="auto"/>
          <w:color w:val="auto"/>
        </w:rPr>
        <w:t>Schedule 5.13</w:t>
      </w:r>
      <w:r>
        <w:rPr>
          <w:rFonts w:ascii="Arial" w:cs="Arial" w:eastAsia="Arial" w:hAnsi="Arial"/>
          <w:sz w:val="17"/>
          <w:szCs w:val="17"/>
          <w:color w:val="auto"/>
        </w:rPr>
        <w:t>, there are no agreements, voting trusts or understandings with respect thereto or affecting in any manner the sale, pledge, assignment or other disposition thereof, including any right of first refusal, option, redemption, call or other rights with respect thereto, whether similar or dissimilar to any of the foregoing. All of the issued and outstanding Equity Interests owned by any Loan Party in its Subsidiaries have been duly authorized and issued and are fully paid and non-assessable and are free and clear of all Liens other than Liens in favor of the Administrative Agent under the Collateral Documents.</w:t>
      </w:r>
    </w:p>
    <w:p>
      <w:pPr>
        <w:spacing w:after="0" w:line="179"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5.14</w:t>
      </w:r>
      <w:r>
        <w:rPr>
          <w:rFonts w:ascii="Arial" w:cs="Arial" w:eastAsia="Arial" w:hAnsi="Arial"/>
          <w:sz w:val="18"/>
          <w:szCs w:val="18"/>
          <w:color w:val="auto"/>
        </w:rPr>
        <w:t xml:space="preserve"> sets forth a description of all insurance maintained by or on behalf of the Loan Parties and their Subsidiaries on the Agreement Date (including names of carriers, policy number, expiration dates, insurance types and coverage amounts). As of the Agreement Date, all premiums in respect of such insurance that are due and payable have been paid.</w:t>
      </w:r>
    </w:p>
    <w:p>
      <w:pPr>
        <w:spacing w:after="0" w:line="184"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Federal Reserve Regulations, Etc</w:t>
      </w:r>
      <w:r>
        <w:rPr>
          <w:rFonts w:ascii="Arial" w:cs="Arial" w:eastAsia="Arial" w:hAnsi="Arial"/>
          <w:sz w:val="18"/>
          <w:szCs w:val="18"/>
          <w:color w:val="auto"/>
        </w:rPr>
        <w:t>. Neither any Loan Party nor any of its Subsidiaries is engaged principally, or as one of their important activities, in the business of extending credit for the purpose of buying or carrying Margin Stock. Immediately before and after giving effect to the making of each Loan and the issuance of each Letter of Credit, Margin Stock will constitute less than 25% of each Loan Party’s assets as determined in accordance with Regulation U. No part of the proceeds of any Loan or any Letter of Credit will be used, whether directly or indirectly, and whether immediately, incidentally or ultimately, (a) to purchase, acquire or carry any Margin Stock or for any purpose that entails a violation of, or that is inconsistent with, the provisions of the regulations of the Board, including Regulation T, U or X or (b) for any purpose that would violate any Anti-Corruption Laws or applicable Sanctions.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7" w:name="page138"/>
    <w:bookmarkEnd w:id="137"/>
    <w:p>
      <w:pPr>
        <w:jc w:val="both"/>
        <w:ind w:firstLine="450"/>
        <w:spacing w:after="0" w:line="285"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xml:space="preserve">. The Security Agreement, upon execution and delivery thereof by the parties thereto, will create in favor of the Administrative Agent, for the ratable benefit of the Secured Parties, a legal, valid and enforceable security interest in the Collateral (as defined in the Security Agreement) and the proceeds thereof and (i) when the Pledged Equity Interests (other than uncertificated Equity Interests) and the Pledged Debt Securities (as each such term is defined in the Security Agreement) are delivered to the Administrative Agent together with the proper endorsements, the Lien created under Security Agreement shall constitute a fully perfected first priority Lien on, and security interest in, all right, title and interest of the Loan Parties in such Pledged Equity Interests and Pledged Debt Securities to the extent that the laws of the United States or any state, commonwealth or other political subdivision thereof govern the creation and perfection of any such security interest, in each case prior and superior in right to any other Lien or right of any other person and (ii) when financing statements in appropriate form are filed in the offices specified on </w:t>
      </w:r>
      <w:r>
        <w:rPr>
          <w:rFonts w:ascii="Arial" w:cs="Arial" w:eastAsia="Arial" w:hAnsi="Arial"/>
          <w:sz w:val="16"/>
          <w:szCs w:val="16"/>
          <w:u w:val="single" w:color="auto"/>
          <w:color w:val="auto"/>
        </w:rPr>
        <w:t>Schedule 5.16(a)</w:t>
      </w:r>
      <w:r>
        <w:rPr>
          <w:rFonts w:ascii="Arial" w:cs="Arial" w:eastAsia="Arial" w:hAnsi="Arial"/>
          <w:sz w:val="16"/>
          <w:szCs w:val="16"/>
          <w:color w:val="auto"/>
        </w:rPr>
        <w:t xml:space="preserve"> and, with respect to Collateral consisting of Intellectual Property, when the Security Agreement (or Copyright Security Agreements, Patent Security Agreements and/or Trademark Security Agreements, as applicable) are filed with the United States Patent and Trademark Office or the United States Copyright Office, as applicable, and in each case, all applicable filing fees have been paid, the Lien created under the Security Agreement will constitute a fully perfected Lien on, and security interest in, all right, title and interest of the Loan Parties in the Collateral to the extent such security interest may be perfected by the filing of a UCC financing statement and, with respect to Intellectual Property, the filing of such Copyright Security Agreements, Patent Security Agreements and/or Trademark Security Agreements with the United States Patent and Trademark Office or the United States Copyright Office, as applicable, in each case prior and superior in right to any other Lien or right of any other person, other than Liens expressly permitted by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which by operation of law or contract have priority over the Liens securing the Secured Obligations.</w:t>
      </w:r>
    </w:p>
    <w:p>
      <w:pPr>
        <w:spacing w:after="0" w:line="176"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u w:val="single" w:color="auto"/>
          <w:color w:val="auto"/>
        </w:rPr>
        <w:t>Solvency</w:t>
      </w:r>
      <w:r>
        <w:rPr>
          <w:rFonts w:ascii="Arial" w:cs="Arial" w:eastAsia="Arial" w:hAnsi="Arial"/>
          <w:sz w:val="18"/>
          <w:szCs w:val="18"/>
          <w:color w:val="auto"/>
        </w:rPr>
        <w:t>. Immediately before and after the consummation of each Transaction, each of the Loan Parties and its Subsidiaries, on a consolidated basis, are Solvent.</w:t>
      </w:r>
    </w:p>
    <w:p>
      <w:pPr>
        <w:spacing w:after="0" w:line="170"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5.18</w:t>
      </w:r>
      <w:r>
        <w:rPr>
          <w:sz w:val="20"/>
          <w:szCs w:val="20"/>
          <w:color w:val="auto"/>
        </w:rPr>
        <w:tab/>
      </w:r>
      <w:r>
        <w:rPr>
          <w:rFonts w:ascii="Arial" w:cs="Arial" w:eastAsia="Arial" w:hAnsi="Arial"/>
          <w:sz w:val="16"/>
          <w:szCs w:val="16"/>
          <w:u w:val="single" w:color="auto"/>
          <w:color w:val="auto"/>
        </w:rPr>
        <w:t>Anti-Corruption Laws; Sanctions; Anti-Terrorism Laws</w:t>
      </w:r>
      <w:r>
        <w:rPr>
          <w:rFonts w:ascii="Arial" w:cs="Arial" w:eastAsia="Arial" w:hAnsi="Arial"/>
          <w:sz w:val="16"/>
          <w:szCs w:val="16"/>
          <w:color w:val="auto"/>
        </w:rPr>
        <w:t>.</w:t>
      </w:r>
    </w:p>
    <w:p>
      <w:pPr>
        <w:spacing w:after="0" w:line="225" w:lineRule="exact"/>
        <w:rPr>
          <w:sz w:val="20"/>
          <w:szCs w:val="20"/>
          <w:color w:val="auto"/>
        </w:rPr>
      </w:pPr>
    </w:p>
    <w:p>
      <w:pPr>
        <w:jc w:val="both"/>
        <w:ind w:firstLine="1106"/>
        <w:spacing w:after="0" w:line="257" w:lineRule="auto"/>
        <w:tabs>
          <w:tab w:leader="none" w:pos="169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Loan Party, its Subsidiaries and their respective officers and employees and their directors and agents, are in compliance with Anti-Corruption Laws and applicable Sanctions. Neither any Loan Party, any of its Subsidiaries or any of their respective directors, officers or employees is a Sanctioned Person. Each Loan Party and each of its Subsidiaries has implemented and maintains in effect policies and procedures reasonably designed to ensure compliance by the Loan Party, its Subsidiaries and their respective directors, officers, employees and agents with Anti-Corruption Laws and all applicable Sanctions.</w:t>
      </w:r>
    </w:p>
    <w:p>
      <w:pPr>
        <w:spacing w:after="0" w:line="187" w:lineRule="exact"/>
        <w:rPr>
          <w:rFonts w:ascii="Arial" w:cs="Arial" w:eastAsia="Arial" w:hAnsi="Arial"/>
          <w:sz w:val="18"/>
          <w:szCs w:val="18"/>
          <w:color w:val="auto"/>
        </w:rPr>
      </w:pPr>
    </w:p>
    <w:p>
      <w:pPr>
        <w:jc w:val="both"/>
        <w:ind w:firstLine="1106"/>
        <w:spacing w:after="0" w:line="279" w:lineRule="auto"/>
        <w:tabs>
          <w:tab w:leader="none" w:pos="1783" w:val="left"/>
        </w:tabs>
        <w:numPr>
          <w:ilvl w:val="0"/>
          <w:numId w:val="136"/>
        </w:numPr>
        <w:rPr>
          <w:rFonts w:ascii="Arial" w:cs="Arial" w:eastAsia="Arial" w:hAnsi="Arial"/>
          <w:sz w:val="17"/>
          <w:szCs w:val="17"/>
          <w:color w:val="auto"/>
        </w:rPr>
      </w:pPr>
      <w:r>
        <w:rPr>
          <w:rFonts w:ascii="Arial" w:cs="Arial" w:eastAsia="Arial" w:hAnsi="Arial"/>
          <w:sz w:val="17"/>
          <w:szCs w:val="17"/>
          <w:color w:val="auto"/>
        </w:rPr>
        <w:t>No Loan or Letter of Credit, use of the proceeds of any Loan or Letter of Credit or other transactions contemplated hereby will violate Anti-Corruption Laws or applicable Sanctions. No part of the proceeds of the Loans or the Letters or Credit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Anti-Corruption Laws.</w:t>
      </w:r>
    </w:p>
    <w:p>
      <w:pPr>
        <w:spacing w:after="0" w:line="171" w:lineRule="exact"/>
        <w:rPr>
          <w:rFonts w:ascii="Arial" w:cs="Arial" w:eastAsia="Arial" w:hAnsi="Arial"/>
          <w:sz w:val="17"/>
          <w:szCs w:val="17"/>
          <w:color w:val="auto"/>
        </w:rPr>
      </w:pPr>
    </w:p>
    <w:p>
      <w:pPr>
        <w:jc w:val="both"/>
        <w:ind w:firstLine="1106"/>
        <w:spacing w:after="0" w:line="257" w:lineRule="auto"/>
        <w:tabs>
          <w:tab w:leader="none" w:pos="166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Neither the making of the Loans hereunder nor the use of the proceeds thereof will violate the any regulations passed under the USA PATRIOT Act or will violate the Trading with the Enemy Act, the International Emergency Economic Powers Act, or any regulations passed thereunder, including the foreign assets control regulations of the United States Treasury Department (31 C.F.R., Subtitle B, Chapter V) or any enabling legislation or executive order relating thereto or successor statute thereto (together with Sanctions, “</w:t>
      </w:r>
      <w:r>
        <w:rPr>
          <w:rFonts w:ascii="Arial" w:cs="Arial" w:eastAsia="Arial" w:hAnsi="Arial"/>
          <w:sz w:val="18"/>
          <w:szCs w:val="18"/>
          <w:u w:val="single" w:color="auto"/>
          <w:color w:val="auto"/>
        </w:rPr>
        <w:t>Anti-Terrorism Laws</w:t>
      </w:r>
      <w:r>
        <w:rPr>
          <w:rFonts w:ascii="Arial" w:cs="Arial" w:eastAsia="Arial" w:hAnsi="Arial"/>
          <w:sz w:val="18"/>
          <w:szCs w:val="18"/>
          <w:color w:val="auto"/>
        </w:rPr>
        <w:t>”). Each Loan Party and each of its Subsidiaries are in compliance with applicable Anti-Terrorism Laws.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8" w:name="page139"/>
    <w:bookmarkEnd w:id="138"/>
    <w:p>
      <w:pPr>
        <w:ind w:firstLine="450"/>
        <w:spacing w:after="0" w:line="277"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Material Owned Real Property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5.19</w:t>
      </w:r>
      <w:r>
        <w:rPr>
          <w:rFonts w:ascii="Arial" w:cs="Arial" w:eastAsia="Arial" w:hAnsi="Arial"/>
          <w:sz w:val="18"/>
          <w:szCs w:val="18"/>
          <w:color w:val="auto"/>
        </w:rPr>
        <w:t xml:space="preserve"> lists completely and correctly as of the Agreement Date all Material Owned Real Property and the addresses thereof. One or more of the Loan Parties own in fee all the real property set forth on </w:t>
      </w:r>
      <w:r>
        <w:rPr>
          <w:rFonts w:ascii="Arial" w:cs="Arial" w:eastAsia="Arial" w:hAnsi="Arial"/>
          <w:sz w:val="18"/>
          <w:szCs w:val="18"/>
          <w:u w:val="single" w:color="auto"/>
          <w:color w:val="auto"/>
        </w:rPr>
        <w:t>Schedule 5.19</w:t>
      </w:r>
      <w:r>
        <w:rPr>
          <w:rFonts w:ascii="Arial" w:cs="Arial" w:eastAsia="Arial" w:hAnsi="Arial"/>
          <w:sz w:val="18"/>
          <w:szCs w:val="18"/>
          <w:color w:val="auto"/>
        </w:rPr>
        <w:t>.</w:t>
      </w:r>
    </w:p>
    <w:p>
      <w:pPr>
        <w:spacing w:after="0" w:line="170"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5.20</w:t>
      </w:r>
      <w:r>
        <w:rPr>
          <w:sz w:val="20"/>
          <w:szCs w:val="20"/>
          <w:color w:val="auto"/>
        </w:rPr>
        <w:tab/>
      </w:r>
      <w:r>
        <w:rPr>
          <w:rFonts w:ascii="Arial" w:cs="Arial" w:eastAsia="Arial" w:hAnsi="Arial"/>
          <w:sz w:val="16"/>
          <w:szCs w:val="16"/>
          <w:u w:val="single" w:color="auto"/>
          <w:color w:val="auto"/>
        </w:rPr>
        <w:t>Accuracy of Information, Etc</w:t>
      </w:r>
      <w:r>
        <w:rPr>
          <w:rFonts w:ascii="Arial" w:cs="Arial" w:eastAsia="Arial" w:hAnsi="Arial"/>
          <w:sz w:val="16"/>
          <w:szCs w:val="16"/>
          <w:color w:val="auto"/>
        </w:rPr>
        <w:t>.</w:t>
      </w:r>
    </w:p>
    <w:p>
      <w:pPr>
        <w:spacing w:after="0" w:line="225" w:lineRule="exact"/>
        <w:rPr>
          <w:sz w:val="20"/>
          <w:szCs w:val="20"/>
          <w:color w:val="auto"/>
        </w:rPr>
      </w:pPr>
    </w:p>
    <w:p>
      <w:pPr>
        <w:jc w:val="both"/>
        <w:ind w:firstLine="1106"/>
        <w:spacing w:after="0" w:line="271" w:lineRule="auto"/>
        <w:tabs>
          <w:tab w:leader="none" w:pos="1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Each Loan Party has disclosed to the Credit Parties all agreements, instruments and corporate or other restrictions to which it or any of its Subsidiaries is subject, and all other matters known to it, that, individually or in the aggregate, would reasonably be expected to result in a Material Adverse Effect. Neither the Information Memorandum nor any of the other reports, financial statements, certificates or other information furnished (whether in writing or orally) by or on behalf of any Loan Party to any Credit Party in connection with the transactions contemplated hereby and the negotiation of this Credit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financial information, the Loan Parties represent only that such information was prepared in good faith based upon assumptions believed to be reasonable at the time.</w:t>
      </w:r>
    </w:p>
    <w:p>
      <w:pPr>
        <w:spacing w:after="0" w:line="178" w:lineRule="exact"/>
        <w:rPr>
          <w:rFonts w:ascii="Arial" w:cs="Arial" w:eastAsia="Arial" w:hAnsi="Arial"/>
          <w:sz w:val="17"/>
          <w:szCs w:val="17"/>
          <w:color w:val="auto"/>
        </w:rPr>
      </w:pPr>
    </w:p>
    <w:p>
      <w:pPr>
        <w:ind w:left="1680" w:hanging="574"/>
        <w:spacing w:after="0"/>
        <w:tabs>
          <w:tab w:leader="none" w:pos="1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As of the Closing Date, the information included in the Beneficial Ownership Certification is true and correct in all respects.</w:t>
      </w:r>
    </w:p>
    <w:p>
      <w:pPr>
        <w:spacing w:after="0" w:line="237"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color w:val="auto"/>
        </w:rPr>
        <w:t xml:space="preserve">Section 5.21 </w:t>
      </w:r>
      <w:r>
        <w:rPr>
          <w:rFonts w:ascii="Arial" w:cs="Arial" w:eastAsia="Arial" w:hAnsi="Arial"/>
          <w:sz w:val="16"/>
          <w:szCs w:val="16"/>
          <w:u w:val="single" w:color="auto"/>
          <w:color w:val="auto"/>
        </w:rPr>
        <w:t>Labor Matters</w:t>
      </w:r>
      <w:r>
        <w:rPr>
          <w:rFonts w:ascii="Arial" w:cs="Arial" w:eastAsia="Arial" w:hAnsi="Arial"/>
          <w:sz w:val="16"/>
          <w:szCs w:val="16"/>
          <w:color w:val="auto"/>
        </w:rPr>
        <w:t>. There are no strikes, lockouts or slowdowns against any Loan Party or any of its Subsidiaries pending or, to the knowledge of any Loan Party, threatened. The hours worked by and payments made to employees of the Loan Parties and their Subsidiaries have not been in violation in any material respect of the Fair Labor Standards Act or any other applicable Federal, state, local or foreign law dealing with such matters. All material payments due from the Loan Parties or any of their Subsidiaries, or for which any claim may be made against any of the Loan Parties or any of their Subsidiaries, on account of wages and employee health and welfare insurance and other benefits, have been paid or accrued as a liability on the books of such Loan Party or such Subsidiary. The consummation of the Transactions will not give rise to any right of termination or right of renegotiation on the part of any union under any collective bargaining agreement to which any of the Loan Parties or any of their Subsidiaries is bound.</w:t>
      </w:r>
    </w:p>
    <w:p>
      <w:pPr>
        <w:spacing w:after="0" w:line="166"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u w:val="single" w:color="auto"/>
          <w:color w:val="auto"/>
        </w:rPr>
        <w:t>Absence of Certain Restrictions</w:t>
      </w:r>
      <w:r>
        <w:rPr>
          <w:rFonts w:ascii="Arial" w:cs="Arial" w:eastAsia="Arial" w:hAnsi="Arial"/>
          <w:sz w:val="18"/>
          <w:szCs w:val="18"/>
          <w:color w:val="auto"/>
        </w:rPr>
        <w:t>. No indenture, certificate of designation for preferred stock, agreement or instrument to which any Loan Party or any of its Subsidiaries is a party (other than this Credit Agreement), prohibits or limits in any way, directly or indirectly the ability of any Subsidiary to make Restricted Payments or loans to, to make any advance on behalf of, or to repay any Indebtedness to, any Loan Party or to another Subsidiary.</w:t>
      </w:r>
    </w:p>
    <w:p>
      <w:pPr>
        <w:spacing w:after="0" w:line="187" w:lineRule="exact"/>
        <w:rPr>
          <w:sz w:val="20"/>
          <w:szCs w:val="20"/>
          <w:color w:val="auto"/>
        </w:rPr>
      </w:pPr>
    </w:p>
    <w:p>
      <w:pPr>
        <w:jc w:val="both"/>
        <w:ind w:firstLine="450"/>
        <w:spacing w:after="0" w:line="311" w:lineRule="auto"/>
        <w:rPr>
          <w:sz w:val="20"/>
          <w:szCs w:val="20"/>
          <w:color w:val="auto"/>
        </w:rPr>
      </w:pPr>
      <w:r>
        <w:rPr>
          <w:rFonts w:ascii="Arial" w:cs="Arial" w:eastAsia="Arial" w:hAnsi="Arial"/>
          <w:sz w:val="16"/>
          <w:szCs w:val="16"/>
          <w:color w:val="auto"/>
        </w:rPr>
        <w:t xml:space="preserve">Section 5.23 </w:t>
      </w:r>
      <w:r>
        <w:rPr>
          <w:rFonts w:ascii="Arial" w:cs="Arial" w:eastAsia="Arial" w:hAnsi="Arial"/>
          <w:sz w:val="16"/>
          <w:szCs w:val="16"/>
          <w:u w:val="single" w:color="auto"/>
          <w:color w:val="auto"/>
        </w:rPr>
        <w:t>No Default</w:t>
      </w:r>
      <w:r>
        <w:rPr>
          <w:rFonts w:ascii="Arial" w:cs="Arial" w:eastAsia="Arial" w:hAnsi="Arial"/>
          <w:sz w:val="16"/>
          <w:szCs w:val="16"/>
          <w:color w:val="auto"/>
        </w:rPr>
        <w:t>. No Loan Party nor any of its Subsidiaries is in default in the performance, observance or fulfillment of any of the obligations, covenants or conditions contained in any agreement, instrument or other undertaking to which such Person is a party or by which it or any of its property is bound in any respect that would reasonably be expected to have a Material Adverse Effect. No Default has occurred and is continuing.</w:t>
      </w:r>
    </w:p>
    <w:p>
      <w:pPr>
        <w:spacing w:after="0" w:line="149"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color w:val="auto"/>
        </w:rPr>
        <w:t xml:space="preserve">Section 5.24 </w:t>
      </w:r>
      <w:r>
        <w:rPr>
          <w:rFonts w:ascii="Arial" w:cs="Arial" w:eastAsia="Arial" w:hAnsi="Arial"/>
          <w:sz w:val="16"/>
          <w:szCs w:val="16"/>
          <w:u w:val="single" w:color="auto"/>
          <w:color w:val="auto"/>
        </w:rPr>
        <w:t>Common Enterprise</w:t>
      </w:r>
      <w:r>
        <w:rPr>
          <w:rFonts w:ascii="Arial" w:cs="Arial" w:eastAsia="Arial" w:hAnsi="Arial"/>
          <w:sz w:val="16"/>
          <w:szCs w:val="16"/>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(a) successful operations of each of the other Loan Parties and (b) the credit extended by the Lenders to the Borrower hereunder, both in their separate capacities and as members of the group of companies. Each Loan Party has determined that execution, delivery, and performance of this Credit Agreement and any other Loan Documents to be executed by such Loan Party is within its purpose, will be of direct and indirect benefit to such Loan Party, and is in its best interest.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9" w:name="page140"/>
    <w:bookmarkEnd w:id="139"/>
    <w:p>
      <w:pPr>
        <w:jc w:val="both"/>
        <w:ind w:firstLine="450"/>
        <w:spacing w:after="0" w:line="263" w:lineRule="auto"/>
        <w:rPr>
          <w:sz w:val="20"/>
          <w:szCs w:val="20"/>
          <w:color w:val="auto"/>
        </w:rPr>
      </w:pPr>
      <w:r>
        <w:rPr>
          <w:rFonts w:ascii="Arial" w:cs="Arial" w:eastAsia="Arial" w:hAnsi="Arial"/>
          <w:sz w:val="18"/>
          <w:szCs w:val="18"/>
          <w:color w:val="auto"/>
        </w:rPr>
        <w:t xml:space="preserve">Section 5.25 </w:t>
      </w:r>
      <w:r>
        <w:rPr>
          <w:rFonts w:ascii="Arial" w:cs="Arial" w:eastAsia="Arial" w:hAnsi="Arial"/>
          <w:sz w:val="18"/>
          <w:szCs w:val="18"/>
          <w:u w:val="single" w:color="auto"/>
          <w:color w:val="auto"/>
        </w:rPr>
        <w:t>Brokers’ Fees</w:t>
      </w:r>
      <w:r>
        <w:rPr>
          <w:rFonts w:ascii="Arial" w:cs="Arial" w:eastAsia="Arial" w:hAnsi="Arial"/>
          <w:sz w:val="18"/>
          <w:szCs w:val="18"/>
          <w:color w:val="auto"/>
        </w:rPr>
        <w:t>. None of the Loan Parties or their Subsidiaries has any obligation to any Person in respect of any finder’s, broker’s, investment banking or other similar fee in connection with any of the transactions contemplated under the Loan Documents other than the closing and other fees payable pursuant to this Credit Agreement and as set forth in the Fee Letter.</w:t>
      </w:r>
    </w:p>
    <w:p>
      <w:pPr>
        <w:spacing w:after="0" w:line="184"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5.26</w:t>
      </w:r>
      <w:r>
        <w:rPr>
          <w:sz w:val="20"/>
          <w:szCs w:val="20"/>
          <w:color w:val="auto"/>
        </w:rPr>
        <w:tab/>
      </w:r>
      <w:r>
        <w:rPr>
          <w:rFonts w:ascii="Arial" w:cs="Arial" w:eastAsia="Arial" w:hAnsi="Arial"/>
          <w:sz w:val="16"/>
          <w:szCs w:val="16"/>
          <w:u w:val="single" w:color="auto"/>
          <w:color w:val="FF0000"/>
          <w:strike w:val="1"/>
        </w:rPr>
        <w:t>EEA</w:t>
      </w:r>
      <w:r>
        <w:rPr>
          <w:rFonts w:ascii="Arial" w:cs="Arial" w:eastAsia="Arial" w:hAnsi="Arial"/>
          <w:sz w:val="16"/>
          <w:szCs w:val="16"/>
          <w:u w:val="single" w:color="auto"/>
          <w:color w:val="0000FF"/>
          <w:strike w:val="1"/>
        </w:rPr>
        <w:t>Affected</w:t>
      </w:r>
      <w:r>
        <w:rPr>
          <w:rFonts w:ascii="Arial" w:cs="Arial" w:eastAsia="Arial" w:hAnsi="Arial"/>
          <w:sz w:val="16"/>
          <w:szCs w:val="16"/>
          <w:u w:val="single" w:color="auto"/>
          <w:color w:val="FF0000"/>
          <w:strike w:val="1"/>
        </w:rPr>
        <w:t xml:space="preserve"> </w:t>
      </w:r>
      <w:r>
        <w:rPr>
          <w:rFonts w:ascii="Arial" w:cs="Arial" w:eastAsia="Arial" w:hAnsi="Arial"/>
          <w:sz w:val="16"/>
          <w:szCs w:val="16"/>
          <w:u w:val="single" w:color="auto"/>
          <w:color w:val="000000"/>
          <w:strike w:val="1"/>
        </w:rPr>
        <w:t>Financial Institutions</w:t>
      </w:r>
      <w:r>
        <w:rPr>
          <w:rFonts w:ascii="Arial" w:cs="Arial" w:eastAsia="Arial" w:hAnsi="Arial"/>
          <w:sz w:val="16"/>
          <w:szCs w:val="16"/>
          <w:color w:val="000000"/>
          <w:strike w:val="1"/>
        </w:rPr>
        <w:t>. No Loan Party is an</w:t>
      </w:r>
      <w:r>
        <w:rPr>
          <w:rFonts w:ascii="Arial" w:cs="Arial" w:eastAsia="Arial" w:hAnsi="Arial"/>
          <w:sz w:val="16"/>
          <w:szCs w:val="16"/>
          <w:u w:val="single" w:color="auto"/>
          <w:color w:val="FF0000"/>
          <w:strike w:val="1"/>
        </w:rPr>
        <w:t xml:space="preserve"> </w:t>
      </w:r>
      <w:r>
        <w:rPr>
          <w:rFonts w:ascii="Arial" w:cs="Arial" w:eastAsia="Arial" w:hAnsi="Arial"/>
          <w:sz w:val="16"/>
          <w:szCs w:val="16"/>
          <w:color w:val="FF0000"/>
          <w:strike w:val="1"/>
        </w:rPr>
        <w:t>EEA</w:t>
      </w:r>
      <w:r>
        <w:rPr>
          <w:rFonts w:ascii="Arial" w:cs="Arial" w:eastAsia="Arial" w:hAnsi="Arial"/>
          <w:sz w:val="16"/>
          <w:szCs w:val="16"/>
          <w:u w:val="single" w:color="auto"/>
          <w:color w:val="0000FF"/>
          <w:strike w:val="1"/>
        </w:rPr>
        <w:t>Affected</w:t>
      </w:r>
      <w:r>
        <w:rPr>
          <w:rFonts w:ascii="Arial" w:cs="Arial" w:eastAsia="Arial" w:hAnsi="Arial"/>
          <w:sz w:val="16"/>
          <w:szCs w:val="16"/>
          <w:u w:val="single" w:color="auto"/>
          <w:color w:val="FF0000"/>
          <w:strike w:val="1"/>
        </w:rPr>
        <w:t xml:space="preserve"> </w:t>
      </w:r>
      <w:r>
        <w:rPr>
          <w:rFonts w:ascii="Arial" w:cs="Arial" w:eastAsia="Arial" w:hAnsi="Arial"/>
          <w:sz w:val="16"/>
          <w:szCs w:val="16"/>
          <w:color w:val="000000"/>
          <w:strike w:val="1"/>
        </w:rPr>
        <w:t>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6350</wp:posOffset>
            </wp:positionV>
            <wp:extent cx="39433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6350</wp:posOffset>
            </wp:positionV>
            <wp:extent cx="39433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20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ARTICLE 6</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Until the Termination Date, the Borrower covenants and agrees with the Credit Parties that:</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The Borrower will furnish or caused to be furnished to the Administrative Agent and each Lender either in hard copy or by electronic communication (including by email, internet and intranet websites) pursuant to procedures approved by the Administrative Agent:</w:t>
      </w:r>
    </w:p>
    <w:p>
      <w:pPr>
        <w:spacing w:after="0" w:line="184" w:lineRule="exact"/>
        <w:rPr>
          <w:sz w:val="20"/>
          <w:szCs w:val="20"/>
          <w:color w:val="auto"/>
        </w:rPr>
      </w:pPr>
    </w:p>
    <w:p>
      <w:pPr>
        <w:jc w:val="both"/>
        <w:ind w:firstLine="1106"/>
        <w:spacing w:after="0" w:line="268" w:lineRule="auto"/>
        <w:tabs>
          <w:tab w:leader="none" w:pos="169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within 90 days after the end of each Fiscal Year, (i) the Borrower’s Form 10-K containing the audited consolidated balance sheet of the Borrower and its Subsidiaries together with the related statements of income, comprehensive income, stockholders’ equity and cash flows as of the end of and for such year, setting forth in each case in comparative form the figures for the previous Fiscal Year, all reported on by Grant Thornton LLP or another registered independent public accounting firm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Borrower and its Subsidiaries on a consolidated basis in accordance with GAAP consistently applied and (ii) the unaudited consolidating balance sheets of the Borrower and its Subsidiaries and the related statements of income, comprehensive income, stockholders’ equity and cash flows as of the end of and for such year, setting forth in each case in comparative form the figures for the previous Fiscal Year and certified by one of its Financial Officers as presenting fairly in all material respects the financial condition and results of operations of the Borrower and its Subsidiaries on a consolidating basis in accordance with GAAP consistently applied, subject to normal year-end audit adjustments and the absence of footnotes, together with a schedule of other financial information consisting of consolidating or combining details in columnar form with its Subsidiaries separately identified, in accordance with GAAP consistently applied; provided, that delivery by the Borrower to the Administrative Agent of the Borrower’s annual report on Form 10-K to the SEC with respect to any fiscal year, or the Borrower’s notice to the Administrative Agent (email being sufficient) of the availability of such report on the SEC’s EDGAR website or the Borrower’s website (to the extent such report complies with the requirements of this clause (a)), within the period specified above shall be deemed to be compliance by the Borrower with this Section 6.1(a);</w:t>
      </w:r>
    </w:p>
    <w:p>
      <w:pPr>
        <w:spacing w:after="0" w:line="179" w:lineRule="exact"/>
        <w:rPr>
          <w:rFonts w:ascii="Arial" w:cs="Arial" w:eastAsia="Arial" w:hAnsi="Arial"/>
          <w:sz w:val="17"/>
          <w:szCs w:val="17"/>
          <w:color w:val="auto"/>
        </w:rPr>
      </w:pPr>
    </w:p>
    <w:p>
      <w:pPr>
        <w:jc w:val="both"/>
        <w:ind w:firstLine="1106"/>
        <w:spacing w:after="0" w:line="285" w:lineRule="auto"/>
        <w:tabs>
          <w:tab w:leader="none" w:pos="1671"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within 45 days after the end of each of the first three fiscal quarters of each Fiscal Year, (i) the Borrower’s Form 10-Q containing the unaudited consolidated balance sheet of the Borrower and its Subsidiaries and the related unaudited statements of income, comprehensive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Subsidiaries on a consolidated basis in accordance with GAAP consistently applied, subject to normal year-end audit adjustments and the absence of footnotes and (ii) the unaudited consolidating balance sheet of the Borrower and its Subsidiaries and the related unaudited statements of income, comprehensive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certified by one of its Financial Officers as presenting fairly in all material respects the financial condition and results of operations of the Borrower and its Subsidiaries on a consolidating basis in accordance with GAAP consistently applied, subject to normal year-end audit adjustments and the absence of footnotes, together with a schedule of other financial information consisting of consolidating or combining details in columnar form with its Subsidiaries separately identified, in accordance with GAAP consistently applied; provided, that delivery by the Borrower to the Administrative Agent of the Borrower’s quarterly report on Form 10-Q to the SEC with respect to any fiscal quarter, or the Borrower’s notice to the Administrative Agent (email being sufficient) of the availability of such report on the SEC’s EDGAR website or the Borrower’s website (to the extent such report complies with the requirements of this clause (b)), within the period specified above shall be deemed to be compliance by the Borrower with this Section 6.1(b);</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0" w:name="page141"/>
    <w:bookmarkEnd w:id="140"/>
    <w:p>
      <w:pPr>
        <w:jc w:val="both"/>
        <w:ind w:firstLine="1106"/>
        <w:spacing w:after="0" w:line="287" w:lineRule="auto"/>
        <w:tabs>
          <w:tab w:leader="none" w:pos="168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concurrently with any delivery of financial statements under clause (a) or (b) above, a Compliance Certificate signed by a Financial Officer of the Borrower (i) stating whether any change in GAAP or in the application thereof has occurred since the date of the Audited Financial Statements and, if any such change has occurred, specifying the effect of such change on the financial statements accompanying such Compliance Certificate, (ii) containing either a certification that no Default exists or, specifying the nature of each such Default, the nature and status thereof and any action taken or proposed to be taken with respect thereto, (iii) certifying that there have been no changes to the jurisdiction of organization or legal name of any Loan Party since the date of the last Compliance Certificate delivered pursuant to the Credit Agreement, (iv) attaching reasonably detailed calculations demonstrating compliance with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and (v) certifying that the Borrower has no Subsidiaries other than (A) those that existed on the Closing Date and were reflected in the Perfection Certificate on such date, (B) those formed or acquired after the Closing Date with respect to which the Administrative Agent was previously notified either pursuant to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of the Credit Agreement, in an additional Perfection Certificate or in a previous Compliance Certificate, and (C) those other Subsidiaries set forth on the relevant Schedule to such Compliance Certificate, which Schedule sets forth for each such Subsidiary whether such Subsidiary is (w) a Domestic Subsidiary, (x) a Subsidiary Guarantor (including the basis for it not being a Subsidiary Guarantor, if applicable), (y) a first tier Foreign Subsidiary or (z) an Excluded Subsidiary (including the basis for its constituting an Excluded Subsidiary).</w:t>
      </w:r>
    </w:p>
    <w:p>
      <w:pPr>
        <w:spacing w:after="0" w:line="167" w:lineRule="exact"/>
        <w:rPr>
          <w:rFonts w:ascii="Arial" w:cs="Arial" w:eastAsia="Arial" w:hAnsi="Arial"/>
          <w:sz w:val="16"/>
          <w:szCs w:val="16"/>
          <w:color w:val="auto"/>
        </w:rPr>
      </w:pPr>
    </w:p>
    <w:p>
      <w:pPr>
        <w:jc w:val="both"/>
        <w:ind w:firstLine="1106"/>
        <w:spacing w:after="0" w:line="263" w:lineRule="auto"/>
        <w:tabs>
          <w:tab w:leader="none" w:pos="173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concurrently with any delivery of financial statements under clause (a) above, a certificate of the accounting firm that reported on such financial statements stating whether they obtained knowledge during the course of their examination of such financial statements of any Default (which certificate may be limited to the extent required by accounting rules or guidelines);</w:t>
      </w:r>
    </w:p>
    <w:p>
      <w:pPr>
        <w:spacing w:after="0" w:line="183" w:lineRule="exact"/>
        <w:rPr>
          <w:rFonts w:ascii="Arial" w:cs="Arial" w:eastAsia="Arial" w:hAnsi="Arial"/>
          <w:sz w:val="18"/>
          <w:szCs w:val="18"/>
          <w:color w:val="auto"/>
        </w:rPr>
      </w:pPr>
    </w:p>
    <w:p>
      <w:pPr>
        <w:jc w:val="both"/>
        <w:ind w:firstLine="1106"/>
        <w:spacing w:after="0" w:line="286" w:lineRule="auto"/>
        <w:tabs>
          <w:tab w:leader="none" w:pos="172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within 60 days after the beginning of each Fiscal Year, an annual consolidated and consolidating forecast for the Borrower and its Subsidiaries for such Fiscal Year and the following two Fiscal Years, including projected consolidated and consolidating statements of income and comprehensive income of the Borrower and its Subsidiaries, all in reasonable detail acceptable to the Administrative Agent;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1" w:name="page142"/>
    <w:bookmarkEnd w:id="141"/>
    <w:p>
      <w:pPr>
        <w:ind w:left="1640" w:hanging="534"/>
        <w:spacing w:after="0"/>
        <w:tabs>
          <w:tab w:leader="none" w:pos="16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106"/>
        <w:spacing w:after="0" w:line="257" w:lineRule="auto"/>
        <w:tabs>
          <w:tab w:leader="none" w:pos="171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promptly following any request therefor, (i) such other information and documentation reasonably requested by the Administrative Agent or any Lender for purposes of compliance with applicable “know your customer” requirements under the USA Patriot Act, the Beneficial Ownership Regulation or other applicable Anti-Corruption and Anti-Terrorism Laws (including those passed pursuant to the USA PATRIOT Act), and (ii) such other information regarding the operations, business affairs and financial condition of the Borrower or any Subsidiary, or compliance with the terms of the Loan Documents, as any Credit Party may reasonably request.</w:t>
      </w:r>
    </w:p>
    <w:p>
      <w:pPr>
        <w:spacing w:after="0" w:line="188"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The Borrower will furnish or caused to be furnished to the Administrative Agent and each Lender prompt written notice of the following:</w:t>
      </w:r>
    </w:p>
    <w:p>
      <w:pPr>
        <w:spacing w:after="0" w:line="170" w:lineRule="exact"/>
        <w:rPr>
          <w:sz w:val="20"/>
          <w:szCs w:val="20"/>
          <w:color w:val="auto"/>
        </w:rPr>
      </w:pPr>
    </w:p>
    <w:p>
      <w:pPr>
        <w:ind w:left="1660" w:hanging="554"/>
        <w:spacing w:after="0"/>
        <w:tabs>
          <w:tab w:leader="none" w:pos="1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occurrence of any Default, specifying the nature and extent thereof;</w:t>
      </w:r>
    </w:p>
    <w:p>
      <w:pPr>
        <w:spacing w:after="0" w:line="225" w:lineRule="exact"/>
        <w:rPr>
          <w:rFonts w:ascii="Arial" w:cs="Arial" w:eastAsia="Arial" w:hAnsi="Arial"/>
          <w:sz w:val="18"/>
          <w:szCs w:val="18"/>
          <w:color w:val="auto"/>
        </w:rPr>
      </w:pPr>
    </w:p>
    <w:p>
      <w:pPr>
        <w:jc w:val="both"/>
        <w:ind w:firstLine="1106"/>
        <w:spacing w:after="0" w:line="263" w:lineRule="auto"/>
        <w:tabs>
          <w:tab w:leader="none" w:pos="189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filing or commencement of, or any threat or notice of intention of any Person to file or commence, any action, suit or proceeding, whether at law or in equity or by or before any Governmental Authority, against, or affecting, any Loan Party or any of its Subsidiaries that would reasonably be expected to result in a Material Adverse Effect;</w:t>
      </w:r>
    </w:p>
    <w:p>
      <w:pPr>
        <w:spacing w:after="0" w:line="183" w:lineRule="exact"/>
        <w:rPr>
          <w:rFonts w:ascii="Arial" w:cs="Arial" w:eastAsia="Arial" w:hAnsi="Arial"/>
          <w:sz w:val="18"/>
          <w:szCs w:val="18"/>
          <w:color w:val="auto"/>
        </w:rPr>
      </w:pPr>
    </w:p>
    <w:p>
      <w:pPr>
        <w:jc w:val="both"/>
        <w:ind w:firstLine="1106"/>
        <w:spacing w:after="0" w:line="257" w:lineRule="auto"/>
        <w:tabs>
          <w:tab w:leader="none" w:pos="175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requested by Administrative Agent from time to time, copies of any annual report required to be filed in connection with each Pension Plan or Foreign Plan, and as soon as possible after, and in any event within 10 days after any Loan Party or any ERISA Affiliate knows or has reason to know that, any ERISA Event (or any similar event with respect to a Foreign Plan) has occurred that, alone or together with any other ERISA Event (or any similar event with respect to a Foreign Plan) would reasonably be expected to result in liability of any Loan Party or any ERISA Affiliate in an aggregate amount exceeding the Threshold Amount;</w:t>
      </w:r>
    </w:p>
    <w:p>
      <w:pPr>
        <w:spacing w:after="0" w:line="187" w:lineRule="exact"/>
        <w:rPr>
          <w:rFonts w:ascii="Arial" w:cs="Arial" w:eastAsia="Arial" w:hAnsi="Arial"/>
          <w:sz w:val="18"/>
          <w:szCs w:val="18"/>
          <w:color w:val="auto"/>
        </w:rPr>
      </w:pPr>
    </w:p>
    <w:p>
      <w:pPr>
        <w:jc w:val="both"/>
        <w:ind w:firstLine="1106"/>
        <w:spacing w:after="0" w:line="259" w:lineRule="auto"/>
        <w:tabs>
          <w:tab w:leader="none" w:pos="170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as soon as possible and in no event later than five Business Days after the receipt by any Loan Party or any of its Subsidiaries, of a copy of any notice, summons, citation or other written communication concerning any actual, alleged, suspected or threatened violation of any Environmental Law by, Environmental Claim against or Environmental Liability of, any Loan Party or any of its Subsidiaries, in each case, which would reasonably be expected to have a Material Adverse Effect;</w:t>
      </w:r>
    </w:p>
    <w:p>
      <w:pPr>
        <w:spacing w:after="0" w:line="186" w:lineRule="exact"/>
        <w:rPr>
          <w:rFonts w:ascii="Arial" w:cs="Arial" w:eastAsia="Arial" w:hAnsi="Arial"/>
          <w:sz w:val="18"/>
          <w:szCs w:val="18"/>
          <w:color w:val="auto"/>
        </w:rPr>
      </w:pPr>
    </w:p>
    <w:p>
      <w:pPr>
        <w:jc w:val="both"/>
        <w:ind w:firstLine="1106"/>
        <w:spacing w:after="0" w:line="259" w:lineRule="auto"/>
        <w:tabs>
          <w:tab w:leader="none" w:pos="175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proxy statements and other materials filed by any Loan Party or any of its Subsidiaries with the Securities and Exchange Commission, or any Governmental Authority succeeding to any or all of the functions of said Commission, or with any national securities exchange, or distributed by any Loan Party to its shareholders generally, as the case may be;</w:t>
      </w:r>
    </w:p>
    <w:p>
      <w:pPr>
        <w:spacing w:after="0" w:line="186" w:lineRule="exact"/>
        <w:rPr>
          <w:rFonts w:ascii="Arial" w:cs="Arial" w:eastAsia="Arial" w:hAnsi="Arial"/>
          <w:sz w:val="18"/>
          <w:szCs w:val="18"/>
          <w:color w:val="auto"/>
        </w:rPr>
      </w:pPr>
    </w:p>
    <w:p>
      <w:pPr>
        <w:jc w:val="both"/>
        <w:ind w:firstLine="1106"/>
        <w:spacing w:after="0" w:line="263" w:lineRule="auto"/>
        <w:tabs>
          <w:tab w:leader="none" w:pos="168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promptly after the furnishing thereof, copies of any statement or report furnished to any holder of debt securities of any Loan Party or of any of its Subsidiaries pursuant to the terms of any indenture, loan or credit or similar agreement and not otherwise required to be furnished to the Lenders pursuant to any other clause of this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1106"/>
        <w:spacing w:after="0" w:line="277" w:lineRule="auto"/>
        <w:tabs>
          <w:tab w:leader="none" w:pos="181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promptly after any Loan Party or any of its Subsidiaries (i) being required to file reports under Section 15(d) of the Securities Exchange Act of 1934, or (ii) registering securities under Section 12 of the Securities Exchange Act of 1934;</w:t>
      </w:r>
    </w:p>
    <w:p>
      <w:pPr>
        <w:spacing w:after="0" w:line="170" w:lineRule="exact"/>
        <w:rPr>
          <w:rFonts w:ascii="Arial" w:cs="Arial" w:eastAsia="Arial" w:hAnsi="Arial"/>
          <w:sz w:val="18"/>
          <w:szCs w:val="18"/>
          <w:color w:val="auto"/>
        </w:rPr>
      </w:pPr>
    </w:p>
    <w:p>
      <w:pPr>
        <w:ind w:left="1740" w:hanging="634"/>
        <w:spacing w:after="0"/>
        <w:tabs>
          <w:tab w:leader="none" w:pos="17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promptly after any Person becomes, or ceases to be, a Subsidiary or a Guarantor, an updated list of Subsidiaries or Guarantors,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case may be;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2" w:name="page143"/>
    <w:bookmarkEnd w:id="142"/>
    <w:p>
      <w:pPr>
        <w:jc w:val="both"/>
        <w:ind w:firstLine="1106"/>
        <w:spacing w:after="0" w:line="259" w:lineRule="auto"/>
        <w:tabs>
          <w:tab w:leader="none" w:pos="170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within five Business Days following the consummation of any acquisition for which the value of the total consideration paid by the Borrower or any Subsidiary (whether in cash or otherwise) is greater than or equal to $1,000,000, (1) a notice of such acquisition, which notice shall set forth evidence of pro forma compliance with all the financial covenants under the Loan Documents, and (2) true and complete copies of each acquisition document together with all schedules thereto, each executed by all of the parties thereto;</w:t>
      </w:r>
    </w:p>
    <w:p>
      <w:pPr>
        <w:spacing w:after="0" w:line="186" w:lineRule="exact"/>
        <w:rPr>
          <w:rFonts w:ascii="Arial" w:cs="Arial" w:eastAsia="Arial" w:hAnsi="Arial"/>
          <w:sz w:val="18"/>
          <w:szCs w:val="18"/>
          <w:color w:val="auto"/>
        </w:rPr>
      </w:pPr>
    </w:p>
    <w:p>
      <w:pPr>
        <w:ind w:left="1820" w:hanging="714"/>
        <w:spacing w:after="0"/>
        <w:tabs>
          <w:tab w:leader="none" w:pos="18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occurrence of any other development that has resulted in, or would reasonably be expected to result in, a Material Adverse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 and</w:t>
      </w:r>
    </w:p>
    <w:p>
      <w:pPr>
        <w:spacing w:after="0" w:line="210" w:lineRule="exact"/>
        <w:rPr>
          <w:rFonts w:ascii="Arial" w:cs="Arial" w:eastAsia="Arial" w:hAnsi="Arial"/>
          <w:sz w:val="16"/>
          <w:szCs w:val="16"/>
          <w:color w:val="auto"/>
        </w:rPr>
      </w:pPr>
    </w:p>
    <w:p>
      <w:pPr>
        <w:ind w:firstLine="1106"/>
        <w:spacing w:after="0" w:line="277" w:lineRule="auto"/>
        <w:tabs>
          <w:tab w:leader="none" w:pos="178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change in the information provided in the most recently delivered Beneficial Ownership Certification that would result in a change to the list of beneficial owners identified therein.</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Each notice delivered under this Section shall be accompanied by a statement of a Financial Officer of the Borrower or other executive officer of the Borrower setting forth the details of the event or development requiring such notice and any action taken or proposed to be taken with respect thereto.</w:t>
      </w:r>
    </w:p>
    <w:p>
      <w:pPr>
        <w:spacing w:after="0" w:line="124"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The Borrower will, and will cause each of its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liquidation or dissolution permitted under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or any sale, lease, transfer or other disposition permitted by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187" w:lineRule="exact"/>
        <w:rPr>
          <w:sz w:val="20"/>
          <w:szCs w:val="20"/>
          <w:color w:val="auto"/>
        </w:rPr>
      </w:pPr>
    </w:p>
    <w:p>
      <w:pPr>
        <w:jc w:val="both"/>
        <w:ind w:firstLine="450"/>
        <w:spacing w:after="0" w:line="275"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Payment and Performance of Obligations</w:t>
      </w:r>
      <w:r>
        <w:rPr>
          <w:rFonts w:ascii="Arial" w:cs="Arial" w:eastAsia="Arial" w:hAnsi="Arial"/>
          <w:sz w:val="17"/>
          <w:szCs w:val="17"/>
          <w:color w:val="auto"/>
        </w:rPr>
        <w:t xml:space="preserve">. The Borrower will, and will cause each of its Subsidiaries to, pay or perform its obligations, including Tax liabilities, that, if not paid or performed, would reasonably be expected to result in a Material Adverse Effect before the same shall become delinquent or in default, except where (a) the validity or amount thereof is being Contested in Good Faith and (b) the failure to make payment pending such contest would not reasonably be expected to result in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Section shall be deemed to require any Loan Party to pay any subordinated Indebtedness in violation of the subordination provisions applicable thereto.</w:t>
      </w:r>
    </w:p>
    <w:p>
      <w:pPr>
        <w:spacing w:after="0" w:line="176"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The Borrower will, and will cause each of its Subsidiaries to, keep and maintain all property material to the conduct of its business in good working order and condition, ordinary wear and tear excepted.</w:t>
      </w:r>
    </w:p>
    <w:p>
      <w:pPr>
        <w:spacing w:after="0" w:line="170" w:lineRule="exact"/>
        <w:rPr>
          <w:sz w:val="20"/>
          <w:szCs w:val="20"/>
          <w:color w:val="auto"/>
        </w:rPr>
      </w:pPr>
    </w:p>
    <w:p>
      <w:pPr>
        <w:jc w:val="both"/>
        <w:ind w:firstLine="450"/>
        <w:spacing w:after="0" w:line="272" w:lineRule="auto"/>
        <w:rPr>
          <w:sz w:val="20"/>
          <w:szCs w:val="20"/>
          <w:color w:val="auto"/>
        </w:rPr>
      </w:pPr>
      <w:r>
        <w:rPr>
          <w:rFonts w:ascii="Arial" w:cs="Arial" w:eastAsia="Arial" w:hAnsi="Arial"/>
          <w:sz w:val="17"/>
          <w:szCs w:val="17"/>
          <w:color w:val="auto"/>
        </w:rPr>
        <w:t xml:space="preserve">Section 6.6 </w:t>
      </w:r>
      <w:r>
        <w:rPr>
          <w:rFonts w:ascii="Arial" w:cs="Arial" w:eastAsia="Arial" w:hAnsi="Arial"/>
          <w:sz w:val="17"/>
          <w:szCs w:val="17"/>
          <w:u w:val="single" w:color="auto"/>
          <w:color w:val="auto"/>
        </w:rPr>
        <w:t>Books and Records; Inspection Rights</w:t>
      </w:r>
      <w:r>
        <w:rPr>
          <w:rFonts w:ascii="Arial" w:cs="Arial" w:eastAsia="Arial" w:hAnsi="Arial"/>
          <w:sz w:val="17"/>
          <w:szCs w:val="17"/>
          <w:color w:val="auto"/>
        </w:rPr>
        <w:t xml:space="preserve">. The Borrower will, and will cause each of its Subsidiaries to, (a) keep adequate books of record and account in which full, true and correct entries are made of all transactions in relation to its business and activities and (b) permit any representatives designated by any Credit Party, upon reasonable prior notice, to visit and inspect its properties, to examine and make extracts from its books and records, and to discuss its affairs, finances and condition with its officers and independent accounting firm, all at the expense of the Borrower and at such reasonable times and as often as reasonably requested;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during the existence of an Event of Default, the Administrative Agent or any Lender (or any of their respective representatives or independent contractors) may do any of the foregoing at the expense of the Borrower at any time during normal business hours and without advance notice.</w:t>
      </w:r>
    </w:p>
    <w:p>
      <w:pPr>
        <w:spacing w:after="0" w:line="177"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Borrower will, and will cause each of its Subsidiaries to, comply with all laws, rules, regulations and orders of any Governmental Authority applicable to it or its property and maintain all permits and licenses necessary to conduct its business, except where the failure to do so, individually or in the aggregate, would not reasonably be expected to result in a Material Adverse Effect. In addition, and without limiting the foregoing sentence, each Loan Party will, and will cause each of its Subsidiaries to, comply with all applicable Environmental Laws in all material respects, and with Anti-Corruption Laws, applicable Sanctions and the USA PATRIOT Act and the regulations promulgated thereunder in all respects.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3" w:name="page144"/>
    <w:bookmarkEnd w:id="143"/>
    <w:p>
      <w:pPr>
        <w:ind w:left="460"/>
        <w:spacing w:after="0"/>
        <w:tabs>
          <w:tab w:leader="none" w:pos="156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225" w:lineRule="exact"/>
        <w:rPr>
          <w:sz w:val="20"/>
          <w:szCs w:val="20"/>
          <w:color w:val="auto"/>
        </w:rPr>
      </w:pPr>
    </w:p>
    <w:p>
      <w:pPr>
        <w:jc w:val="both"/>
        <w:ind w:firstLine="1106"/>
        <w:spacing w:after="0" w:line="275" w:lineRule="auto"/>
        <w:tabs>
          <w:tab w:leader="none" w:pos="170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proceeds of the Loans and the Letters of Credit will be used only as follows: (i) on the Closing Date, the proceeds of the Term Loans and the Revolving Loans will be used to consummate the Existing Credit Agreement Refinancing and to pay Transaction Expenses, and (ii) thereafter the proceeds of the Loans and the Letters of Credit will be used (A) to reimburse the L/C Issuer in respect of amounts drawn under Letters of Credit and to reimburse the Swingline Lender in respect of Swingline Loans, (B) to finance Permitted Acquisitions and (C) for general corporate and working capital purposes not inconsistent with the terms hereof or in contravention of any Law or any Loan Document.</w:t>
      </w:r>
    </w:p>
    <w:p>
      <w:pPr>
        <w:spacing w:after="0" w:line="176" w:lineRule="exact"/>
        <w:rPr>
          <w:rFonts w:ascii="Arial" w:cs="Arial" w:eastAsia="Arial" w:hAnsi="Arial"/>
          <w:sz w:val="17"/>
          <w:szCs w:val="17"/>
          <w:color w:val="auto"/>
        </w:rPr>
      </w:pPr>
    </w:p>
    <w:p>
      <w:pPr>
        <w:jc w:val="both"/>
        <w:ind w:firstLine="1106"/>
        <w:spacing w:after="0" w:line="286" w:lineRule="auto"/>
        <w:tabs>
          <w:tab w:leader="none" w:pos="1732" w:val="left"/>
        </w:tabs>
        <w:numPr>
          <w:ilvl w:val="1"/>
          <w:numId w:val="143"/>
        </w:numPr>
        <w:rPr>
          <w:rFonts w:ascii="Arial" w:cs="Arial" w:eastAsia="Arial" w:hAnsi="Arial"/>
          <w:sz w:val="16"/>
          <w:szCs w:val="16"/>
          <w:color w:val="auto"/>
        </w:rPr>
      </w:pPr>
      <w:r>
        <w:rPr>
          <w:rFonts w:ascii="Arial" w:cs="Arial" w:eastAsia="Arial" w:hAnsi="Arial"/>
          <w:sz w:val="16"/>
          <w:szCs w:val="16"/>
          <w:color w:val="auto"/>
        </w:rPr>
        <w:t>No part of the proceeds of any Loan or any Letter of Credit will be used, whether directly or indirectly, and whether immediately, incidentally or ultimately, (a) to purchase, acquire or carry any Margin Stock or (b) for any purpose that entails a violation of any of the regulations of the Board, including Regulations T, U and X. The Borrower will not request any Credit Extension, and the Borrower shall not use, and shall ensure that each Loan Party, their respective Subsidiaries and their respective directors, officers, employees and agents shall not use, the proceeds of any Credit Extension</w:t>
      </w:r>
    </w:p>
    <w:p>
      <w:pPr>
        <w:spacing w:after="0" w:line="1" w:lineRule="exact"/>
        <w:rPr>
          <w:rFonts w:ascii="Arial" w:cs="Arial" w:eastAsia="Arial" w:hAnsi="Arial"/>
          <w:sz w:val="16"/>
          <w:szCs w:val="16"/>
          <w:color w:val="auto"/>
        </w:rPr>
      </w:pPr>
    </w:p>
    <w:p>
      <w:pPr>
        <w:jc w:val="both"/>
        <w:ind w:firstLine="8"/>
        <w:spacing w:after="0" w:line="255" w:lineRule="auto"/>
        <w:tabs>
          <w:tab w:leader="none" w:pos="23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furtherance of an offer, payment, promise to pay, or authorization of the payment or giving of money, or anything else of value, to any Person in violation of any Anti-Corruption Laws or (ii) in any manner that would result in the violation of any applicable Sanctions or any Anti-Terrorism Laws by any Person, including any Credit Party.</w:t>
      </w:r>
    </w:p>
    <w:p>
      <w:pPr>
        <w:spacing w:after="0" w:line="190" w:lineRule="exact"/>
        <w:rPr>
          <w:sz w:val="20"/>
          <w:szCs w:val="20"/>
          <w:color w:val="auto"/>
        </w:rPr>
      </w:pPr>
    </w:p>
    <w:p>
      <w:pPr>
        <w:jc w:val="both"/>
        <w:ind w:firstLine="450"/>
        <w:spacing w:after="0" w:line="253"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Information Concerning Collateral</w:t>
      </w:r>
      <w:r>
        <w:rPr>
          <w:rFonts w:ascii="Arial" w:cs="Arial" w:eastAsia="Arial" w:hAnsi="Arial"/>
          <w:sz w:val="18"/>
          <w:szCs w:val="18"/>
          <w:color w:val="auto"/>
        </w:rPr>
        <w:t>. The Borrower will furnish to the Administrative Agent at least 10 days prior written notice of any change in (a) the legal name or jurisdiction of incorporation or formation of any Loan Party, (b) the location of the chief executive office of any Loan Party, its principal place of business, any office in which it maintains books or records relating to Collateral owned or held by it or on its behalf or, except as provided in the applicable Collateral Documents, any office or facility at which Collateral owned or held by it or on its behalf with an aggregate book value in excess of $2,000,000 is located (including the establishment of any such new office or facility), (c) the identity or organizational structure of any Loan Party such that a filed financing statement becomes misleading or (d) the Federal Taxpayer Identification Number or company organizational number of any Loan Party. The Borrower agrees not to effect or permit any change referred to in the preceding sentence unless all filings have been made under the UCC or otherwise that are required in order for the Administrative Agent to continue at all times following such change to have a valid, legal and perfected security interest in all the Collateral. The Borrower also agrees promptly to notify the Administrative Agent if any material portion of the Collateral is damaged or destroyed.</w:t>
      </w:r>
    </w:p>
    <w:p>
      <w:pPr>
        <w:spacing w:after="0" w:line="194"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25" w:lineRule="exact"/>
        <w:rPr>
          <w:sz w:val="20"/>
          <w:szCs w:val="20"/>
          <w:color w:val="auto"/>
        </w:rPr>
      </w:pPr>
    </w:p>
    <w:p>
      <w:pPr>
        <w:jc w:val="both"/>
        <w:ind w:firstLine="1106"/>
        <w:spacing w:after="0" w:line="255" w:lineRule="auto"/>
        <w:tabs>
          <w:tab w:leader="none" w:pos="171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Borrower will, and will cause each of its Subsidiaries to, maintain, with financially sound and reputable insurance companies, adequate insurance for its insurable properties, all to such extent and against such risks, including fire, casualty, business interruption and other risks insured against by extended coverage, as is customary with companies in the same or similar businesses operating in the same or similar locations and of same or similar size, including public liability insurance against claims for personal injury or death or property damage occurring upon, in, about or in connection with the use of any properties owned, occupied or controlled by it (including the insurance required pursuant to the Collateral Documents); and maintain such other insurance as may be required by law.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4" w:name="page145"/>
    <w:bookmarkEnd w:id="144"/>
    <w:p>
      <w:pPr>
        <w:jc w:val="both"/>
        <w:ind w:firstLine="1106"/>
        <w:spacing w:after="0" w:line="253" w:lineRule="auto"/>
        <w:tabs>
          <w:tab w:leader="none" w:pos="166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With respect to any portion of any Mortgaged Property that is located in a Flood Zone within a community participating in the Flood Program, the Borrower will, and will cause any applicable Loan Party to, maintain through the Flood Program or through private insurance policies, with financially sound and reputable insurance companies (except to the extent that any insurance company insuring the Mortgaged Property of the Borrower and each other Loan Party ceases to be financially sound and reputable after the Closing Date, in which case, the Borrower shall promptly replace such insurance company with a financially sound and reputable insurance company), (A) such flood insurance coverage under policies issued pursuant to and in compliance with the Flood Insurance Laws (“</w:t>
      </w:r>
      <w:r>
        <w:rPr>
          <w:rFonts w:ascii="Arial" w:cs="Arial" w:eastAsia="Arial" w:hAnsi="Arial"/>
          <w:sz w:val="18"/>
          <w:szCs w:val="18"/>
          <w:u w:val="single" w:color="auto"/>
          <w:color w:val="auto"/>
        </w:rPr>
        <w:t>Flood Insurance Policies</w:t>
      </w:r>
      <w:r>
        <w:rPr>
          <w:rFonts w:ascii="Arial" w:cs="Arial" w:eastAsia="Arial" w:hAnsi="Arial"/>
          <w:sz w:val="18"/>
          <w:szCs w:val="18"/>
          <w:color w:val="auto"/>
        </w:rPr>
        <w:t>”) in an amount equal to the maximum limit of coverage available for such Mortgaged Property under Flood Insurance Laws, subject only to deductibles consistent in scope and amount with those permitted under the Flood Program and (B) such additional coverage as required by Administrative Agent, if any, under supplemental private insurance policies in an amount so required by the Administrative Agent.</w:t>
      </w:r>
    </w:p>
    <w:p>
      <w:pPr>
        <w:spacing w:after="0" w:line="196" w:lineRule="exact"/>
        <w:rPr>
          <w:rFonts w:ascii="Arial" w:cs="Arial" w:eastAsia="Arial" w:hAnsi="Arial"/>
          <w:sz w:val="18"/>
          <w:szCs w:val="18"/>
          <w:color w:val="auto"/>
        </w:rPr>
      </w:pPr>
    </w:p>
    <w:p>
      <w:pPr>
        <w:jc w:val="both"/>
        <w:ind w:firstLine="1106"/>
        <w:spacing w:after="0" w:line="268" w:lineRule="auto"/>
        <w:tabs>
          <w:tab w:leader="none" w:pos="1671"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Borrower will, and will cause each of its Subsidiaries to, (i) cause all such policies of such Loan Party and its Subsidiaries to be endorsed or otherwise amended to include an additional insured endorsement or a “standard” or “New York” lender’s loss payable endorsement, as appropriate, each in form and substance reasonably satisfactory to the Administrative Agent, and which lender’s loss payable endorsement or amendment shall provide that, from and after the Closing Date, if the insurance carrier shall have received written notice from the Administrative Agent of the occurrence of an Event of Default, the insurance carrier shall pay all proceeds otherwise payable to such Loan Party under such policies directly to the Administrative Agent, (ii) cause all such policies to provide that neither such Loan Party, any Subsidiary or the Administrative Agent nor any other party shall be a co-insurer thereunder and to contain a “Replacement Cost Endorsement”, without any deduction for depreciation, and such other provisions as the Administrative Agent may reasonably require from time to time to protect its interests, (iii) deliver original or certified copies of all such policies to the Administrative Agent, (iv) cause each such policy to provide that it shall not be canceled, modified or not renewed for any other reason upon not less than 30 days’ (or in the case of Flood Insurance Policies issued by private insurance companies, 45 days’) prior written notice thereof by the insurer to the Administrative Agent, (v) deliver to the Administrative Agent, prior to the cancellation, modification or non-renewal of any such policy of insurance, a copy of a renewal or replacement policy (or other evidence of renewal of a policy previously delivered to the Administrative Agent) together with evidence satisfactory to the Administrative Agent of payment of the premium therefor.</w:t>
      </w:r>
    </w:p>
    <w:p>
      <w:pPr>
        <w:spacing w:after="0" w:line="186" w:lineRule="exact"/>
        <w:rPr>
          <w:rFonts w:ascii="Arial" w:cs="Arial" w:eastAsia="Arial" w:hAnsi="Arial"/>
          <w:sz w:val="17"/>
          <w:szCs w:val="17"/>
          <w:color w:val="auto"/>
        </w:rPr>
      </w:pPr>
    </w:p>
    <w:p>
      <w:pPr>
        <w:jc w:val="both"/>
        <w:ind w:firstLine="1106"/>
        <w:spacing w:after="0" w:line="311" w:lineRule="auto"/>
        <w:tabs>
          <w:tab w:leader="none" w:pos="1684"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The Borrower will promptly upon request of the Administrative Agent or any other Lender, deliver to the Administrative Agent (for distribution to all Lenders), evidence of compliance by all Loan Parties with the requirements contained </w:t>
      </w:r>
      <w:r>
        <w:rPr>
          <w:rFonts w:ascii="Arial" w:cs="Arial" w:eastAsia="Arial" w:hAnsi="Arial"/>
          <w:sz w:val="16"/>
          <w:szCs w:val="16"/>
          <w:u w:val="single" w:color="auto"/>
          <w:color w:val="auto"/>
        </w:rPr>
        <w:t>Sections 6.10(a)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(c)</w:t>
      </w:r>
      <w:r>
        <w:rPr>
          <w:rFonts w:ascii="Arial" w:cs="Arial" w:eastAsia="Arial" w:hAnsi="Arial"/>
          <w:sz w:val="16"/>
          <w:szCs w:val="16"/>
          <w:color w:val="auto"/>
        </w:rPr>
        <w:t xml:space="preserve"> in form and substance reasonably acceptable to the Administrative Agent and the Lenders, including, without limitation, evidence of annual renewals of such insurance.</w:t>
      </w:r>
    </w:p>
    <w:p>
      <w:pPr>
        <w:spacing w:after="0" w:line="148" w:lineRule="exact"/>
        <w:rPr>
          <w:rFonts w:ascii="Arial" w:cs="Arial" w:eastAsia="Arial" w:hAnsi="Arial"/>
          <w:sz w:val="16"/>
          <w:szCs w:val="16"/>
          <w:color w:val="auto"/>
        </w:rPr>
      </w:pPr>
    </w:p>
    <w:p>
      <w:pPr>
        <w:jc w:val="both"/>
        <w:ind w:firstLine="1106"/>
        <w:spacing w:after="0" w:line="263" w:lineRule="auto"/>
        <w:tabs>
          <w:tab w:leader="none" w:pos="1716"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The Borrower will, and will cause each of its Subsidiaries to, notify the Administrative Agent immediately whenever any separate insurance concurrent in form or contributing in the event of loss with that required to be maintained under this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is taken out by any Loan Party; and promptly deliver to the Administrative Agent a duplicate original copy of such policy or policies.</w:t>
      </w:r>
    </w:p>
    <w:p>
      <w:pPr>
        <w:spacing w:after="0" w:line="183" w:lineRule="exact"/>
        <w:rPr>
          <w:rFonts w:ascii="Arial" w:cs="Arial" w:eastAsia="Arial" w:hAnsi="Arial"/>
          <w:sz w:val="18"/>
          <w:szCs w:val="18"/>
          <w:color w:val="auto"/>
        </w:rPr>
      </w:pPr>
    </w:p>
    <w:p>
      <w:pPr>
        <w:jc w:val="both"/>
        <w:ind w:firstLine="1106"/>
        <w:spacing w:after="0" w:line="291" w:lineRule="auto"/>
        <w:tabs>
          <w:tab w:leader="none" w:pos="1669"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In connection with the covenants set forth in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it is understood and agreed that no Credit Party or any of its Related Parties shall be liable for any loss or damage insured by the insurance policies required to be maintained under this </w:t>
      </w:r>
      <w:r>
        <w:rPr>
          <w:rFonts w:ascii="Arial" w:cs="Arial" w:eastAsia="Arial" w:hAnsi="Arial"/>
          <w:sz w:val="16"/>
          <w:szCs w:val="16"/>
          <w:u w:val="single" w:color="auto"/>
          <w:color w:val="auto"/>
        </w:rPr>
        <w:t>Section 6.10</w:t>
      </w:r>
      <w:r>
        <w:rPr>
          <w:rFonts w:ascii="Arial" w:cs="Arial" w:eastAsia="Arial" w:hAnsi="Arial"/>
          <w:sz w:val="16"/>
          <w:szCs w:val="16"/>
          <w:color w:val="auto"/>
        </w:rPr>
        <w:t>, it being understood that</w:t>
      </w:r>
    </w:p>
    <w:p>
      <w:pPr>
        <w:jc w:val="both"/>
        <w:ind w:firstLine="8"/>
        <w:spacing w:after="0" w:line="295" w:lineRule="auto"/>
        <w:tabs>
          <w:tab w:leader="none" w:pos="29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each Loan Party shall look solely to its insurance companies or any other parties other than the aforesaid parties for the recovery of such loss or damage and (B) such insurance companies shall have no rights of subrogation against any Credit Party or any of their Related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insurance policies do not provide waiver of subrogation rights against such parties, as required above, then the Borrower (for itself and each of its Subsidiaries) hereby agrees, to the extent permitted by law, to waive its right of recovery, if any, against the Credit Parties and their Related Parties.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5" w:name="page146"/>
    <w:bookmarkEnd w:id="145"/>
    <w:p>
      <w:pPr>
        <w:ind w:left="460"/>
        <w:spacing w:after="0"/>
        <w:tabs>
          <w:tab w:leader="none" w:pos="156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Casualty Events; Extraordinary Receipts</w:t>
      </w:r>
      <w:r>
        <w:rPr>
          <w:rFonts w:ascii="Arial" w:cs="Arial" w:eastAsia="Arial" w:hAnsi="Arial"/>
          <w:sz w:val="16"/>
          <w:szCs w:val="16"/>
          <w:color w:val="auto"/>
        </w:rPr>
        <w:t>.</w:t>
      </w:r>
    </w:p>
    <w:p>
      <w:pPr>
        <w:spacing w:after="0" w:line="225" w:lineRule="exact"/>
        <w:rPr>
          <w:sz w:val="20"/>
          <w:szCs w:val="20"/>
          <w:color w:val="auto"/>
        </w:rPr>
      </w:pPr>
    </w:p>
    <w:p>
      <w:pPr>
        <w:jc w:val="both"/>
        <w:ind w:firstLine="1106"/>
        <w:spacing w:after="0" w:line="259" w:lineRule="auto"/>
        <w:tabs>
          <w:tab w:leader="none" w:pos="167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Borrower will, and will cause each of its Subsidiaries to, furnish to the Credit Parties prompt written notice of (i) each Casualty Event or other insured damage to any portion of any property owned or held by or on behalf of itself or any of its Subsidiaries or the commencement of any action or proceeding for the condemnation or other taking of any such property or any part thereof or interest therein under power of eminent domain or by condemnation or similar proceeding, and (ii) each Extraordinary Receipt.</w:t>
      </w:r>
    </w:p>
    <w:p>
      <w:pPr>
        <w:spacing w:after="0" w:line="186" w:lineRule="exact"/>
        <w:rPr>
          <w:rFonts w:ascii="Arial" w:cs="Arial" w:eastAsia="Arial" w:hAnsi="Arial"/>
          <w:sz w:val="18"/>
          <w:szCs w:val="18"/>
          <w:color w:val="auto"/>
        </w:rPr>
      </w:pPr>
    </w:p>
    <w:p>
      <w:pPr>
        <w:jc w:val="both"/>
        <w:ind w:firstLine="1106"/>
        <w:spacing w:after="0" w:line="289" w:lineRule="auto"/>
        <w:tabs>
          <w:tab w:leader="none" w:pos="17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If any Casualty Event results in Net Cash Proceeds (whether in the form of insurance proceeds, condemnation award or otherwise), the Administrative Agent is authorized to collect such Net Cash Proceeds in excess of $3,000,000 and, if received by any Loan Party or any of its Subsidiaries, such Net Cash Proceeds shall not be commingled with any of its other funds or property but shall be held separate and apart therefrom, shall be held in trust for the benefit of the Administrative Agent hereunder and shall be forthwith paid over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to the extent that any Loan Party or any of its Subsidiaries intends to use any such Net Cash Proceeds to repair, restore, reinvest or replace assets of the Borrower or any of its Subsidiaries as provided in the definition of Net Cash Proceeds, the Administrative Agent shall, subject to the terms and conditions of such proviso, deliver such Net Cash Proceeds to the Borrower on behalf of the applicable Loan Party, (ii) otherwise, the Administrative Agent shall, and each Loan Party hereby authorizes the Administrative Agent to, apply such Net Cash Proceeds to prepay the Loans in accordance with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and (iii) all proceeds of business interruption insurance shall be paid over to the Borrower unless a Default has occurred and is continuing.</w:t>
      </w:r>
    </w:p>
    <w:p>
      <w:pPr>
        <w:spacing w:after="0" w:line="166" w:lineRule="exact"/>
        <w:rPr>
          <w:rFonts w:ascii="Arial" w:cs="Arial" w:eastAsia="Arial" w:hAnsi="Arial"/>
          <w:sz w:val="16"/>
          <w:szCs w:val="16"/>
          <w:color w:val="auto"/>
        </w:rPr>
      </w:pPr>
    </w:p>
    <w:p>
      <w:pPr>
        <w:ind w:firstLine="1106"/>
        <w:spacing w:after="0" w:line="277" w:lineRule="auto"/>
        <w:tabs>
          <w:tab w:leader="none" w:pos="177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All proceeds received by or paid to the Administrative Agent that do not constitute Net Cash Proceeds shall be paid over to the Borrower on behalf of the applicable Loan Party unless a Default has occurred and is continuing.</w:t>
      </w:r>
    </w:p>
    <w:p>
      <w:pPr>
        <w:spacing w:after="0" w:line="170"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Covenant to Guarantee and Provide Security</w:t>
      </w:r>
      <w:r>
        <w:rPr>
          <w:rFonts w:ascii="Arial" w:cs="Arial" w:eastAsia="Arial" w:hAnsi="Arial"/>
          <w:sz w:val="18"/>
          <w:szCs w:val="18"/>
          <w:color w:val="auto"/>
        </w:rPr>
        <w:t>. If any Domestic Subsidiary of a Loan Party (other than an Excluded Subsidiary or a Subsidiary that is a party to this Credit Agreement and the Collateral Documents) is formed or acquired after the Agreement Date or if an Excluded Subsidiary ceases to be an Excluded Subsidiary, the Borrower will notify the Credit Parties in writing thereof within 10 Business Days following the date on which such Subsidiary is formed or acquired or such Excluded Subsidiary ceases to be an Excluded Subsidiary (or such later date as may be acceptable to the Administrative Agent in its sole discretion) and, by such date:</w:t>
      </w:r>
    </w:p>
    <w:p>
      <w:pPr>
        <w:spacing w:after="0" w:line="188" w:lineRule="exact"/>
        <w:rPr>
          <w:sz w:val="20"/>
          <w:szCs w:val="20"/>
          <w:color w:val="auto"/>
        </w:rPr>
      </w:pPr>
    </w:p>
    <w:p>
      <w:pPr>
        <w:jc w:val="both"/>
        <w:ind w:firstLine="1106"/>
        <w:spacing w:after="0" w:line="255" w:lineRule="auto"/>
        <w:tabs>
          <w:tab w:leader="none" w:pos="189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Borrower will cause each such Subsidiary to (A) execute and deliver a Subsidiary Joinder Agreement and a Perfection Certificate and (B) promptly take such actions to create and perfect Liens on such Subsidiary’s assets to secure the Secured Obligations as the Administrative Agent shall reasonably request (including the execution and delivery of any collateral document necessary or appropriate to create and perfect Liens with respect to such Subsidiary’s owned or leased real property or any Collateral Access Agreement or similar document) (it being understood that not more than 100% of the non-voting Equity Interests (if any) and 65% of the voting Equity Interests in each First Tier Foreign Subsidiary that is a Controlled Foreign Corporation shall be pledged),</w:t>
      </w:r>
    </w:p>
    <w:p>
      <w:pPr>
        <w:spacing w:after="0" w:line="192" w:lineRule="exact"/>
        <w:rPr>
          <w:rFonts w:ascii="Arial" w:cs="Arial" w:eastAsia="Arial" w:hAnsi="Arial"/>
          <w:sz w:val="18"/>
          <w:szCs w:val="18"/>
          <w:color w:val="auto"/>
        </w:rPr>
      </w:pPr>
    </w:p>
    <w:p>
      <w:pPr>
        <w:jc w:val="both"/>
        <w:ind w:firstLine="1106"/>
        <w:spacing w:after="0" w:line="212" w:lineRule="auto"/>
        <w:tabs>
          <w:tab w:leader="none" w:pos="170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any Equity Interests issued by any such Subsidiary are owned or held by or on behalf of any Loan Party, the Borrower will cause such Equity Interests to be pledged pursuant to the Collateral Documents not later than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Business Day after the date on which such Subsidiary is formed or acquired,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6" w:name="page147"/>
    <w:bookmarkEnd w:id="146"/>
    <w:p>
      <w:pPr>
        <w:ind w:firstLine="1106"/>
        <w:spacing w:after="0" w:line="198" w:lineRule="auto"/>
        <w:tabs>
          <w:tab w:leader="none" w:pos="172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Borrower will cause each such Subsidiary to become a party to the Master Intercompany Note not later than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Business Day after the date on which such Subsidiary is formed or acquired, and</w:t>
      </w:r>
    </w:p>
    <w:p>
      <w:pPr>
        <w:spacing w:after="0" w:line="202" w:lineRule="exact"/>
        <w:rPr>
          <w:rFonts w:ascii="Arial" w:cs="Arial" w:eastAsia="Arial" w:hAnsi="Arial"/>
          <w:sz w:val="18"/>
          <w:szCs w:val="18"/>
          <w:color w:val="auto"/>
        </w:rPr>
      </w:pPr>
    </w:p>
    <w:p>
      <w:pPr>
        <w:jc w:val="both"/>
        <w:ind w:firstLine="1106"/>
        <w:spacing w:after="0" w:line="263" w:lineRule="auto"/>
        <w:tabs>
          <w:tab w:leader="none" w:pos="17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Borrower will deliver or cause to be delivered to the Administrative Agent such certificates and legal opinions (provided, that the Administrative Agent may agree in writing, in its discretion, to waive delivery of such legal opinion) as would have been required had such Subsidiary been a Subsidiary Guarantor on the Closing Date.</w:t>
      </w:r>
    </w:p>
    <w:p>
      <w:pPr>
        <w:spacing w:after="0" w:line="184"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The Borrower will, and will cause each of its Subsidiaries to, (a) conduct its operations in material compliance with all applicable Environmental Laws, (b) implement any and all investigation, remediation, removal and response actions that either are necessary to materially comply with Environmental Laws pertaining to the presence, generation, treatment, storage, use, disposal, transportation or Release of any Hazardous Material on, at, under, or from any of their owned or leased property or are requested by Government Authorities pursuant to Environmental Law, (c) notify the Administrative Agent promptly upon becoming aware of any violation of Environmental Laws or any Release of Hazardous Materials on, at, under, or from, any property that is reasonably likely to result in an Environmental Claim against any Loan Party or any of its Subsidiaries in excess of the Threshold Amount in the aggregate and promptly forward to the Administrative Agent a copy of any written communication received in connection therewith. If the Administrative Agent at any time has a reasonable basis to believe that there may be a violation of any Environmental Laws or a Release of Hazardous Materials on, at, under, or from any property owned or leased by any Loan Party or any of its Subsidiaries that would reasonably be expected to have a Material Adverse Effect, then, subject to </w:t>
      </w:r>
      <w:r>
        <w:rPr>
          <w:rFonts w:ascii="Arial" w:cs="Arial" w:eastAsia="Arial" w:hAnsi="Arial"/>
          <w:sz w:val="16"/>
          <w:szCs w:val="16"/>
          <w:u w:val="single" w:color="auto"/>
          <w:color w:val="auto"/>
        </w:rPr>
        <w:t>Section 9.3(d)</w:t>
      </w:r>
      <w:r>
        <w:rPr>
          <w:rFonts w:ascii="Arial" w:cs="Arial" w:eastAsia="Arial" w:hAnsi="Arial"/>
          <w:sz w:val="16"/>
          <w:szCs w:val="16"/>
          <w:color w:val="auto"/>
        </w:rPr>
        <w:t>, upon request by the Administrative Agent the Borrower shall cause such Loan Party to permit the Administrative Agent to appoint a nationally-recognized independent environmental testing firm or such other consultant as the Administrative Agent shall determine, at the Loan Parties’ expense, to have access to all property owned or leased by each Loan Party and each of its Subsidiaries for the purpose of conducting such environmental testing, including subsurface sampling of soil and groundwater, as the Administrative Agent deems appropriate to investigate the subject of the potential violation or Release.</w:t>
      </w:r>
    </w:p>
    <w:p>
      <w:pPr>
        <w:spacing w:after="0" w:line="171"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Certain Post-Closing Obligations</w:t>
      </w:r>
      <w:r>
        <w:rPr>
          <w:rFonts w:ascii="Arial" w:cs="Arial" w:eastAsia="Arial" w:hAnsi="Arial"/>
          <w:sz w:val="18"/>
          <w:szCs w:val="18"/>
          <w:color w:val="auto"/>
        </w:rPr>
        <w:t>. As promptly as practicable, and in any event within the time periods after the Closing Date specified in Schedule 6.14 or such later date as the Administrative Agent reasonably agrees to in writing, the Borrower and each other Loan Party shall deliver the documents or take the actions specified on Schedule 6.14, in each case except to the extent otherwise agreed by the Administrative Agent pursuant to its authority as set forth in the definition of the term “Collateral and Guarantee Requirement”.</w:t>
      </w:r>
    </w:p>
    <w:p>
      <w:pPr>
        <w:spacing w:after="0" w:line="18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ARTICLE 7</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Until the Termination Date, the Borrower covenants and agrees with the Credit Parties that:</w:t>
      </w:r>
    </w:p>
    <w:p>
      <w:pPr>
        <w:spacing w:after="0" w:line="225"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Indebtedness; Equity Interests</w:t>
      </w:r>
      <w:r>
        <w:rPr>
          <w:rFonts w:ascii="Arial" w:cs="Arial" w:eastAsia="Arial" w:hAnsi="Arial"/>
          <w:sz w:val="16"/>
          <w:szCs w:val="16"/>
          <w:color w:val="auto"/>
        </w:rPr>
        <w:t>.</w:t>
      </w:r>
    </w:p>
    <w:p>
      <w:pPr>
        <w:spacing w:after="0" w:line="225" w:lineRule="exact"/>
        <w:rPr>
          <w:sz w:val="20"/>
          <w:szCs w:val="20"/>
          <w:color w:val="auto"/>
        </w:rPr>
      </w:pPr>
    </w:p>
    <w:p>
      <w:pPr>
        <w:ind w:left="1800" w:hanging="694"/>
        <w:spacing w:after="0"/>
        <w:tabs>
          <w:tab w:leader="none" w:pos="18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Borrower will not, and will not permit any of its Subsidiaries to, create, incur, assume or permit to exist any Indebtedness,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except:</w:t>
      </w:r>
    </w:p>
    <w:p>
      <w:pPr>
        <w:spacing w:after="0" w:line="211" w:lineRule="exact"/>
        <w:rPr>
          <w:sz w:val="20"/>
          <w:szCs w:val="20"/>
          <w:color w:val="auto"/>
        </w:rPr>
      </w:pPr>
    </w:p>
    <w:p>
      <w:pPr>
        <w:ind w:left="2160" w:hanging="568"/>
        <w:spacing w:after="0"/>
        <w:tabs>
          <w:tab w:leader="none" w:pos="2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Indebtedness created under the Loan Documents;</w:t>
      </w:r>
    </w:p>
    <w:p>
      <w:pPr>
        <w:spacing w:after="0" w:line="225" w:lineRule="exact"/>
        <w:rPr>
          <w:rFonts w:ascii="Arial" w:cs="Arial" w:eastAsia="Arial" w:hAnsi="Arial"/>
          <w:sz w:val="18"/>
          <w:szCs w:val="18"/>
          <w:color w:val="auto"/>
        </w:rPr>
      </w:pPr>
    </w:p>
    <w:p>
      <w:pPr>
        <w:ind w:left="2240" w:hanging="648"/>
        <w:spacing w:after="0"/>
        <w:tabs>
          <w:tab w:leader="none" w:pos="22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Indebtedness existing on the Agreement Date and set forth in </w:t>
      </w:r>
      <w:r>
        <w:rPr>
          <w:rFonts w:ascii="Arial" w:cs="Arial" w:eastAsia="Arial" w:hAnsi="Arial"/>
          <w:sz w:val="16"/>
          <w:szCs w:val="16"/>
          <w:u w:val="single" w:color="auto"/>
          <w:color w:val="auto"/>
        </w:rPr>
        <w:t>Schedule 7.1</w:t>
      </w:r>
      <w:r>
        <w:rPr>
          <w:rFonts w:ascii="Arial" w:cs="Arial" w:eastAsia="Arial" w:hAnsi="Arial"/>
          <w:sz w:val="16"/>
          <w:szCs w:val="16"/>
          <w:color w:val="auto"/>
        </w:rPr>
        <w:t>, and any Refinancing Indebtedness with respect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7" w:name="page148"/>
    <w:bookmarkEnd w:id="147"/>
    <w:p>
      <w:pPr>
        <w:jc w:val="both"/>
        <w:ind w:firstLine="1592"/>
        <w:spacing w:after="0" w:line="275" w:lineRule="auto"/>
        <w:tabs>
          <w:tab w:leader="none" w:pos="2232"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Indebtedness of the Borrower or any of its Subsidiaries incurred to finance the acquisition, construction or improvement of any fixed or capital assets, including Finance Lease Obligations and any Indebtedness assumed in connection with the acquisition of any such assets or secured by a Lien on any such assets prior to the acquisition thereof, and any Refinancing Indebtedness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Indebtedness is incurred prior to or within 90 days after such acquisition or the completion of such construction or improvement and (B) the aggregate outstanding principal amount of Indebtedness permitted by this clause (iii) shall not, without duplication, exceed $1,000,000 at any time;</w:t>
      </w:r>
    </w:p>
    <w:p>
      <w:pPr>
        <w:spacing w:after="0" w:line="176" w:lineRule="exact"/>
        <w:rPr>
          <w:rFonts w:ascii="Arial" w:cs="Arial" w:eastAsia="Arial" w:hAnsi="Arial"/>
          <w:sz w:val="17"/>
          <w:szCs w:val="17"/>
          <w:color w:val="auto"/>
        </w:rPr>
      </w:pPr>
    </w:p>
    <w:p>
      <w:pPr>
        <w:jc w:val="both"/>
        <w:ind w:firstLine="1592"/>
        <w:spacing w:after="0" w:line="259" w:lineRule="auto"/>
        <w:tabs>
          <w:tab w:leader="none" w:pos="231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Indebtedness of any Person that becomes a Subsidiary of the Borrower after the Agreement Date, and any Refinancing Indebtedness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Indebtedness exists at the time such Person becomes a Subsidiary and is not created in contemplation of or in connection with such Person becoming a Subsidiary and (B) the aggregate outstanding principal amount of Indebtedness permitted by this clause (iv) shall not, without duplication, exceed $1,000,000 at any time;</w:t>
      </w:r>
    </w:p>
    <w:p>
      <w:pPr>
        <w:spacing w:after="0" w:line="186" w:lineRule="exact"/>
        <w:rPr>
          <w:rFonts w:ascii="Arial" w:cs="Arial" w:eastAsia="Arial" w:hAnsi="Arial"/>
          <w:sz w:val="18"/>
          <w:szCs w:val="18"/>
          <w:color w:val="auto"/>
        </w:rPr>
      </w:pPr>
    </w:p>
    <w:p>
      <w:pPr>
        <w:jc w:val="both"/>
        <w:ind w:firstLine="1592"/>
        <w:spacing w:after="0" w:line="272" w:lineRule="auto"/>
        <w:tabs>
          <w:tab w:leader="none" w:pos="236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intercompany Indebtedness of the Borrower or any Subsidiary owing to and held by the Borrower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if the Borrower or any Subsidiary Guarantor is the obligor on such Indebtedness and any Subsidiary (other than a Subsidiary Guarantor) is the obligee thereof, such Indebtedness must be unsecured and expressly subordinated to the prior payment in full in cash of all Secured Obligations (including, with respect to any Subsidiary Guarantor, its obligations under the Security Agreement), (B) Indebtedness owed to the Borrower or any Subsidiary Guarantor must be evidenced by the Master Intercompany Note or an unsubordinated promissory note pledged to the Administrative Agent under the Security Agreement and (C) Indebtedness of Subsidiaries (other than Subsidiary Guarantors) owed to the Borrower and/or a Subsidiary Guarantor may not exceed $1,000,000 in the aggregate at any time outstanding;</w:t>
      </w:r>
    </w:p>
    <w:p>
      <w:pPr>
        <w:spacing w:after="0" w:line="177" w:lineRule="exact"/>
        <w:rPr>
          <w:rFonts w:ascii="Arial" w:cs="Arial" w:eastAsia="Arial" w:hAnsi="Arial"/>
          <w:sz w:val="17"/>
          <w:szCs w:val="17"/>
          <w:color w:val="auto"/>
        </w:rPr>
      </w:pPr>
    </w:p>
    <w:p>
      <w:pPr>
        <w:jc w:val="both"/>
        <w:ind w:firstLine="1592"/>
        <w:spacing w:after="0" w:line="263" w:lineRule="auto"/>
        <w:tabs>
          <w:tab w:leader="none" w:pos="238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Guarantees by (A) any Loan Party of Indebtedness of any other Loan Party, (B) any Non-Loan Party Subsidiary of Indebtedness of any other Non-Loan Party Subsidiary, and (C) any Non-Loan Party Subsidiary of any Indebtedness of any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such Indebtedness is otherwise permitted by this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180" w:hanging="588"/>
        <w:spacing w:after="0"/>
        <w:tabs>
          <w:tab w:leader="none" w:pos="2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obligations under any Swap Agreements permitted by </w:t>
      </w:r>
      <w:r>
        <w:rPr>
          <w:rFonts w:ascii="Arial" w:cs="Arial" w:eastAsia="Arial" w:hAnsi="Arial"/>
          <w:sz w:val="18"/>
          <w:szCs w:val="18"/>
          <w:u w:val="single" w:color="auto"/>
          <w:color w:val="auto"/>
        </w:rPr>
        <w:t>Section 7.7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592"/>
        <w:spacing w:after="0" w:line="277" w:lineRule="auto"/>
        <w:tabs>
          <w:tab w:leader="none" w:pos="221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other similar instrument drawn against insufficient funds in the ordinary course of business;</w:t>
      </w:r>
    </w:p>
    <w:p>
      <w:pPr>
        <w:spacing w:after="0" w:line="170" w:lineRule="exact"/>
        <w:rPr>
          <w:rFonts w:ascii="Arial" w:cs="Arial" w:eastAsia="Arial" w:hAnsi="Arial"/>
          <w:sz w:val="18"/>
          <w:szCs w:val="18"/>
          <w:color w:val="auto"/>
        </w:rPr>
      </w:pPr>
    </w:p>
    <w:p>
      <w:pPr>
        <w:ind w:firstLine="1592"/>
        <w:spacing w:after="0" w:line="277" w:lineRule="auto"/>
        <w:tabs>
          <w:tab w:leader="none" w:pos="224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unsecured guarantees arising as a result of customary indemnification obligations to purchasers that are not Affiliates of a Loan Party in connection with any Disposition permitted by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592"/>
        <w:spacing w:after="0" w:line="311" w:lineRule="auto"/>
        <w:tabs>
          <w:tab w:leader="none" w:pos="217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Indebtedness incurred in the ordinary course of business under (A) appeal bonds or similar instruments and (B) surety bonds, payment bonds, performance bonds, bid bonds, completion guarantees and similar obligations, workers’ compensation claims, health, disability or other employee benefits, and bankers acceptances issued for the account of any Loan Party or its Subsidiaries and unsecured guarantees thereof;</w:t>
      </w:r>
    </w:p>
    <w:p>
      <w:pPr>
        <w:spacing w:after="0" w:line="148" w:lineRule="exact"/>
        <w:rPr>
          <w:rFonts w:ascii="Arial" w:cs="Arial" w:eastAsia="Arial" w:hAnsi="Arial"/>
          <w:sz w:val="16"/>
          <w:szCs w:val="16"/>
          <w:color w:val="auto"/>
        </w:rPr>
      </w:pPr>
    </w:p>
    <w:p>
      <w:pPr>
        <w:jc w:val="both"/>
        <w:ind w:firstLine="1592"/>
        <w:spacing w:after="0" w:line="263" w:lineRule="auto"/>
        <w:tabs>
          <w:tab w:leader="none" w:pos="220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Earn-Out Obligations owing to sellers incurred in connection with a Permitted Acquisition so long as the maximum amount of potential liability in respect of such Earn-Out Obligations does not exceed $1,000,000 in the aggregate at any time outstanding and are subject to payment and subordination terms reasonably acceptable to the Administrative Agent in its discretion;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8" w:name="page149"/>
    <w:bookmarkEnd w:id="148"/>
    <w:p>
      <w:pPr>
        <w:ind w:firstLine="1592"/>
        <w:spacing w:after="0" w:line="277" w:lineRule="auto"/>
        <w:tabs>
          <w:tab w:leader="none" w:pos="2253" w:val="left"/>
        </w:tabs>
        <w:numPr>
          <w:ilvl w:val="1"/>
          <w:numId w:val="154"/>
        </w:numPr>
        <w:rPr>
          <w:rFonts w:ascii="Arial" w:cs="Arial" w:eastAsia="Arial" w:hAnsi="Arial"/>
          <w:sz w:val="18"/>
          <w:szCs w:val="18"/>
          <w:color w:val="auto"/>
        </w:rPr>
      </w:pPr>
      <w:r>
        <w:rPr>
          <w:rFonts w:ascii="Arial" w:cs="Arial" w:eastAsia="Arial" w:hAnsi="Arial"/>
          <w:sz w:val="18"/>
          <w:szCs w:val="18"/>
          <w:color w:val="auto"/>
        </w:rPr>
        <w:t>contingent payment obligations and contingent liabilities in respect of any indemnification obligations and adjustments of purchase price, in each case in connection with a Permitted Acquisition; and</w:t>
      </w:r>
    </w:p>
    <w:p>
      <w:pPr>
        <w:spacing w:after="0" w:line="170" w:lineRule="exact"/>
        <w:rPr>
          <w:rFonts w:ascii="Arial" w:cs="Arial" w:eastAsia="Arial" w:hAnsi="Arial"/>
          <w:sz w:val="18"/>
          <w:szCs w:val="18"/>
          <w:color w:val="auto"/>
        </w:rPr>
      </w:pPr>
    </w:p>
    <w:p>
      <w:pPr>
        <w:ind w:right="20" w:firstLine="1592"/>
        <w:spacing w:after="0" w:line="277" w:lineRule="auto"/>
        <w:tabs>
          <w:tab w:leader="none" w:pos="2214"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additional unsecured Indebtedness (in addition to Indebtedness described in clauses (i) through (xii) above) in an aggregate principal amount not to exceed $1,000,000 at any one time outstanding.</w:t>
      </w:r>
    </w:p>
    <w:p>
      <w:pPr>
        <w:spacing w:after="0" w:line="170" w:lineRule="exact"/>
        <w:rPr>
          <w:rFonts w:ascii="Arial" w:cs="Arial" w:eastAsia="Arial" w:hAnsi="Arial"/>
          <w:sz w:val="18"/>
          <w:szCs w:val="18"/>
          <w:color w:val="auto"/>
        </w:rPr>
      </w:pPr>
    </w:p>
    <w:p>
      <w:pPr>
        <w:jc w:val="both"/>
        <w:ind w:firstLine="1106"/>
        <w:spacing w:after="0" w:line="263" w:lineRule="auto"/>
        <w:tabs>
          <w:tab w:leader="none" w:pos="169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the Borrower will not, and will not permit any of its Subsidiaries to, (i) issue any Disqualified Equity Interests, or (ii) be or become liable in respect of any obligation (contingent or otherwise) to purchase, redeem, retire, acquire or make any other payment in respect of any Equity Interests of any Loan Party or any of its Subsidiaries, except as permitted under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pacing w:after="0" w:line="184"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and will not permit any of its Subsidiaries to, create, incur, assume or permit to exist any Lien on any property or asset now owned or hereafter acquired by it, or assign or sell any income or revenues (including accounts receivable) or rights in respect of any thereof, except:</w:t>
      </w:r>
    </w:p>
    <w:p>
      <w:pPr>
        <w:spacing w:after="0" w:line="184" w:lineRule="exact"/>
        <w:rPr>
          <w:sz w:val="20"/>
          <w:szCs w:val="20"/>
          <w:color w:val="auto"/>
        </w:rPr>
      </w:pPr>
    </w:p>
    <w:p>
      <w:pPr>
        <w:ind w:left="1660" w:hanging="554"/>
        <w:spacing w:after="0"/>
        <w:tabs>
          <w:tab w:leader="none" w:pos="1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Liens created under the Loan Documents;</w:t>
      </w:r>
    </w:p>
    <w:p>
      <w:pPr>
        <w:spacing w:after="0" w:line="225" w:lineRule="exact"/>
        <w:rPr>
          <w:rFonts w:ascii="Arial" w:cs="Arial" w:eastAsia="Arial" w:hAnsi="Arial"/>
          <w:sz w:val="18"/>
          <w:szCs w:val="18"/>
          <w:color w:val="auto"/>
        </w:rPr>
      </w:pPr>
    </w:p>
    <w:p>
      <w:pPr>
        <w:ind w:left="1680" w:hanging="574"/>
        <w:spacing w:after="0"/>
        <w:tabs>
          <w:tab w:leader="none" w:pos="16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jc w:val="both"/>
        <w:ind w:firstLine="1106"/>
        <w:spacing w:after="0" w:line="259" w:lineRule="auto"/>
        <w:tabs>
          <w:tab w:leader="none" w:pos="170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any Lien on any property or asset of the Borrower or any Subsidiary existing on the Agreement Date and set forth in </w:t>
      </w:r>
      <w:r>
        <w:rPr>
          <w:rFonts w:ascii="Arial" w:cs="Arial" w:eastAsia="Arial" w:hAnsi="Arial"/>
          <w:sz w:val="18"/>
          <w:szCs w:val="18"/>
          <w:u w:val="single" w:color="auto"/>
          <w:color w:val="auto"/>
        </w:rPr>
        <w:t>Schedule 7.2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 shall not apply to any other property or asset of the Borrower or any Subsidiary and (ii) such Lien shall secure only those obligations which it secures on the Agreement Date and any extensions, renewals and replacements thereof that do not increase the outstanding principal amount thereof;</w:t>
      </w:r>
    </w:p>
    <w:p>
      <w:pPr>
        <w:spacing w:after="0" w:line="186" w:lineRule="exact"/>
        <w:rPr>
          <w:rFonts w:ascii="Arial" w:cs="Arial" w:eastAsia="Arial" w:hAnsi="Arial"/>
          <w:sz w:val="18"/>
          <w:szCs w:val="18"/>
          <w:color w:val="auto"/>
        </w:rPr>
      </w:pPr>
    </w:p>
    <w:p>
      <w:pPr>
        <w:jc w:val="both"/>
        <w:ind w:firstLine="1106"/>
        <w:spacing w:after="0" w:line="301" w:lineRule="auto"/>
        <w:tabs>
          <w:tab w:leader="none" w:pos="1681"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any Lien on fixed or capital assets acquired, constructed or improved by the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secures Indebtedness permitted by </w:t>
      </w:r>
      <w:r>
        <w:rPr>
          <w:rFonts w:ascii="Arial" w:cs="Arial" w:eastAsia="Arial" w:hAnsi="Arial"/>
          <w:sz w:val="16"/>
          <w:szCs w:val="16"/>
          <w:u w:val="single" w:color="auto"/>
          <w:color w:val="auto"/>
        </w:rPr>
        <w:t>Section 7.1(a)(iii)</w:t>
      </w:r>
      <w:r>
        <w:rPr>
          <w:rFonts w:ascii="Arial" w:cs="Arial" w:eastAsia="Arial" w:hAnsi="Arial"/>
          <w:sz w:val="16"/>
          <w:szCs w:val="16"/>
          <w:color w:val="auto"/>
        </w:rPr>
        <w:t>, (ii) such Lien and the Indebtedness secured thereby are incurred prior to or within 90 days after such acquisition or the completion of such construction or improvement, (iii) the Indebtedness secured thereby does not exceed the cost of acquiring, constructing or improving such fixed or capital assets and (iv) such Lien shall not apply to any other property or assets of the Borrower or any Subsidiary;</w:t>
      </w:r>
    </w:p>
    <w:p>
      <w:pPr>
        <w:spacing w:after="0" w:line="157" w:lineRule="exact"/>
        <w:rPr>
          <w:rFonts w:ascii="Arial" w:cs="Arial" w:eastAsia="Arial" w:hAnsi="Arial"/>
          <w:sz w:val="16"/>
          <w:szCs w:val="16"/>
          <w:color w:val="auto"/>
        </w:rPr>
      </w:pPr>
    </w:p>
    <w:p>
      <w:pPr>
        <w:jc w:val="both"/>
        <w:ind w:firstLine="1106"/>
        <w:spacing w:after="0" w:line="293" w:lineRule="auto"/>
        <w:tabs>
          <w:tab w:leader="none" w:pos="1773"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any Lien existing on any property or asset prior to the acquisition thereof by the Borrower or any Subsidiary or existing on any property or asset of any Person that becomes a Subsidiary after the Agreement Date prior to the time such Person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secures Indebtedness permitted by </w:t>
      </w:r>
      <w:r>
        <w:rPr>
          <w:rFonts w:ascii="Arial" w:cs="Arial" w:eastAsia="Arial" w:hAnsi="Arial"/>
          <w:sz w:val="16"/>
          <w:szCs w:val="16"/>
          <w:u w:val="single" w:color="auto"/>
          <w:color w:val="auto"/>
        </w:rPr>
        <w:t>Section 7.1(a)(iv)</w:t>
      </w:r>
      <w:r>
        <w:rPr>
          <w:rFonts w:ascii="Arial" w:cs="Arial" w:eastAsia="Arial" w:hAnsi="Arial"/>
          <w:sz w:val="16"/>
          <w:szCs w:val="16"/>
          <w:color w:val="auto"/>
        </w:rPr>
        <w:t>, (ii) such Lien is not created in contemplation of or in connection with such acquisition or such Person becoming a Subsidiary, as applicable, (iii) such Lien shall not apply to any other property or assets of the Borrower or any Subsidiary and (iv) such Lien shall secure only the Indebtedness and other obligations that it secures on the date of such acquisition or the date such Person becomes a Subsidiary, as applicable, and any extensions, renewals and replacements thereof that do not increase the outstanding principal amount thereof; and</w:t>
      </w:r>
    </w:p>
    <w:p>
      <w:pPr>
        <w:spacing w:after="0" w:line="164" w:lineRule="exact"/>
        <w:rPr>
          <w:rFonts w:ascii="Arial" w:cs="Arial" w:eastAsia="Arial" w:hAnsi="Arial"/>
          <w:sz w:val="16"/>
          <w:szCs w:val="16"/>
          <w:color w:val="auto"/>
        </w:rPr>
      </w:pPr>
    </w:p>
    <w:p>
      <w:pPr>
        <w:ind w:left="1640" w:hanging="534"/>
        <w:spacing w:after="0"/>
        <w:tabs>
          <w:tab w:leader="none" w:pos="1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Liens of a depository bank or securities intermediary permitted by any Control Agreement.</w:t>
      </w:r>
    </w:p>
    <w:p>
      <w:pPr>
        <w:spacing w:after="0" w:line="225"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5"/>
          <w:szCs w:val="15"/>
          <w:u w:val="single" w:color="auto"/>
          <w:color w:val="auto"/>
        </w:rPr>
        <w:t>Fundamental Changes; Business; Fiscal Year</w:t>
      </w:r>
      <w:r>
        <w:rPr>
          <w:rFonts w:ascii="Arial" w:cs="Arial" w:eastAsia="Arial" w:hAnsi="Arial"/>
          <w:sz w:val="15"/>
          <w:szCs w:val="15"/>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9" w:name="page150"/>
    <w:bookmarkEnd w:id="149"/>
    <w:p>
      <w:pPr>
        <w:jc w:val="both"/>
        <w:ind w:firstLine="1106"/>
        <w:spacing w:after="0" w:line="257" w:lineRule="auto"/>
        <w:tabs>
          <w:tab w:leader="none" w:pos="1675"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The Borrower will not, and will not permit any of its Subsidiaries to, merge into or consolidate with any other Person, or permit any other Person to merge into or consolidate with it, or sell, transfer, lease or otherwise Dispose of (in one transaction or in a series of transactions) all or substantially all of its assets, or all or substantially all of the Equity Interests issued by any of its Subsidiaries (in each case, whether now owned or hereafter acquired), or liquidate or dissolve or consummate a Division,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the time thereof and immediately after giving effect thereto, no Default shall or would have occurred and be continuing:</w:t>
      </w:r>
    </w:p>
    <w:p>
      <w:pPr>
        <w:spacing w:after="0" w:line="187" w:lineRule="exact"/>
        <w:rPr>
          <w:rFonts w:ascii="Arial" w:cs="Arial" w:eastAsia="Arial" w:hAnsi="Arial"/>
          <w:sz w:val="18"/>
          <w:szCs w:val="18"/>
          <w:color w:val="auto"/>
        </w:rPr>
      </w:pPr>
    </w:p>
    <w:p>
      <w:pPr>
        <w:jc w:val="both"/>
        <w:ind w:firstLine="1592"/>
        <w:spacing w:after="0" w:line="291" w:lineRule="auto"/>
        <w:tabs>
          <w:tab w:leader="none" w:pos="2298" w:val="left"/>
        </w:tabs>
        <w:numPr>
          <w:ilvl w:val="2"/>
          <w:numId w:val="157"/>
        </w:numPr>
        <w:rPr>
          <w:rFonts w:ascii="Arial" w:cs="Arial" w:eastAsia="Arial" w:hAnsi="Arial"/>
          <w:sz w:val="16"/>
          <w:szCs w:val="16"/>
          <w:color w:val="auto"/>
        </w:rPr>
      </w:pPr>
      <w:r>
        <w:rPr>
          <w:rFonts w:ascii="Arial" w:cs="Arial" w:eastAsia="Arial" w:hAnsi="Arial"/>
          <w:sz w:val="16"/>
          <w:szCs w:val="16"/>
          <w:color w:val="auto"/>
        </w:rPr>
        <w:t>any Wholly-Owned Subsidiary of the Borrower may merge into or consolidate with (A) the Borrower in a transaction in which the Borrower is the surviving entity, (B) any Subsidiary Guarantor in a transaction in which such Subsidiary Guarantor is the surviving entity, and</w:t>
      </w:r>
    </w:p>
    <w:p>
      <w:pPr>
        <w:ind w:left="300" w:hanging="292"/>
        <w:spacing w:after="0"/>
        <w:tabs>
          <w:tab w:leader="none" w:pos="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the extent such Subsidiary is a Non-Loan Party Subsidiary, any other Non-Loan Party Subsidiary;</w:t>
      </w:r>
    </w:p>
    <w:p>
      <w:pPr>
        <w:spacing w:after="0" w:line="210" w:lineRule="exact"/>
        <w:rPr>
          <w:rFonts w:ascii="Arial" w:cs="Arial" w:eastAsia="Arial" w:hAnsi="Arial"/>
          <w:sz w:val="18"/>
          <w:szCs w:val="18"/>
          <w:color w:val="auto"/>
        </w:rPr>
      </w:pPr>
    </w:p>
    <w:p>
      <w:pPr>
        <w:jc w:val="both"/>
        <w:ind w:firstLine="1592"/>
        <w:spacing w:after="0" w:line="259" w:lineRule="auto"/>
        <w:tabs>
          <w:tab w:leader="none" w:pos="2306" w:val="left"/>
        </w:tabs>
        <w:numPr>
          <w:ilvl w:val="2"/>
          <w:numId w:val="158"/>
        </w:numPr>
        <w:rPr>
          <w:rFonts w:ascii="Arial" w:cs="Arial" w:eastAsia="Arial" w:hAnsi="Arial"/>
          <w:sz w:val="18"/>
          <w:szCs w:val="18"/>
          <w:color w:val="auto"/>
        </w:rPr>
      </w:pPr>
      <w:r>
        <w:rPr>
          <w:rFonts w:ascii="Arial" w:cs="Arial" w:eastAsia="Arial" w:hAnsi="Arial"/>
          <w:sz w:val="18"/>
          <w:szCs w:val="18"/>
          <w:color w:val="auto"/>
        </w:rPr>
        <w:t xml:space="preserve">the Borrower or any Subsidiary may merge into or consolidate with any Person in a transaction that is not permitted by </w:t>
      </w:r>
      <w:r>
        <w:rPr>
          <w:rFonts w:ascii="Arial" w:cs="Arial" w:eastAsia="Arial" w:hAnsi="Arial"/>
          <w:sz w:val="18"/>
          <w:szCs w:val="18"/>
          <w:u w:val="single" w:color="auto"/>
          <w:color w:val="auto"/>
        </w:rPr>
        <w:t>Section 7.3(a)(i)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in the case of a merger involving the Borrower, the Borrower shall be the surviving entity of such merger, (y) such merger is permitted by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and either (A) the Subsidiary Guarantor shall be the surviving entity or (B) such other Person shall become a Subsidiary Guarantor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and (z) such merger shall not be prohibited by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right="20" w:firstLine="1592"/>
        <w:spacing w:after="0" w:line="263" w:lineRule="auto"/>
        <w:tabs>
          <w:tab w:leader="none" w:pos="2194" w:val="left"/>
        </w:tabs>
        <w:numPr>
          <w:ilvl w:val="2"/>
          <w:numId w:val="158"/>
        </w:numPr>
        <w:rPr>
          <w:rFonts w:ascii="Arial" w:cs="Arial" w:eastAsia="Arial" w:hAnsi="Arial"/>
          <w:sz w:val="18"/>
          <w:szCs w:val="18"/>
          <w:color w:val="auto"/>
        </w:rPr>
      </w:pPr>
      <w:r>
        <w:rPr>
          <w:rFonts w:ascii="Arial" w:cs="Arial" w:eastAsia="Arial" w:hAnsi="Arial"/>
          <w:sz w:val="18"/>
          <w:szCs w:val="18"/>
          <w:color w:val="auto"/>
        </w:rPr>
        <w:t>(A) any Subsidiary of a Loan Party may sell, transfer, lease or otherwise Dispose of all or substantially all of its assets to the Borrower or to any Subsidiary Guarantor and (B) any Non-Loan Party Subsidiary may sell, transfer, lease or otherwise Dispose of all or substantially all of its assets to the Borrower or any Subsidiary of the Borrower;</w:t>
      </w:r>
    </w:p>
    <w:p>
      <w:pPr>
        <w:spacing w:after="0" w:line="183" w:lineRule="exact"/>
        <w:rPr>
          <w:rFonts w:ascii="Arial" w:cs="Arial" w:eastAsia="Arial" w:hAnsi="Arial"/>
          <w:sz w:val="18"/>
          <w:szCs w:val="18"/>
          <w:color w:val="auto"/>
        </w:rPr>
      </w:pPr>
    </w:p>
    <w:p>
      <w:pPr>
        <w:ind w:firstLine="1592"/>
        <w:spacing w:after="0" w:line="277" w:lineRule="auto"/>
        <w:tabs>
          <w:tab w:leader="none" w:pos="2211" w:val="left"/>
        </w:tabs>
        <w:numPr>
          <w:ilvl w:val="2"/>
          <w:numId w:val="158"/>
        </w:numPr>
        <w:rPr>
          <w:rFonts w:ascii="Arial" w:cs="Arial" w:eastAsia="Arial" w:hAnsi="Arial"/>
          <w:sz w:val="18"/>
          <w:szCs w:val="18"/>
          <w:color w:val="auto"/>
        </w:rPr>
      </w:pPr>
      <w:r>
        <w:rPr>
          <w:rFonts w:ascii="Arial" w:cs="Arial" w:eastAsia="Arial" w:hAnsi="Arial"/>
          <w:sz w:val="18"/>
          <w:szCs w:val="18"/>
          <w:color w:val="auto"/>
        </w:rPr>
        <w:t xml:space="preserve">the Borrower or any of its Subsidiaries may sell, transfer, lease or otherwise Dispose of its assets in a transaction that is not permitted by </w:t>
      </w:r>
      <w:r>
        <w:rPr>
          <w:rFonts w:ascii="Arial" w:cs="Arial" w:eastAsia="Arial" w:hAnsi="Arial"/>
          <w:sz w:val="18"/>
          <w:szCs w:val="18"/>
          <w:u w:val="single" w:color="auto"/>
          <w:color w:val="auto"/>
        </w:rPr>
        <w:t>Section 7.3(a)(iii)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sale, transfer, lease or other Disposition is permitted by </w:t>
      </w:r>
      <w:r>
        <w:rPr>
          <w:rFonts w:ascii="Arial" w:cs="Arial" w:eastAsia="Arial" w:hAnsi="Arial"/>
          <w:sz w:val="18"/>
          <w:szCs w:val="18"/>
          <w:u w:val="single" w:color="auto"/>
          <w:color w:val="auto"/>
        </w:rPr>
        <w:t>Section 7.5</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firstLine="1592"/>
        <w:spacing w:after="0" w:line="220" w:lineRule="exact"/>
        <w:tabs>
          <w:tab w:leader="none" w:pos="2299" w:val="left"/>
        </w:tabs>
        <w:numPr>
          <w:ilvl w:val="2"/>
          <w:numId w:val="158"/>
        </w:numPr>
        <w:rPr>
          <w:rFonts w:ascii="Arial" w:cs="Arial" w:eastAsia="Arial" w:hAnsi="Arial"/>
          <w:sz w:val="16"/>
          <w:szCs w:val="16"/>
          <w:color w:val="auto"/>
        </w:rPr>
      </w:pPr>
      <w:r>
        <w:rPr>
          <w:rFonts w:ascii="Arial" w:cs="Arial" w:eastAsia="Arial" w:hAnsi="Arial"/>
          <w:sz w:val="16"/>
          <w:szCs w:val="16"/>
          <w:color w:val="auto"/>
        </w:rPr>
        <w:t>(A) any Non</w:t>
      </w:r>
      <w:r>
        <w:rPr>
          <w:rFonts w:ascii="MS PGothic" w:cs="MS PGothic" w:eastAsia="MS PGothic" w:hAnsi="MS PGothic"/>
          <w:sz w:val="16"/>
          <w:szCs w:val="16"/>
          <w:color w:val="auto"/>
        </w:rPr>
        <w:t>‑</w:t>
      </w:r>
      <w:r>
        <w:rPr>
          <w:rFonts w:ascii="Arial" w:cs="Arial" w:eastAsia="Arial" w:hAnsi="Arial"/>
          <w:sz w:val="16"/>
          <w:szCs w:val="16"/>
          <w:color w:val="auto"/>
        </w:rPr>
        <w:t>Loan Party Subsidiary may liquidate or dissolve so long as any remaining assets are transferred to another Non</w:t>
      </w:r>
      <w:r>
        <w:rPr>
          <w:rFonts w:ascii="MS PGothic" w:cs="MS PGothic" w:eastAsia="MS PGothic" w:hAnsi="MS PGothic"/>
          <w:sz w:val="16"/>
          <w:szCs w:val="16"/>
          <w:color w:val="auto"/>
        </w:rPr>
        <w:t>‑</w:t>
      </w:r>
      <w:r>
        <w:rPr>
          <w:rFonts w:ascii="Arial" w:cs="Arial" w:eastAsia="Arial" w:hAnsi="Arial"/>
          <w:sz w:val="16"/>
          <w:szCs w:val="16"/>
          <w:color w:val="auto"/>
        </w:rPr>
        <w:t xml:space="preserve">Loan Party Subsidiary or a Loan Party and (B) any Subsidiary Guarantor may liquidate or dissolve so long as any remaining assets of such Subsidiary Guarantor are transferred to another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Borrower determines in good faith that such liquidation or dissolution is in the best interests of Borrower and its Subsidiaries and is not disadvantageous to the Administrative Agent or any Lender in any material respect;</w:t>
      </w:r>
    </w:p>
    <w:p>
      <w:pPr>
        <w:spacing w:after="0" w:line="203" w:lineRule="exact"/>
        <w:rPr>
          <w:rFonts w:ascii="Arial" w:cs="Arial" w:eastAsia="Arial" w:hAnsi="Arial"/>
          <w:sz w:val="16"/>
          <w:szCs w:val="16"/>
          <w:color w:val="auto"/>
        </w:rPr>
      </w:pPr>
    </w:p>
    <w:p>
      <w:pPr>
        <w:ind w:firstLine="1106"/>
        <w:spacing w:after="0" w:line="277" w:lineRule="auto"/>
        <w:tabs>
          <w:tab w:leader="none" w:pos="174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Borrower will not, and will not permit any of its Subsidiaries to, engage to any material extent in any business other than an Approved Line of Business; and</w:t>
      </w:r>
    </w:p>
    <w:p>
      <w:pPr>
        <w:spacing w:after="0" w:line="170" w:lineRule="exact"/>
        <w:rPr>
          <w:rFonts w:ascii="Arial" w:cs="Arial" w:eastAsia="Arial" w:hAnsi="Arial"/>
          <w:sz w:val="18"/>
          <w:szCs w:val="18"/>
          <w:color w:val="auto"/>
        </w:rPr>
      </w:pPr>
    </w:p>
    <w:p>
      <w:pPr>
        <w:ind w:left="1660" w:hanging="554"/>
        <w:spacing w:after="0"/>
        <w:tabs>
          <w:tab w:leader="none" w:pos="1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Borrower will not, and will not permit any of its Subsidiaries to, change its Fiscal Year.</w:t>
      </w:r>
    </w:p>
    <w:p>
      <w:pPr>
        <w:spacing w:after="0" w:line="22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Investments, Loans, Advances, Guarantees and Acquisitions</w:t>
      </w:r>
      <w:r>
        <w:rPr>
          <w:rFonts w:ascii="Arial" w:cs="Arial" w:eastAsia="Arial" w:hAnsi="Arial"/>
          <w:sz w:val="18"/>
          <w:szCs w:val="18"/>
          <w:color w:val="auto"/>
        </w:rPr>
        <w:t>. The Borrower will not, and will not permit any of its Subsidiaries to, purchase, hold or acquire (including pursuant to any merger or Division) any Investment, make or permit to exist any Guarantees of any obligations of, or make or permit to exist any investment or any other interest in, any other Person, make any Acquisition or purchase or otherwise enter into or become party to any derivative transaction, except:</w:t>
      </w:r>
    </w:p>
    <w:p>
      <w:pPr>
        <w:spacing w:after="0" w:line="187" w:lineRule="exact"/>
        <w:rPr>
          <w:sz w:val="20"/>
          <w:szCs w:val="20"/>
          <w:color w:val="auto"/>
        </w:rPr>
      </w:pPr>
    </w:p>
    <w:p>
      <w:pPr>
        <w:ind w:left="1660" w:hanging="554"/>
        <w:spacing w:after="0"/>
        <w:tabs>
          <w:tab w:leader="none" w:pos="1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0" w:name="page151"/>
    <w:bookmarkEnd w:id="150"/>
    <w:p>
      <w:pPr>
        <w:ind w:left="1660" w:hanging="574"/>
        <w:spacing w:after="0"/>
        <w:tabs>
          <w:tab w:leader="none" w:pos="1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investments existing on the Agreement Date and set forth in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7.4;</w:t>
      </w:r>
    </w:p>
    <w:p>
      <w:pPr>
        <w:spacing w:after="0" w:line="225" w:lineRule="exact"/>
        <w:rPr>
          <w:rFonts w:ascii="Arial" w:cs="Arial" w:eastAsia="Arial" w:hAnsi="Arial"/>
          <w:sz w:val="18"/>
          <w:szCs w:val="18"/>
          <w:color w:val="auto"/>
        </w:rPr>
      </w:pPr>
    </w:p>
    <w:p>
      <w:pPr>
        <w:jc w:val="both"/>
        <w:ind w:left="-20" w:firstLine="1106"/>
        <w:spacing w:after="0" w:line="259" w:lineRule="auto"/>
        <w:tabs>
          <w:tab w:leader="none" w:pos="163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equity Investments made by the Borrower in the Equity Interests of any Subsidiary Guarantor or any Non-Loan Party Subsidiary and made by any Subsidiary Guarantor in the Equity Interests of any other Subsidiary Guarantor or any Non-Loan Party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Investments pursuant to this </w:t>
      </w:r>
      <w:r>
        <w:rPr>
          <w:rFonts w:ascii="Arial" w:cs="Arial" w:eastAsia="Arial" w:hAnsi="Arial"/>
          <w:sz w:val="18"/>
          <w:szCs w:val="18"/>
          <w:u w:val="single" w:color="auto"/>
          <w:color w:val="auto"/>
        </w:rPr>
        <w:t>Section 7.4(c)</w:t>
      </w:r>
      <w:r>
        <w:rPr>
          <w:rFonts w:ascii="Arial" w:cs="Arial" w:eastAsia="Arial" w:hAnsi="Arial"/>
          <w:sz w:val="18"/>
          <w:szCs w:val="18"/>
          <w:color w:val="auto"/>
        </w:rPr>
        <w:t xml:space="preserve"> in any Non-Loan Party Subsidiary shall not exceed $1,000,000 in the aggregate after the Agreement Date less any amounts expended pursuant to subsection (e) below;</w:t>
      </w:r>
    </w:p>
    <w:p>
      <w:pPr>
        <w:spacing w:after="0" w:line="186" w:lineRule="exact"/>
        <w:rPr>
          <w:rFonts w:ascii="Arial" w:cs="Arial" w:eastAsia="Arial" w:hAnsi="Arial"/>
          <w:sz w:val="18"/>
          <w:szCs w:val="18"/>
          <w:color w:val="auto"/>
        </w:rPr>
      </w:pPr>
    </w:p>
    <w:p>
      <w:pPr>
        <w:ind w:left="-20" w:firstLine="1106"/>
        <w:spacing w:after="0" w:line="277" w:lineRule="auto"/>
        <w:tabs>
          <w:tab w:leader="none" w:pos="16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Investments constituting Indebtedness made by (i) any Loan Party to any Subsidiary thereof or (ii) any Subsidiary to any Loan Party or another Subsidiary, in each case subject to the limitations set forth in </w:t>
      </w:r>
      <w:r>
        <w:rPr>
          <w:rFonts w:ascii="Arial" w:cs="Arial" w:eastAsia="Arial" w:hAnsi="Arial"/>
          <w:sz w:val="18"/>
          <w:szCs w:val="18"/>
          <w:u w:val="single" w:color="auto"/>
          <w:color w:val="auto"/>
        </w:rPr>
        <w:t>Section 7.1(a)(v)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20" w:firstLine="1106"/>
        <w:spacing w:after="0" w:line="257" w:lineRule="auto"/>
        <w:tabs>
          <w:tab w:leader="none" w:pos="169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acquisitions made by (i) any Loan Party from any other Loan Party; (ii) any Non-Loan Party Subsidiary from any other Non-Loan Party Subsidiary; and (iii) any Non-Loan Party Subsidiary from any Loan Party; provided, that, with respect to this clause (iii), the amount of any such Investments shall not exceed $1,000,000 in the aggregate after the Closing Date less any amounts expended pursuant to subsection (c) above and provided, further, that no material assets of the Loan Parties (including, without limitation, any Intellectual Property) shall be acquired by a Non-Loan Party pursuant to this clause (iii);</w:t>
      </w:r>
    </w:p>
    <w:p>
      <w:pPr>
        <w:spacing w:after="0" w:line="187" w:lineRule="exact"/>
        <w:rPr>
          <w:rFonts w:ascii="Arial" w:cs="Arial" w:eastAsia="Arial" w:hAnsi="Arial"/>
          <w:sz w:val="18"/>
          <w:szCs w:val="18"/>
          <w:color w:val="auto"/>
        </w:rPr>
      </w:pPr>
    </w:p>
    <w:p>
      <w:pPr>
        <w:ind w:left="1620" w:hanging="534"/>
        <w:spacing w:after="0"/>
        <w:tabs>
          <w:tab w:leader="none" w:pos="16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60" w:hanging="574"/>
        <w:spacing w:after="0"/>
        <w:tabs>
          <w:tab w:leader="none" w:pos="1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Swap Agreements permitted by </w:t>
      </w:r>
      <w:r>
        <w:rPr>
          <w:rFonts w:ascii="Arial" w:cs="Arial" w:eastAsia="Arial" w:hAnsi="Arial"/>
          <w:sz w:val="18"/>
          <w:szCs w:val="18"/>
          <w:u w:val="single" w:color="auto"/>
          <w:color w:val="auto"/>
        </w:rPr>
        <w:t>Section 7.7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60" w:hanging="574"/>
        <w:spacing w:after="0"/>
        <w:tabs>
          <w:tab w:leader="none" w:pos="1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ind w:left="-20" w:right="20" w:firstLine="1106"/>
        <w:spacing w:after="0" w:line="277" w:lineRule="auto"/>
        <w:tabs>
          <w:tab w:leader="none" w:pos="167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payroll, commission, travel and other similar cash advances made to directors (or comparable Persons), officers or employees in the ordinary course of business;</w:t>
      </w:r>
    </w:p>
    <w:p>
      <w:pPr>
        <w:spacing w:after="0" w:line="170" w:lineRule="exact"/>
        <w:rPr>
          <w:rFonts w:ascii="Arial" w:cs="Arial" w:eastAsia="Arial" w:hAnsi="Arial"/>
          <w:sz w:val="18"/>
          <w:szCs w:val="18"/>
          <w:color w:val="auto"/>
        </w:rPr>
      </w:pPr>
    </w:p>
    <w:p>
      <w:pPr>
        <w:jc w:val="both"/>
        <w:ind w:left="-20" w:firstLine="1106"/>
        <w:spacing w:after="0" w:line="259" w:lineRule="auto"/>
        <w:tabs>
          <w:tab w:leader="none" w:pos="175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(i) promissory notes and other non-cash consideration received in connection with Dispositions permitted by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and (ii) Investments received in settlement of amounts due to any Loan Party or any of its Subsidiaries effected in the ordinary course of business as a result of insolvency, bankruptcy, reorganization, or other similar proceeding involving an account debtor or upon the foreclosure or enforcement of any Lien in favor of a Loan Party or its Subsidiaries;</w:t>
      </w:r>
    </w:p>
    <w:p>
      <w:pPr>
        <w:spacing w:after="0" w:line="186" w:lineRule="exact"/>
        <w:rPr>
          <w:rFonts w:ascii="Arial" w:cs="Arial" w:eastAsia="Arial" w:hAnsi="Arial"/>
          <w:sz w:val="18"/>
          <w:szCs w:val="18"/>
          <w:color w:val="auto"/>
        </w:rPr>
      </w:pPr>
    </w:p>
    <w:p>
      <w:pPr>
        <w:jc w:val="both"/>
        <w:ind w:left="-20" w:firstLine="1106"/>
        <w:spacing w:after="0" w:line="263" w:lineRule="auto"/>
        <w:tabs>
          <w:tab w:leader="none" w:pos="171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Investments of any Person existing at the time such Person becomes a Subsidiary or consolidates or merges with Borrower or any Subsidiary thereof (including in connection with a Permitted Acquisition) so long as such Investments were not made in contemplation of such Person becoming a Subsidiary or of such consolidation or merger;</w:t>
      </w:r>
    </w:p>
    <w:p>
      <w:pPr>
        <w:spacing w:after="0" w:line="183" w:lineRule="exact"/>
        <w:rPr>
          <w:rFonts w:ascii="Arial" w:cs="Arial" w:eastAsia="Arial" w:hAnsi="Arial"/>
          <w:sz w:val="18"/>
          <w:szCs w:val="18"/>
          <w:color w:val="auto"/>
        </w:rPr>
      </w:pPr>
    </w:p>
    <w:p>
      <w:pPr>
        <w:jc w:val="both"/>
        <w:ind w:left="-20" w:firstLine="1106"/>
        <w:spacing w:after="0" w:line="263" w:lineRule="auto"/>
        <w:tabs>
          <w:tab w:leader="none" w:pos="178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deposits of cash made in the ordinary course of business to secure performance of (i) operating leases and (ii) other contractual obligations that do not constitute Indebtedness, including earnest money deposits made in cash in connection with any letter of intent or purchase agreement in connection with a Permitted Acquisition;</w:t>
      </w:r>
    </w:p>
    <w:p>
      <w:pPr>
        <w:spacing w:after="0" w:line="183" w:lineRule="exact"/>
        <w:rPr>
          <w:rFonts w:ascii="Arial" w:cs="Arial" w:eastAsia="Arial" w:hAnsi="Arial"/>
          <w:sz w:val="18"/>
          <w:szCs w:val="18"/>
          <w:color w:val="auto"/>
        </w:rPr>
      </w:pPr>
    </w:p>
    <w:p>
      <w:pPr>
        <w:ind w:left="1660" w:hanging="574"/>
        <w:spacing w:after="0"/>
        <w:tabs>
          <w:tab w:leader="none" w:pos="1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Investments in negotiable instruments deposited or to be deposited for collection in the ordinary course of business; and</w:t>
      </w:r>
    </w:p>
    <w:p>
      <w:pPr>
        <w:spacing w:after="0" w:line="225" w:lineRule="exact"/>
        <w:rPr>
          <w:rFonts w:ascii="Arial" w:cs="Arial" w:eastAsia="Arial" w:hAnsi="Arial"/>
          <w:sz w:val="18"/>
          <w:szCs w:val="18"/>
          <w:color w:val="auto"/>
        </w:rPr>
      </w:pPr>
    </w:p>
    <w:p>
      <w:pPr>
        <w:ind w:left="-20" w:firstLine="1106"/>
        <w:spacing w:after="0" w:line="277" w:lineRule="auto"/>
        <w:tabs>
          <w:tab w:leader="none" w:pos="181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so long as no Default shall have occurred and be continuing or would immediately result therefrom, other Investments by the Borrower and its Subsidiaries after the Agreement Date in an aggregate amount not to exceed $1,000,000.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151" w:name="page152"/>
    <w:bookmarkEnd w:id="151"/>
    <w:p>
      <w:pPr>
        <w:ind w:right="40"/>
        <w:spacing w:after="0" w:line="279" w:lineRule="auto"/>
        <w:rPr>
          <w:sz w:val="20"/>
          <w:szCs w:val="20"/>
          <w:color w:val="auto"/>
        </w:rPr>
      </w:pPr>
      <w:r>
        <w:rPr>
          <w:rFonts w:ascii="Arial" w:cs="Arial" w:eastAsia="Arial" w:hAnsi="Arial"/>
          <w:sz w:val="17"/>
          <w:szCs w:val="17"/>
          <w:color w:val="auto"/>
        </w:rPr>
        <w:t xml:space="preserve">In determining the amount of Investments, acquisitions, loans, and advances permitted under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Investments and acquisitions shall always be taken at the original cost thereof (regardless of any subsequent appreciation or depreciation therein)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all returns of principal, capital, dividends, distributions and other cash returns thereof and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all liabilities expressly assumed by another Person in connection with the sale or other Disposition of any Investment, and loans and advances shall be taken at the principal amount thereof then remaining unpaid.</w:t>
      </w:r>
    </w:p>
    <w:p>
      <w:pPr>
        <w:spacing w:after="0" w:line="171"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Dispositions</w:t>
      </w:r>
      <w:r>
        <w:rPr>
          <w:rFonts w:ascii="Arial" w:cs="Arial" w:eastAsia="Arial" w:hAnsi="Arial"/>
          <w:sz w:val="16"/>
          <w:szCs w:val="16"/>
          <w:color w:val="auto"/>
        </w:rPr>
        <w:t>. The Borrower will not, and will not permit any of its Subsidiaries to, Dispose of any of its assets except:</w:t>
      </w:r>
    </w:p>
    <w:p>
      <w:pPr>
        <w:spacing w:after="0" w:line="225" w:lineRule="exact"/>
        <w:rPr>
          <w:sz w:val="20"/>
          <w:szCs w:val="20"/>
          <w:color w:val="auto"/>
        </w:rPr>
      </w:pPr>
    </w:p>
    <w:p>
      <w:pPr>
        <w:ind w:firstLine="1106"/>
        <w:spacing w:after="0" w:line="277" w:lineRule="auto"/>
        <w:tabs>
          <w:tab w:leader="none" w:pos="166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issuances of Qualified Equity Interests by any Wholly-Owned Subsidiary of a Loan Party to a Loan Party, in each case subject to the Collateral and Guarantee Requirement and </w:t>
      </w:r>
      <w:r>
        <w:rPr>
          <w:rFonts w:ascii="Arial" w:cs="Arial" w:eastAsia="Arial" w:hAnsi="Arial"/>
          <w:sz w:val="18"/>
          <w:szCs w:val="18"/>
          <w:u w:val="single" w:color="auto"/>
          <w:color w:val="auto"/>
        </w:rPr>
        <w:t>Section 2.7(b)(i)(B)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680" w:hanging="574"/>
        <w:spacing w:after="0"/>
        <w:tabs>
          <w:tab w:leader="none" w:pos="16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sale or lease of inventory in the ordinary course of business;</w:t>
      </w:r>
    </w:p>
    <w:p>
      <w:pPr>
        <w:spacing w:after="0" w:line="225" w:lineRule="exact"/>
        <w:rPr>
          <w:rFonts w:ascii="Arial" w:cs="Arial" w:eastAsia="Arial" w:hAnsi="Arial"/>
          <w:sz w:val="18"/>
          <w:szCs w:val="18"/>
          <w:color w:val="auto"/>
        </w:rPr>
      </w:pPr>
    </w:p>
    <w:p>
      <w:pPr>
        <w:ind w:firstLine="1106"/>
        <w:spacing w:after="0" w:line="277" w:lineRule="auto"/>
        <w:tabs>
          <w:tab w:leader="none" w:pos="172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use or transfer of money, cash or Cash Equivalents in a manner that is not prohibited by the terms of this Credit Agreement or the other Loan Documents;</w:t>
      </w:r>
    </w:p>
    <w:p>
      <w:pPr>
        <w:spacing w:after="0" w:line="170" w:lineRule="exact"/>
        <w:rPr>
          <w:rFonts w:ascii="Arial" w:cs="Arial" w:eastAsia="Arial" w:hAnsi="Arial"/>
          <w:sz w:val="18"/>
          <w:szCs w:val="18"/>
          <w:color w:val="auto"/>
        </w:rPr>
      </w:pPr>
    </w:p>
    <w:p>
      <w:pPr>
        <w:ind w:right="20" w:firstLine="1106"/>
        <w:spacing w:after="0" w:line="277" w:lineRule="auto"/>
        <w:tabs>
          <w:tab w:leader="none" w:pos="172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licensing and sublicensing on a non-exclusive basis of patents, trademarks, copyrights, and other intellectual property rights in the ordinary course of business, and the leasing and subleasing of any other property;</w:t>
      </w:r>
    </w:p>
    <w:p>
      <w:pPr>
        <w:spacing w:after="0" w:line="170" w:lineRule="exact"/>
        <w:rPr>
          <w:rFonts w:ascii="Arial" w:cs="Arial" w:eastAsia="Arial" w:hAnsi="Arial"/>
          <w:sz w:val="18"/>
          <w:szCs w:val="18"/>
          <w:color w:val="auto"/>
        </w:rPr>
      </w:pPr>
    </w:p>
    <w:p>
      <w:pPr>
        <w:ind w:left="1660" w:hanging="554"/>
        <w:spacing w:after="0"/>
        <w:tabs>
          <w:tab w:leader="none" w:pos="1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the granting of Liens permitted hereunder and the other transactions permitted by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40" w:hanging="534"/>
        <w:spacing w:after="0"/>
        <w:tabs>
          <w:tab w:leader="none" w:pos="16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Casualty Event and the Disposition of any property subject thereto;</w:t>
      </w:r>
    </w:p>
    <w:p>
      <w:pPr>
        <w:spacing w:after="0" w:line="225" w:lineRule="exact"/>
        <w:rPr>
          <w:rFonts w:ascii="Arial" w:cs="Arial" w:eastAsia="Arial" w:hAnsi="Arial"/>
          <w:sz w:val="18"/>
          <w:szCs w:val="18"/>
          <w:color w:val="auto"/>
        </w:rPr>
      </w:pPr>
    </w:p>
    <w:p>
      <w:pPr>
        <w:jc w:val="both"/>
        <w:ind w:firstLine="1106"/>
        <w:spacing w:after="0" w:line="259" w:lineRule="auto"/>
        <w:tabs>
          <w:tab w:leader="none" w:pos="171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abandonment, cancellation or lapse of issued patents, registered trademarks and other registered intellectual property of a Loan Party or Subsidiary thereof to the extent, in such Loan Party’s reasonable business judgment, not economically desirable in the conduct of such Loan Party’s business or so long as such lapse is not materially adverse to the interests of the Lenders and (ii) the expiration of patents in accordance with their statutory terms;</w:t>
      </w:r>
    </w:p>
    <w:p>
      <w:pPr>
        <w:spacing w:after="0" w:line="186" w:lineRule="exact"/>
        <w:rPr>
          <w:rFonts w:ascii="Arial" w:cs="Arial" w:eastAsia="Arial" w:hAnsi="Arial"/>
          <w:sz w:val="18"/>
          <w:szCs w:val="18"/>
          <w:color w:val="auto"/>
        </w:rPr>
      </w:pPr>
    </w:p>
    <w:p>
      <w:pPr>
        <w:jc w:val="both"/>
        <w:ind w:firstLine="1106"/>
        <w:spacing w:after="0" w:line="254" w:lineRule="auto"/>
        <w:tabs>
          <w:tab w:leader="none" w:pos="174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the sale of assets (other than Equity Interests of any Wholly-Owned Subsidiary, unless all of the Equity Interests of such Wholly-Owned Subsidiary (other than the Borrower) are sold in accordance with this clause (h)) for at least fair market value, so long as (A) no Default then exists or would immediately result therefrom, (B) at least 75% of the consideration received by the applicable Loan Party consists of cash or Cash Equivalents and is paid at the time of the closing of such sale, (C) the Net Cash Proceeds therefrom are applied and/or reinvested as (and to the extent) required by </w:t>
      </w:r>
      <w:r>
        <w:rPr>
          <w:rFonts w:ascii="Arial" w:cs="Arial" w:eastAsia="Arial" w:hAnsi="Arial"/>
          <w:sz w:val="18"/>
          <w:szCs w:val="18"/>
          <w:u w:val="single" w:color="auto"/>
          <w:color w:val="auto"/>
        </w:rPr>
        <w:t>Section 2.7(b)(i)(A)</w:t>
      </w:r>
      <w:r>
        <w:rPr>
          <w:rFonts w:ascii="Arial" w:cs="Arial" w:eastAsia="Arial" w:hAnsi="Arial"/>
          <w:sz w:val="18"/>
          <w:szCs w:val="18"/>
          <w:color w:val="auto"/>
        </w:rPr>
        <w:t xml:space="preserve"> and (D) the aggregate amount of the cash and non-cash proceeds received from all assets sold pursuant to this clause (i) shall not exceed $2,500,000 in the aggregate during the term of this Credit Agreement (for this purpose, using the fair market value of property other than cash and Cash Equivalents);</w:t>
      </w:r>
    </w:p>
    <w:p>
      <w:pPr>
        <w:spacing w:after="0" w:line="194" w:lineRule="exact"/>
        <w:rPr>
          <w:rFonts w:ascii="Arial" w:cs="Arial" w:eastAsia="Arial" w:hAnsi="Arial"/>
          <w:sz w:val="18"/>
          <w:szCs w:val="18"/>
          <w:color w:val="auto"/>
        </w:rPr>
      </w:pPr>
    </w:p>
    <w:p>
      <w:pPr>
        <w:ind w:firstLine="1106"/>
        <w:spacing w:after="0" w:line="308" w:lineRule="auto"/>
        <w:tabs>
          <w:tab w:leader="none" w:pos="177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Dispositions of assets acquired by the Borrower and its Subsidiaries pursuant to a Permitted Acquisition consummated within 12 months of the date of such Permitted Acquisition in an aggregate amount not to exceed $500,000 for each such Permitted Acquisition;</w:t>
      </w:r>
    </w:p>
    <w:p>
      <w:pPr>
        <w:spacing w:after="0" w:line="146" w:lineRule="exact"/>
        <w:rPr>
          <w:rFonts w:ascii="Arial" w:cs="Arial" w:eastAsia="Arial" w:hAnsi="Arial"/>
          <w:sz w:val="17"/>
          <w:szCs w:val="17"/>
          <w:color w:val="auto"/>
        </w:rPr>
      </w:pPr>
    </w:p>
    <w:p>
      <w:pPr>
        <w:ind w:left="1680" w:hanging="574"/>
        <w:spacing w:after="0"/>
        <w:tabs>
          <w:tab w:leader="none" w:pos="16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trade in of equipment in exchange for other equipment in the ordinary course of business;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2" w:name="page153"/>
    <w:bookmarkEnd w:id="152"/>
    <w:p>
      <w:pPr>
        <w:ind w:left="1900" w:hanging="794"/>
        <w:spacing w:after="0"/>
        <w:tabs>
          <w:tab w:leader="none" w:pos="19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unwinding or terminating of hedging arrangements or transactions contemplated by any Swap Agreement which are not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prohibited hereunder.</w:t>
      </w:r>
    </w:p>
    <w:p>
      <w:pPr>
        <w:spacing w:after="0" w:line="211"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 xml:space="preserve">To the extent the Required Lenders or all the Lenders, as applicable, waive the provisions of this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with respect to the sale of any Collateral, or any Collateral is sold as permitted by this </w:t>
      </w:r>
      <w:r>
        <w:rPr>
          <w:rFonts w:ascii="Arial" w:cs="Arial" w:eastAsia="Arial" w:hAnsi="Arial"/>
          <w:sz w:val="18"/>
          <w:szCs w:val="18"/>
          <w:u w:val="single" w:color="auto"/>
          <w:color w:val="auto"/>
        </w:rPr>
        <w:t>Section 7.5</w:t>
      </w:r>
      <w:r>
        <w:rPr>
          <w:rFonts w:ascii="Arial" w:cs="Arial" w:eastAsia="Arial" w:hAnsi="Arial"/>
          <w:sz w:val="18"/>
          <w:szCs w:val="18"/>
          <w:color w:val="auto"/>
        </w:rPr>
        <w:t>, such Collateral (unless sold to a Loan Party) shall be sold automatically free and clear of the Liens created by the Collateral Documents and, at the expense of the Loan Parties, the Administrative Agent shall take all reasonable actions any Loan Party reasonably requests in writing in order to effect the foregoing.</w:t>
      </w:r>
    </w:p>
    <w:p>
      <w:pPr>
        <w:spacing w:after="0" w:line="187"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Sale and Lease Back Transactions.</w:t>
      </w:r>
      <w:r>
        <w:rPr>
          <w:rFonts w:ascii="Arial" w:cs="Arial" w:eastAsia="Arial" w:hAnsi="Arial"/>
          <w:sz w:val="18"/>
          <w:szCs w:val="18"/>
          <w:color w:val="auto"/>
        </w:rPr>
        <w:t xml:space="preserve"> The Borrower will not, and will not permit any of its Subsidiaries to, enter into any Sale and Leaseback arrangement, directly or indirectly, with any Person.</w:t>
      </w:r>
    </w:p>
    <w:p>
      <w:pPr>
        <w:spacing w:after="0" w:line="170" w:lineRule="exact"/>
        <w:rPr>
          <w:sz w:val="20"/>
          <w:szCs w:val="20"/>
          <w:color w:val="auto"/>
        </w:rPr>
      </w:pPr>
    </w:p>
    <w:p>
      <w:pPr>
        <w:jc w:val="both"/>
        <w:ind w:firstLine="450"/>
        <w:spacing w:after="0" w:line="275" w:lineRule="auto"/>
        <w:rPr>
          <w:sz w:val="20"/>
          <w:szCs w:val="20"/>
          <w:color w:val="auto"/>
        </w:rPr>
      </w:pPr>
      <w:r>
        <w:rPr>
          <w:rFonts w:ascii="Arial" w:cs="Arial" w:eastAsia="Arial" w:hAnsi="Arial"/>
          <w:sz w:val="17"/>
          <w:szCs w:val="17"/>
          <w:color w:val="auto"/>
        </w:rPr>
        <w:t xml:space="preserve">Section 7.7 </w:t>
      </w:r>
      <w:r>
        <w:rPr>
          <w:rFonts w:ascii="Arial" w:cs="Arial" w:eastAsia="Arial" w:hAnsi="Arial"/>
          <w:sz w:val="17"/>
          <w:szCs w:val="17"/>
          <w:u w:val="single" w:color="auto"/>
          <w:color w:val="auto"/>
        </w:rPr>
        <w:t>Swap Agreements</w:t>
      </w:r>
      <w:r>
        <w:rPr>
          <w:rFonts w:ascii="Arial" w:cs="Arial" w:eastAsia="Arial" w:hAnsi="Arial"/>
          <w:sz w:val="17"/>
          <w:szCs w:val="17"/>
          <w:color w:val="auto"/>
        </w:rPr>
        <w:t>. The Borrower will not, and will not permit any of its Subsidiaries to, enter into any Swap Agreement, except (a) Swap Agreements entered into in the ordinary course of business to hedge or mitigate risks to which the Borrower or any Subsidiary has actual exposure (other than those in respect of Equity Interests of the Borrower or any Subsidiary) and that are not for speculative purposes, and (b) Swap Agreements entered into in order to effectively cap, collar or exchange interest rates (from fixed to floating rates, from one floating rate to another floating rate or otherwise) with respect to any interest-bearing liability or investment of such Loan Party or Subsidiary.</w:t>
      </w:r>
    </w:p>
    <w:p>
      <w:pPr>
        <w:spacing w:after="0" w:line="176"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The Borrower will not, and will not permit any of its Subsidiaries to, declare or make, or agree to pay for or make, directly or indirectly, any Restricted Payment, or incur any obligation (contingent or otherwise) to do so, except:</w:t>
      </w:r>
    </w:p>
    <w:p>
      <w:pPr>
        <w:spacing w:after="0" w:line="170" w:lineRule="exact"/>
        <w:rPr>
          <w:sz w:val="20"/>
          <w:szCs w:val="20"/>
          <w:color w:val="auto"/>
        </w:rPr>
      </w:pPr>
    </w:p>
    <w:p>
      <w:pPr>
        <w:jc w:val="both"/>
        <w:ind w:firstLine="1106"/>
        <w:spacing w:after="0" w:line="263" w:lineRule="auto"/>
        <w:tabs>
          <w:tab w:leader="none" w:pos="183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subject to the Collateral and Guarantee Requirement, any Subsidiary of the Borrower may declare and pay, and agree to pay, dividends and other distributions with respect to its Equity Interests payable solely in perpetual common Equity Interests (other than Disqualified Equity Interests),</w:t>
      </w:r>
    </w:p>
    <w:p>
      <w:pPr>
        <w:spacing w:after="0" w:line="183" w:lineRule="exact"/>
        <w:rPr>
          <w:rFonts w:ascii="Arial" w:cs="Arial" w:eastAsia="Arial" w:hAnsi="Arial"/>
          <w:sz w:val="18"/>
          <w:szCs w:val="18"/>
          <w:color w:val="auto"/>
        </w:rPr>
      </w:pPr>
    </w:p>
    <w:p>
      <w:pPr>
        <w:ind w:firstLine="1106"/>
        <w:spacing w:after="0" w:line="277" w:lineRule="auto"/>
        <w:tabs>
          <w:tab w:leader="none" w:pos="181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Subsidiary of the Borrower may declare and pay dividends or other distributions with respect to its Equity Interests to the Borrower or any Subsidiary Guarantor,</w:t>
      </w:r>
    </w:p>
    <w:p>
      <w:pPr>
        <w:spacing w:after="0" w:line="170" w:lineRule="exact"/>
        <w:rPr>
          <w:rFonts w:ascii="Arial" w:cs="Arial" w:eastAsia="Arial" w:hAnsi="Arial"/>
          <w:sz w:val="18"/>
          <w:szCs w:val="18"/>
          <w:color w:val="auto"/>
        </w:rPr>
      </w:pPr>
    </w:p>
    <w:p>
      <w:pPr>
        <w:jc w:val="both"/>
        <w:ind w:firstLine="1106"/>
        <w:spacing w:after="0" w:line="259" w:lineRule="auto"/>
        <w:tabs>
          <w:tab w:leader="none" w:pos="170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so long as (i) no Default shall have occurred and be continuing both before and after giving effect thereto and (ii) the Consolidated Net Leverage Ratio, calculated on a Pro Forma Basis after giving effect thereto, shall be no greater than 0.25x less than the maximum Consolidated Net Leverage Ratio permitted by Section 7.12(a) for the subject period, the Borrower may make additional Restricted Payments in an aggregate amount not to exceed $500,000; and</w:t>
      </w:r>
    </w:p>
    <w:p>
      <w:pPr>
        <w:spacing w:after="0" w:line="186" w:lineRule="exact"/>
        <w:rPr>
          <w:rFonts w:ascii="Arial" w:cs="Arial" w:eastAsia="Arial" w:hAnsi="Arial"/>
          <w:sz w:val="18"/>
          <w:szCs w:val="18"/>
          <w:color w:val="auto"/>
        </w:rPr>
      </w:pPr>
    </w:p>
    <w:p>
      <w:pPr>
        <w:ind w:left="1680" w:hanging="574"/>
        <w:spacing w:after="0"/>
        <w:tabs>
          <w:tab w:leader="none" w:pos="16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making of dividends or distributions by a Non-Loan Party Subsidiary to a Loan Party or another Non-Loan Party Subsidiary.</w:t>
      </w:r>
    </w:p>
    <w:p>
      <w:pPr>
        <w:spacing w:after="0" w:line="237" w:lineRule="exact"/>
        <w:rPr>
          <w:sz w:val="20"/>
          <w:szCs w:val="20"/>
          <w:color w:val="auto"/>
        </w:rPr>
      </w:pPr>
    </w:p>
    <w:p>
      <w:pPr>
        <w:jc w:val="both"/>
        <w:ind w:firstLine="450"/>
        <w:spacing w:after="0" w:line="273" w:lineRule="auto"/>
        <w:rPr>
          <w:sz w:val="20"/>
          <w:szCs w:val="20"/>
          <w:color w:val="auto"/>
        </w:rPr>
      </w:pPr>
      <w:r>
        <w:rPr>
          <w:rFonts w:ascii="Arial" w:cs="Arial" w:eastAsia="Arial" w:hAnsi="Arial"/>
          <w:sz w:val="17"/>
          <w:szCs w:val="17"/>
          <w:color w:val="auto"/>
        </w:rPr>
        <w:t xml:space="preserve">Section 7.9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xml:space="preserve">. The Borrower will not, and will not permit any of its Subsidiaries to, Dispose (including pursuant to a merger or Division) of any property or assets to, or purchase, lease or otherwise acquire (including pursuant to a merger or Division) any property or assets from, or otherwise engage in any other transactions with, any of its Affiliates, except (a) transactions in the ordinary course of business and at prices and on terms and conditions not less favorable to such Loan Party or such Subsidiary than could be obtained on an arm’s-length basis from unrelated third parties (it being understood that this Section shall not apply to any transaction that is expressly permitted under </w:t>
      </w:r>
      <w:r>
        <w:rPr>
          <w:rFonts w:ascii="Arial" w:cs="Arial" w:eastAsia="Arial" w:hAnsi="Arial"/>
          <w:sz w:val="17"/>
          <w:szCs w:val="17"/>
          <w:u w:val="single" w:color="auto"/>
          <w:color w:val="auto"/>
        </w:rPr>
        <w:t>Sections 7.1</w:t>
      </w:r>
      <w:r>
        <w:rPr>
          <w:rFonts w:ascii="Arial" w:cs="Arial" w:eastAsia="Arial" w:hAnsi="Arial"/>
          <w:sz w:val="17"/>
          <w:szCs w:val="17"/>
          <w:color w:val="auto"/>
        </w:rPr>
        <w:t xml:space="preserve">, </w:t>
      </w:r>
      <w:r>
        <w:rPr>
          <w:rFonts w:ascii="Arial" w:cs="Arial" w:eastAsia="Arial" w:hAnsi="Arial"/>
          <w:sz w:val="17"/>
          <w:szCs w:val="17"/>
          <w:u w:val="single" w:color="auto"/>
          <w:color w:val="auto"/>
        </w:rPr>
        <w:t>7.3</w:t>
      </w:r>
      <w:r>
        <w:rPr>
          <w:rFonts w:ascii="Arial" w:cs="Arial" w:eastAsia="Arial" w:hAnsi="Arial"/>
          <w:sz w:val="17"/>
          <w:szCs w:val="17"/>
          <w:color w:val="auto"/>
        </w:rPr>
        <w:t xml:space="preserve">, </w:t>
      </w:r>
      <w:r>
        <w:rPr>
          <w:rFonts w:ascii="Arial" w:cs="Arial" w:eastAsia="Arial" w:hAnsi="Arial"/>
          <w:sz w:val="17"/>
          <w:szCs w:val="17"/>
          <w:u w:val="single" w:color="auto"/>
          <w:color w:val="auto"/>
        </w:rPr>
        <w:t>7.4</w:t>
      </w:r>
      <w:r>
        <w:rPr>
          <w:rFonts w:ascii="Arial" w:cs="Arial" w:eastAsia="Arial" w:hAnsi="Arial"/>
          <w:sz w:val="17"/>
          <w:szCs w:val="17"/>
          <w:color w:val="auto"/>
        </w:rPr>
        <w:t xml:space="preserve">, </w:t>
      </w:r>
      <w:r>
        <w:rPr>
          <w:rFonts w:ascii="Arial" w:cs="Arial" w:eastAsia="Arial" w:hAnsi="Arial"/>
          <w:sz w:val="17"/>
          <w:szCs w:val="17"/>
          <w:u w:val="single" w:color="auto"/>
          <w:color w:val="auto"/>
        </w:rPr>
        <w:t>7.5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7.8</w:t>
      </w:r>
      <w:r>
        <w:rPr>
          <w:rFonts w:ascii="Arial" w:cs="Arial" w:eastAsia="Arial" w:hAnsi="Arial"/>
          <w:sz w:val="17"/>
          <w:szCs w:val="17"/>
          <w:color w:val="auto"/>
        </w:rPr>
        <w:t xml:space="preserve"> of this Credit Agreement between or among the Loan Parties and not involving any other Affiliate) and (b) the Transactions.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3" w:name="page154"/>
    <w:bookmarkEnd w:id="153"/>
    <w:p>
      <w:pPr>
        <w:jc w:val="both"/>
        <w:ind w:firstLine="450"/>
        <w:spacing w:after="0" w:line="268" w:lineRule="auto"/>
        <w:rPr>
          <w:sz w:val="20"/>
          <w:szCs w:val="20"/>
          <w:color w:val="auto"/>
        </w:rPr>
      </w:pPr>
      <w:r>
        <w:rPr>
          <w:rFonts w:ascii="Arial" w:cs="Arial" w:eastAsia="Arial" w:hAnsi="Arial"/>
          <w:sz w:val="17"/>
          <w:szCs w:val="17"/>
          <w:color w:val="auto"/>
        </w:rPr>
        <w:t xml:space="preserve">Section 7.10 </w:t>
      </w:r>
      <w:r>
        <w:rPr>
          <w:rFonts w:ascii="Arial" w:cs="Arial" w:eastAsia="Arial" w:hAnsi="Arial"/>
          <w:sz w:val="17"/>
          <w:szCs w:val="17"/>
          <w:u w:val="single" w:color="auto"/>
          <w:color w:val="auto"/>
        </w:rPr>
        <w:t>Restrictive Agreements</w:t>
      </w:r>
      <w:r>
        <w:rPr>
          <w:rFonts w:ascii="Arial" w:cs="Arial" w:eastAsia="Arial" w:hAnsi="Arial"/>
          <w:sz w:val="17"/>
          <w:szCs w:val="17"/>
          <w:color w:val="auto"/>
        </w:rPr>
        <w:t xml:space="preserve">. The Borrower will not, and will not permit any of its Subsidiaries to, directly or indirectly, enter into, incur or permit to exist any agreement or other arrangement that prohibits, restricts or imposes any condition upon (a) the ability of any Loan Party or any of its Subsidiaries to create, incur or permit to exist any Lien upon any of its property or assets (unless such agreement or arrangement does not prohibit, restrict or impose any condition upon the ability of any Loan Party to create, incur or permit to exist, or the ability of the Administrative Agent to exercise any right or remedy with respect to, any Lien in favor of the Secured Parties created under the Loan Documents) or (b) the ability of any Subsidiary to pay dividends or make other distributions with respect to any of its Equity Interests or to make or repay loans or advances to the Borrower or any other Subsidiary or to Guarantee Indebtedness of the Borrower or any other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foregoing shall not apply to (A) restrictions and conditions imposed by law or by the Loan Documents, (B) restrictions and conditions existing on the Agreement Date identified on </w:t>
      </w:r>
      <w:r>
        <w:rPr>
          <w:rFonts w:ascii="Arial" w:cs="Arial" w:eastAsia="Arial" w:hAnsi="Arial"/>
          <w:sz w:val="17"/>
          <w:szCs w:val="17"/>
          <w:u w:val="single" w:color="auto"/>
          <w:color w:val="auto"/>
        </w:rPr>
        <w:t>Schedule 7.10</w:t>
      </w:r>
      <w:r>
        <w:rPr>
          <w:rFonts w:ascii="Arial" w:cs="Arial" w:eastAsia="Arial" w:hAnsi="Arial"/>
          <w:sz w:val="17"/>
          <w:szCs w:val="17"/>
          <w:color w:val="auto"/>
        </w:rPr>
        <w:t xml:space="preserve"> (but shall apply to any extension or renewal of, or any amendment or modification expanding the scope of, any such restriction or condition), and (C) customary restrictions and conditions contained in agreements relating to the sale of a subsidiary pending such sale;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restrictions and conditions apply only to its Subsidiary that is to be sold and such sale is permitted hereunder, (ii) clause (a) of this Section shall not apply to restrictions or conditions imposed by any agreement relating to secured Indebtedness permitted by this Credit Agreement if such restrictions or conditions apply only to the property or assets securing such Indebtedness, and (iii) clause (a) of this Section shall not apply to customary provisions in agreements restricting the assignment thereof.</w:t>
      </w:r>
    </w:p>
    <w:p>
      <w:pPr>
        <w:spacing w:after="0" w:line="184"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Amendment of Material Documents</w:t>
      </w:r>
      <w:r>
        <w:rPr>
          <w:rFonts w:ascii="Arial" w:cs="Arial" w:eastAsia="Arial" w:hAnsi="Arial"/>
          <w:sz w:val="18"/>
          <w:szCs w:val="18"/>
          <w:color w:val="auto"/>
        </w:rPr>
        <w:t xml:space="preserve">. The Borrower will not, and will not permit any of its Subsidiaries to, amend, supplement modify or waive any of its rights under any Subordinated Debt Document or any of its Organizational Documents, other than immaterial amendments, modifications or waivers that would not reasonably be expected to adversely affect the Credit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deliver or cause to be delivered to the Administrative Agent and each Lender a copy of all amendments, modifications or waivers thereto promptly after the execution and delivery thereof.</w:t>
      </w:r>
    </w:p>
    <w:p>
      <w:pPr>
        <w:spacing w:after="0" w:line="188"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25" w:lineRule="exact"/>
        <w:rPr>
          <w:sz w:val="20"/>
          <w:szCs w:val="20"/>
          <w:color w:val="auto"/>
        </w:rPr>
      </w:pPr>
    </w:p>
    <w:p>
      <w:pPr>
        <w:ind w:firstLine="1106"/>
        <w:spacing w:after="0" w:line="277" w:lineRule="auto"/>
        <w:tabs>
          <w:tab w:leader="none" w:pos="1738"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Consolidated Net Leverage Ratio</w:t>
      </w:r>
      <w:r>
        <w:rPr>
          <w:rFonts w:ascii="Arial" w:cs="Arial" w:eastAsia="Arial" w:hAnsi="Arial"/>
          <w:sz w:val="18"/>
          <w:szCs w:val="18"/>
          <w:color w:val="auto"/>
        </w:rPr>
        <w:t>. The Borrower will not permit the Consolidated Net Leverage Ratio as of the end of any fiscal quarter during any period set forth in the following table to be greater than the ratio set forth therein with respect to such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4" w:name="page155"/>
    <w:bookmarkEnd w:id="154"/>
    <w:tbl>
      <w:tblPr>
        <w:tblLayout w:type="fixed"/>
        <w:tblInd w:w="1710" w:type="dxa"/>
        <w:tblCellMar>
          <w:top w:w="0" w:type="dxa"/>
          <w:left w:w="0" w:type="dxa"/>
          <w:bottom w:w="0" w:type="dxa"/>
          <w:right w:w="0" w:type="dxa"/>
        </w:tblCellMar>
      </w:tblPr>
      <w:tr>
        <w:trPr>
          <w:trHeight w:val="257"/>
        </w:trPr>
        <w:tc>
          <w:tcPr>
            <w:tcW w:w="980" w:type="dxa"/>
            <w:vAlign w:val="bottom"/>
            <w:tcBorders>
              <w:top w:val="single" w:sz="8" w:color="auto"/>
              <w:left w:val="single" w:sz="8" w:color="auto"/>
              <w:bottom w:val="single" w:sz="8" w:color="auto"/>
            </w:tcBorders>
            <w:shd w:val="clear" w:color="auto" w:fill="BBBBBB"/>
          </w:tcPr>
          <w:p>
            <w:pPr>
              <w:spacing w:after="0"/>
              <w:rPr>
                <w:sz w:val="22"/>
                <w:szCs w:val="22"/>
                <w:color w:val="auto"/>
              </w:rPr>
            </w:pPr>
          </w:p>
        </w:tc>
        <w:tc>
          <w:tcPr>
            <w:tcW w:w="2960" w:type="dxa"/>
            <w:vAlign w:val="bottom"/>
            <w:tcBorders>
              <w:top w:val="single" w:sz="8" w:color="auto"/>
              <w:bottom w:val="single" w:sz="8" w:color="auto"/>
              <w:right w:val="single" w:sz="8" w:color="auto"/>
            </w:tcBorders>
            <w:gridSpan w:val="8"/>
            <w:shd w:val="clear" w:color="auto" w:fill="BBBBBB"/>
          </w:tcPr>
          <w:p>
            <w:pPr>
              <w:jc w:val="center"/>
              <w:ind w:right="980"/>
              <w:spacing w:after="0"/>
              <w:rPr>
                <w:sz w:val="20"/>
                <w:szCs w:val="20"/>
                <w:color w:val="auto"/>
              </w:rPr>
            </w:pPr>
            <w:r>
              <w:rPr>
                <w:rFonts w:ascii="Arial" w:cs="Arial" w:eastAsia="Arial" w:hAnsi="Arial"/>
                <w:sz w:val="18"/>
                <w:szCs w:val="18"/>
                <w:b w:val="1"/>
                <w:bCs w:val="1"/>
                <w:color w:val="auto"/>
                <w:w w:val="91"/>
              </w:rPr>
              <w:t>Fiscal Quarter Ended</w:t>
            </w:r>
          </w:p>
        </w:tc>
        <w:tc>
          <w:tcPr>
            <w:tcW w:w="3920" w:type="dxa"/>
            <w:vAlign w:val="bottom"/>
            <w:tcBorders>
              <w:top w:val="single" w:sz="8" w:color="auto"/>
              <w:bottom w:val="single" w:sz="8" w:color="auto"/>
              <w:right w:val="single" w:sz="8" w:color="auto"/>
            </w:tcBorders>
            <w:gridSpan w:val="5"/>
            <w:shd w:val="clear" w:color="auto" w:fill="BBBBBB"/>
          </w:tcPr>
          <w:p>
            <w:pPr>
              <w:jc w:val="center"/>
              <w:ind w:right="60"/>
              <w:spacing w:after="0"/>
              <w:rPr>
                <w:sz w:val="20"/>
                <w:szCs w:val="20"/>
                <w:color w:val="auto"/>
              </w:rPr>
            </w:pPr>
            <w:r>
              <w:rPr>
                <w:rFonts w:ascii="Arial" w:cs="Arial" w:eastAsia="Arial" w:hAnsi="Arial"/>
                <w:sz w:val="18"/>
                <w:szCs w:val="18"/>
                <w:b w:val="1"/>
                <w:bCs w:val="1"/>
                <w:color w:val="auto"/>
                <w:w w:val="90"/>
              </w:rPr>
              <w:t>Consolidated Net Leverage Ratio</w:t>
            </w:r>
          </w:p>
        </w:tc>
      </w:tr>
      <w:tr>
        <w:trPr>
          <w:trHeight w:val="209"/>
        </w:trPr>
        <w:tc>
          <w:tcPr>
            <w:tcW w:w="98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right w:val="single" w:sz="8" w:color="auto"/>
            </w:tcBorders>
            <w:gridSpan w:val="7"/>
          </w:tcPr>
          <w:p>
            <w:pPr>
              <w:jc w:val="center"/>
              <w:ind w:right="1240"/>
              <w:spacing w:after="0"/>
              <w:rPr>
                <w:sz w:val="20"/>
                <w:szCs w:val="20"/>
                <w:color w:val="auto"/>
              </w:rPr>
            </w:pPr>
            <w:r>
              <w:rPr>
                <w:rFonts w:ascii="Arial" w:cs="Arial" w:eastAsia="Arial" w:hAnsi="Arial"/>
                <w:sz w:val="18"/>
                <w:szCs w:val="18"/>
                <w:color w:val="auto"/>
                <w:w w:val="89"/>
              </w:rPr>
              <w:t>December 31, 2020</w:t>
            </w:r>
          </w:p>
        </w:tc>
        <w:tc>
          <w:tcPr>
            <w:tcW w:w="150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gridSpan w:val="4"/>
          </w:tcPr>
          <w:p>
            <w:pPr>
              <w:jc w:val="center"/>
              <w:ind w:right="1560"/>
              <w:spacing w:after="0"/>
              <w:rPr>
                <w:sz w:val="20"/>
                <w:szCs w:val="20"/>
                <w:color w:val="auto"/>
              </w:rPr>
            </w:pPr>
            <w:r>
              <w:rPr>
                <w:rFonts w:ascii="Arial" w:cs="Arial" w:eastAsia="Arial" w:hAnsi="Arial"/>
                <w:sz w:val="18"/>
                <w:szCs w:val="18"/>
                <w:color w:val="auto"/>
                <w:w w:val="90"/>
              </w:rPr>
              <w:t>4.00 to 1.00</w:t>
            </w:r>
          </w:p>
        </w:tc>
      </w:tr>
      <w:tr>
        <w:trPr>
          <w:trHeight w:val="209"/>
        </w:trPr>
        <w:tc>
          <w:tcPr>
            <w:tcW w:w="98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right w:val="single" w:sz="8" w:color="auto"/>
            </w:tcBorders>
            <w:gridSpan w:val="7"/>
          </w:tcPr>
          <w:p>
            <w:pPr>
              <w:jc w:val="center"/>
              <w:ind w:right="1240"/>
              <w:spacing w:after="0"/>
              <w:rPr>
                <w:sz w:val="20"/>
                <w:szCs w:val="20"/>
                <w:color w:val="auto"/>
              </w:rPr>
            </w:pPr>
            <w:r>
              <w:rPr>
                <w:rFonts w:ascii="Arial" w:cs="Arial" w:eastAsia="Arial" w:hAnsi="Arial"/>
                <w:sz w:val="18"/>
                <w:szCs w:val="18"/>
                <w:color w:val="auto"/>
                <w:w w:val="91"/>
              </w:rPr>
              <w:t>March 31, 2021</w:t>
            </w:r>
          </w:p>
        </w:tc>
        <w:tc>
          <w:tcPr>
            <w:tcW w:w="150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gridSpan w:val="4"/>
          </w:tcPr>
          <w:p>
            <w:pPr>
              <w:jc w:val="center"/>
              <w:ind w:right="1560"/>
              <w:spacing w:after="0"/>
              <w:rPr>
                <w:sz w:val="20"/>
                <w:szCs w:val="20"/>
                <w:color w:val="auto"/>
              </w:rPr>
            </w:pPr>
            <w:r>
              <w:rPr>
                <w:rFonts w:ascii="Arial" w:cs="Arial" w:eastAsia="Arial" w:hAnsi="Arial"/>
                <w:sz w:val="18"/>
                <w:szCs w:val="18"/>
                <w:color w:val="auto"/>
                <w:w w:val="90"/>
              </w:rPr>
              <w:t>3.75 to 1.00</w:t>
            </w:r>
          </w:p>
        </w:tc>
      </w:tr>
      <w:tr>
        <w:trPr>
          <w:trHeight w:val="210"/>
        </w:trPr>
        <w:tc>
          <w:tcPr>
            <w:tcW w:w="98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40" w:type="dxa"/>
            <w:vAlign w:val="bottom"/>
            <w:tcBorders>
              <w:bottom w:val="single" w:sz="8" w:color="auto"/>
              <w:right w:val="single" w:sz="8" w:color="auto"/>
            </w:tcBorders>
            <w:gridSpan w:val="6"/>
          </w:tcPr>
          <w:p>
            <w:pPr>
              <w:jc w:val="center"/>
              <w:ind w:right="1400"/>
              <w:spacing w:after="0"/>
              <w:rPr>
                <w:sz w:val="20"/>
                <w:szCs w:val="20"/>
                <w:color w:val="auto"/>
              </w:rPr>
            </w:pPr>
            <w:r>
              <w:rPr>
                <w:rFonts w:ascii="Arial" w:cs="Arial" w:eastAsia="Arial" w:hAnsi="Arial"/>
                <w:sz w:val="18"/>
                <w:szCs w:val="18"/>
                <w:color w:val="auto"/>
                <w:w w:val="89"/>
              </w:rPr>
              <w:t>June 30, 2021</w:t>
            </w:r>
          </w:p>
        </w:tc>
        <w:tc>
          <w:tcPr>
            <w:tcW w:w="150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gridSpan w:val="4"/>
          </w:tcPr>
          <w:p>
            <w:pPr>
              <w:jc w:val="center"/>
              <w:ind w:right="1560"/>
              <w:spacing w:after="0"/>
              <w:rPr>
                <w:sz w:val="20"/>
                <w:szCs w:val="20"/>
                <w:color w:val="auto"/>
              </w:rPr>
            </w:pPr>
            <w:r>
              <w:rPr>
                <w:rFonts w:ascii="Arial" w:cs="Arial" w:eastAsia="Arial" w:hAnsi="Arial"/>
                <w:sz w:val="18"/>
                <w:szCs w:val="18"/>
                <w:color w:val="auto"/>
                <w:w w:val="90"/>
              </w:rPr>
              <w:t>3.50 to 1.00</w:t>
            </w:r>
          </w:p>
        </w:tc>
      </w:tr>
      <w:tr>
        <w:trPr>
          <w:trHeight w:val="209"/>
        </w:trPr>
        <w:tc>
          <w:tcPr>
            <w:tcW w:w="980" w:type="dxa"/>
            <w:vAlign w:val="bottom"/>
            <w:tcBorders>
              <w:left w:val="single" w:sz="8" w:color="auto"/>
              <w:bottom w:val="single" w:sz="8" w:color="auto"/>
            </w:tcBorders>
          </w:tcPr>
          <w:p>
            <w:pPr>
              <w:spacing w:after="0"/>
              <w:rPr>
                <w:sz w:val="18"/>
                <w:szCs w:val="18"/>
                <w:color w:val="auto"/>
              </w:rPr>
            </w:pPr>
          </w:p>
        </w:tc>
        <w:tc>
          <w:tcPr>
            <w:tcW w:w="2960" w:type="dxa"/>
            <w:vAlign w:val="bottom"/>
            <w:tcBorders>
              <w:bottom w:val="single" w:sz="8" w:color="auto"/>
              <w:right w:val="single" w:sz="8" w:color="auto"/>
            </w:tcBorders>
            <w:gridSpan w:val="8"/>
          </w:tcPr>
          <w:p>
            <w:pPr>
              <w:jc w:val="center"/>
              <w:ind w:right="980"/>
              <w:spacing w:after="0"/>
              <w:rPr>
                <w:sz w:val="20"/>
                <w:szCs w:val="20"/>
                <w:color w:val="auto"/>
              </w:rPr>
            </w:pPr>
            <w:r>
              <w:rPr>
                <w:rFonts w:ascii="Arial" w:cs="Arial" w:eastAsia="Arial" w:hAnsi="Arial"/>
                <w:sz w:val="18"/>
                <w:szCs w:val="18"/>
                <w:color w:val="auto"/>
                <w:w w:val="89"/>
              </w:rPr>
              <w:t>September 30, 2021</w:t>
            </w:r>
          </w:p>
        </w:tc>
        <w:tc>
          <w:tcPr>
            <w:tcW w:w="150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gridSpan w:val="4"/>
          </w:tcPr>
          <w:p>
            <w:pPr>
              <w:jc w:val="center"/>
              <w:ind w:right="1560"/>
              <w:spacing w:after="0"/>
              <w:rPr>
                <w:sz w:val="20"/>
                <w:szCs w:val="20"/>
                <w:color w:val="auto"/>
              </w:rPr>
            </w:pPr>
            <w:r>
              <w:rPr>
                <w:rFonts w:ascii="Arial" w:cs="Arial" w:eastAsia="Arial" w:hAnsi="Arial"/>
                <w:sz w:val="18"/>
                <w:szCs w:val="18"/>
                <w:color w:val="auto"/>
                <w:w w:val="90"/>
              </w:rPr>
              <w:t>3.25 to 1.00</w:t>
            </w:r>
          </w:p>
        </w:tc>
      </w:tr>
      <w:tr>
        <w:trPr>
          <w:trHeight w:val="209"/>
        </w:trPr>
        <w:tc>
          <w:tcPr>
            <w:tcW w:w="98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right w:val="single" w:sz="8" w:color="auto"/>
            </w:tcBorders>
            <w:gridSpan w:val="7"/>
          </w:tcPr>
          <w:p>
            <w:pPr>
              <w:jc w:val="center"/>
              <w:ind w:right="1240"/>
              <w:spacing w:after="0"/>
              <w:rPr>
                <w:sz w:val="20"/>
                <w:szCs w:val="20"/>
                <w:color w:val="auto"/>
              </w:rPr>
            </w:pPr>
            <w:r>
              <w:rPr>
                <w:rFonts w:ascii="Arial" w:cs="Arial" w:eastAsia="Arial" w:hAnsi="Arial"/>
                <w:sz w:val="18"/>
                <w:szCs w:val="18"/>
                <w:color w:val="auto"/>
                <w:w w:val="89"/>
              </w:rPr>
              <w:t>December 31, 2021</w:t>
            </w:r>
          </w:p>
        </w:tc>
        <w:tc>
          <w:tcPr>
            <w:tcW w:w="150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gridSpan w:val="4"/>
          </w:tcPr>
          <w:p>
            <w:pPr>
              <w:jc w:val="center"/>
              <w:ind w:right="1560"/>
              <w:spacing w:after="0"/>
              <w:rPr>
                <w:sz w:val="20"/>
                <w:szCs w:val="20"/>
                <w:color w:val="auto"/>
              </w:rPr>
            </w:pPr>
            <w:r>
              <w:rPr>
                <w:rFonts w:ascii="Arial" w:cs="Arial" w:eastAsia="Arial" w:hAnsi="Arial"/>
                <w:sz w:val="18"/>
                <w:szCs w:val="18"/>
                <w:color w:val="auto"/>
                <w:w w:val="90"/>
              </w:rPr>
              <w:t>3.00 to 1.00</w:t>
            </w:r>
          </w:p>
        </w:tc>
      </w:tr>
      <w:tr>
        <w:trPr>
          <w:trHeight w:val="210"/>
        </w:trPr>
        <w:tc>
          <w:tcPr>
            <w:tcW w:w="98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right w:val="single" w:sz="8" w:color="auto"/>
            </w:tcBorders>
            <w:gridSpan w:val="7"/>
          </w:tcPr>
          <w:p>
            <w:pPr>
              <w:jc w:val="center"/>
              <w:ind w:right="1240"/>
              <w:spacing w:after="0"/>
              <w:rPr>
                <w:sz w:val="20"/>
                <w:szCs w:val="20"/>
                <w:color w:val="auto"/>
              </w:rPr>
            </w:pPr>
            <w:r>
              <w:rPr>
                <w:rFonts w:ascii="Arial" w:cs="Arial" w:eastAsia="Arial" w:hAnsi="Arial"/>
                <w:sz w:val="18"/>
                <w:szCs w:val="18"/>
                <w:color w:val="auto"/>
                <w:w w:val="91"/>
              </w:rPr>
              <w:t>March 31, 2022</w:t>
            </w:r>
          </w:p>
        </w:tc>
        <w:tc>
          <w:tcPr>
            <w:tcW w:w="150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gridSpan w:val="4"/>
          </w:tcPr>
          <w:p>
            <w:pPr>
              <w:jc w:val="center"/>
              <w:ind w:right="1560"/>
              <w:spacing w:after="0"/>
              <w:rPr>
                <w:sz w:val="20"/>
                <w:szCs w:val="20"/>
                <w:color w:val="auto"/>
              </w:rPr>
            </w:pPr>
            <w:r>
              <w:rPr>
                <w:rFonts w:ascii="Arial" w:cs="Arial" w:eastAsia="Arial" w:hAnsi="Arial"/>
                <w:sz w:val="18"/>
                <w:szCs w:val="18"/>
                <w:color w:val="auto"/>
                <w:w w:val="90"/>
              </w:rPr>
              <w:t>3.75 to 1.00</w:t>
            </w:r>
          </w:p>
        </w:tc>
      </w:tr>
      <w:tr>
        <w:trPr>
          <w:trHeight w:val="209"/>
        </w:trPr>
        <w:tc>
          <w:tcPr>
            <w:tcW w:w="98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40" w:type="dxa"/>
            <w:vAlign w:val="bottom"/>
            <w:tcBorders>
              <w:bottom w:val="single" w:sz="8" w:color="auto"/>
              <w:right w:val="single" w:sz="8" w:color="auto"/>
            </w:tcBorders>
            <w:gridSpan w:val="6"/>
          </w:tcPr>
          <w:p>
            <w:pPr>
              <w:jc w:val="center"/>
              <w:ind w:right="1400"/>
              <w:spacing w:after="0"/>
              <w:rPr>
                <w:sz w:val="20"/>
                <w:szCs w:val="20"/>
                <w:color w:val="auto"/>
              </w:rPr>
            </w:pPr>
            <w:r>
              <w:rPr>
                <w:rFonts w:ascii="Arial" w:cs="Arial" w:eastAsia="Arial" w:hAnsi="Arial"/>
                <w:sz w:val="18"/>
                <w:szCs w:val="18"/>
                <w:color w:val="auto"/>
                <w:w w:val="89"/>
              </w:rPr>
              <w:t>June 30, 2022</w:t>
            </w:r>
          </w:p>
        </w:tc>
        <w:tc>
          <w:tcPr>
            <w:tcW w:w="150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gridSpan w:val="4"/>
          </w:tcPr>
          <w:p>
            <w:pPr>
              <w:jc w:val="center"/>
              <w:ind w:right="1560"/>
              <w:spacing w:after="0"/>
              <w:rPr>
                <w:sz w:val="20"/>
                <w:szCs w:val="20"/>
                <w:color w:val="auto"/>
              </w:rPr>
            </w:pPr>
            <w:r>
              <w:rPr>
                <w:rFonts w:ascii="Arial" w:cs="Arial" w:eastAsia="Arial" w:hAnsi="Arial"/>
                <w:sz w:val="18"/>
                <w:szCs w:val="18"/>
                <w:color w:val="auto"/>
                <w:w w:val="90"/>
              </w:rPr>
              <w:t>3.75 to 1.00</w:t>
            </w:r>
          </w:p>
        </w:tc>
      </w:tr>
      <w:tr>
        <w:trPr>
          <w:trHeight w:val="169"/>
        </w:trPr>
        <w:tc>
          <w:tcPr>
            <w:tcW w:w="980" w:type="dxa"/>
            <w:vAlign w:val="bottom"/>
            <w:tcBorders>
              <w:left w:val="single" w:sz="8" w:color="auto"/>
            </w:tcBorders>
          </w:tcPr>
          <w:p>
            <w:pPr>
              <w:spacing w:after="0"/>
              <w:rPr>
                <w:sz w:val="14"/>
                <w:szCs w:val="14"/>
                <w:color w:val="auto"/>
              </w:rPr>
            </w:pPr>
          </w:p>
        </w:tc>
        <w:tc>
          <w:tcPr>
            <w:tcW w:w="2960" w:type="dxa"/>
            <w:vAlign w:val="bottom"/>
            <w:tcBorders>
              <w:right w:val="single" w:sz="8" w:color="auto"/>
            </w:tcBorders>
            <w:gridSpan w:val="8"/>
          </w:tcPr>
          <w:p>
            <w:pPr>
              <w:jc w:val="center"/>
              <w:ind w:right="980"/>
              <w:spacing w:after="0" w:line="169" w:lineRule="exact"/>
              <w:rPr>
                <w:sz w:val="20"/>
                <w:szCs w:val="20"/>
                <w:color w:val="auto"/>
              </w:rPr>
            </w:pPr>
            <w:r>
              <w:rPr>
                <w:rFonts w:ascii="Arial" w:cs="Arial" w:eastAsia="Arial" w:hAnsi="Arial"/>
                <w:sz w:val="18"/>
                <w:szCs w:val="18"/>
                <w:color w:val="auto"/>
                <w:w w:val="89"/>
              </w:rPr>
              <w:t>September 30, 2022</w:t>
            </w:r>
          </w:p>
        </w:tc>
        <w:tc>
          <w:tcPr>
            <w:tcW w:w="1660" w:type="dxa"/>
            <w:vAlign w:val="bottom"/>
            <w:gridSpan w:val="2"/>
          </w:tcPr>
          <w:p>
            <w:pPr>
              <w:jc w:val="right"/>
              <w:spacing w:after="0" w:line="169" w:lineRule="exact"/>
              <w:rPr>
                <w:sz w:val="20"/>
                <w:szCs w:val="20"/>
                <w:color w:val="auto"/>
              </w:rPr>
            </w:pPr>
            <w:r>
              <w:rPr>
                <w:rFonts w:ascii="Arial" w:cs="Arial" w:eastAsia="Arial" w:hAnsi="Arial"/>
                <w:sz w:val="18"/>
                <w:szCs w:val="18"/>
                <w:color w:val="FF0000"/>
                <w:strike w:val="1"/>
              </w:rPr>
              <w:t>3.50</w:t>
            </w:r>
          </w:p>
        </w:tc>
        <w:tc>
          <w:tcPr>
            <w:tcW w:w="2260" w:type="dxa"/>
            <w:vAlign w:val="bottom"/>
            <w:tcBorders>
              <w:right w:val="single" w:sz="8" w:color="auto"/>
            </w:tcBorders>
            <w:gridSpan w:val="3"/>
          </w:tcPr>
          <w:p>
            <w:pPr>
              <w:spacing w:after="0" w:line="169" w:lineRule="exact"/>
              <w:rPr>
                <w:sz w:val="20"/>
                <w:szCs w:val="20"/>
                <w:color w:val="auto"/>
              </w:rPr>
            </w:pPr>
            <w:r>
              <w:rPr>
                <w:rFonts w:ascii="Arial" w:cs="Arial" w:eastAsia="Arial" w:hAnsi="Arial"/>
                <w:sz w:val="18"/>
                <w:szCs w:val="18"/>
                <w:color w:val="0000FF"/>
              </w:rPr>
              <w:t xml:space="preserve">3.75 </w:t>
            </w:r>
            <w:r>
              <w:rPr>
                <w:rFonts w:ascii="Arial" w:cs="Arial" w:eastAsia="Arial" w:hAnsi="Arial"/>
                <w:sz w:val="18"/>
                <w:szCs w:val="18"/>
                <w:color w:val="000000"/>
              </w:rPr>
              <w:t>to 1.00</w:t>
            </w:r>
          </w:p>
        </w:tc>
      </w:tr>
      <w:tr>
        <w:trPr>
          <w:trHeight w:val="20"/>
        </w:trPr>
        <w:tc>
          <w:tcPr>
            <w:tcW w:w="98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8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tcBorders>
              <w:right w:val="single" w:sz="8" w:color="auto"/>
            </w:tcBorders>
            <w:gridSpan w:val="7"/>
          </w:tcPr>
          <w:p>
            <w:pPr>
              <w:jc w:val="center"/>
              <w:ind w:right="1240"/>
              <w:spacing w:after="0" w:line="170" w:lineRule="exact"/>
              <w:rPr>
                <w:sz w:val="20"/>
                <w:szCs w:val="20"/>
                <w:color w:val="auto"/>
              </w:rPr>
            </w:pPr>
            <w:r>
              <w:rPr>
                <w:rFonts w:ascii="Arial" w:cs="Arial" w:eastAsia="Arial" w:hAnsi="Arial"/>
                <w:sz w:val="18"/>
                <w:szCs w:val="18"/>
                <w:color w:val="auto"/>
                <w:w w:val="89"/>
              </w:rPr>
              <w:t>December 31, 2022</w:t>
            </w:r>
          </w:p>
        </w:tc>
        <w:tc>
          <w:tcPr>
            <w:tcW w:w="1660" w:type="dxa"/>
            <w:vAlign w:val="bottom"/>
            <w:gridSpan w:val="2"/>
          </w:tcPr>
          <w:p>
            <w:pPr>
              <w:jc w:val="right"/>
              <w:spacing w:after="0" w:line="170" w:lineRule="exact"/>
              <w:rPr>
                <w:sz w:val="20"/>
                <w:szCs w:val="20"/>
                <w:color w:val="auto"/>
              </w:rPr>
            </w:pPr>
            <w:r>
              <w:rPr>
                <w:rFonts w:ascii="Arial" w:cs="Arial" w:eastAsia="Arial" w:hAnsi="Arial"/>
                <w:sz w:val="18"/>
                <w:szCs w:val="18"/>
                <w:color w:val="FF0000"/>
                <w:strike w:val="1"/>
              </w:rPr>
              <w:t>3.25</w:t>
            </w:r>
          </w:p>
        </w:tc>
        <w:tc>
          <w:tcPr>
            <w:tcW w:w="2260" w:type="dxa"/>
            <w:vAlign w:val="bottom"/>
            <w:tcBorders>
              <w:right w:val="single" w:sz="8" w:color="auto"/>
            </w:tcBorders>
            <w:gridSpan w:val="3"/>
          </w:tcPr>
          <w:p>
            <w:pPr>
              <w:spacing w:after="0" w:line="170" w:lineRule="exact"/>
              <w:rPr>
                <w:sz w:val="20"/>
                <w:szCs w:val="20"/>
                <w:color w:val="auto"/>
              </w:rPr>
            </w:pPr>
            <w:r>
              <w:rPr>
                <w:rFonts w:ascii="Arial" w:cs="Arial" w:eastAsia="Arial" w:hAnsi="Arial"/>
                <w:sz w:val="18"/>
                <w:szCs w:val="18"/>
                <w:color w:val="0000FF"/>
              </w:rPr>
              <w:t xml:space="preserve">4.25 </w:t>
            </w:r>
            <w:r>
              <w:rPr>
                <w:rFonts w:ascii="Arial" w:cs="Arial" w:eastAsia="Arial" w:hAnsi="Arial"/>
                <w:sz w:val="18"/>
                <w:szCs w:val="18"/>
                <w:color w:val="000000"/>
              </w:rPr>
              <w:t>to 1.00</w:t>
            </w:r>
          </w:p>
        </w:tc>
      </w:tr>
      <w:tr>
        <w:trPr>
          <w:trHeight w:val="20"/>
        </w:trPr>
        <w:tc>
          <w:tcPr>
            <w:tcW w:w="98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170"/>
        </w:trPr>
        <w:tc>
          <w:tcPr>
            <w:tcW w:w="98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tcBorders>
              <w:right w:val="single" w:sz="8" w:color="auto"/>
            </w:tcBorders>
            <w:gridSpan w:val="7"/>
          </w:tcPr>
          <w:p>
            <w:pPr>
              <w:jc w:val="center"/>
              <w:ind w:right="1240"/>
              <w:spacing w:after="0" w:line="170" w:lineRule="exact"/>
              <w:rPr>
                <w:sz w:val="20"/>
                <w:szCs w:val="20"/>
                <w:color w:val="auto"/>
              </w:rPr>
            </w:pPr>
            <w:r>
              <w:rPr>
                <w:rFonts w:ascii="Arial" w:cs="Arial" w:eastAsia="Arial" w:hAnsi="Arial"/>
                <w:sz w:val="18"/>
                <w:szCs w:val="18"/>
                <w:color w:val="0000FF"/>
                <w:w w:val="91"/>
              </w:rPr>
              <w:t>March 31, 2023</w:t>
            </w:r>
          </w:p>
        </w:tc>
        <w:tc>
          <w:tcPr>
            <w:tcW w:w="1500" w:type="dxa"/>
            <w:vAlign w:val="bottom"/>
          </w:tcPr>
          <w:p>
            <w:pPr>
              <w:spacing w:after="0"/>
              <w:rPr>
                <w:sz w:val="14"/>
                <w:szCs w:val="14"/>
                <w:color w:val="auto"/>
              </w:rPr>
            </w:pPr>
          </w:p>
        </w:tc>
        <w:tc>
          <w:tcPr>
            <w:tcW w:w="2420" w:type="dxa"/>
            <w:vAlign w:val="bottom"/>
            <w:tcBorders>
              <w:right w:val="single" w:sz="8" w:color="auto"/>
            </w:tcBorders>
            <w:gridSpan w:val="4"/>
          </w:tcPr>
          <w:p>
            <w:pPr>
              <w:jc w:val="center"/>
              <w:ind w:right="1560"/>
              <w:spacing w:after="0" w:line="170" w:lineRule="exact"/>
              <w:rPr>
                <w:sz w:val="20"/>
                <w:szCs w:val="20"/>
                <w:color w:val="auto"/>
              </w:rPr>
            </w:pPr>
            <w:r>
              <w:rPr>
                <w:rFonts w:ascii="Arial" w:cs="Arial" w:eastAsia="Arial" w:hAnsi="Arial"/>
                <w:sz w:val="18"/>
                <w:szCs w:val="18"/>
                <w:color w:val="0000FF"/>
                <w:w w:val="90"/>
              </w:rPr>
              <w:t>4.00 to 1.00</w:t>
            </w:r>
          </w:p>
        </w:tc>
      </w:tr>
      <w:tr>
        <w:trPr>
          <w:trHeight w:val="20"/>
        </w:trPr>
        <w:tc>
          <w:tcPr>
            <w:tcW w:w="98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8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Borders>
              <w:right w:val="single" w:sz="8" w:color="auto"/>
            </w:tcBorders>
            <w:gridSpan w:val="6"/>
          </w:tcPr>
          <w:p>
            <w:pPr>
              <w:jc w:val="center"/>
              <w:ind w:right="1400"/>
              <w:spacing w:after="0" w:line="170" w:lineRule="exact"/>
              <w:rPr>
                <w:sz w:val="20"/>
                <w:szCs w:val="20"/>
                <w:color w:val="auto"/>
              </w:rPr>
            </w:pPr>
            <w:r>
              <w:rPr>
                <w:rFonts w:ascii="Arial" w:cs="Arial" w:eastAsia="Arial" w:hAnsi="Arial"/>
                <w:sz w:val="18"/>
                <w:szCs w:val="18"/>
                <w:color w:val="0000FF"/>
                <w:w w:val="89"/>
              </w:rPr>
              <w:t>June 30, 2023</w:t>
            </w:r>
          </w:p>
        </w:tc>
        <w:tc>
          <w:tcPr>
            <w:tcW w:w="1500" w:type="dxa"/>
            <w:vAlign w:val="bottom"/>
          </w:tcPr>
          <w:p>
            <w:pPr>
              <w:spacing w:after="0"/>
              <w:rPr>
                <w:sz w:val="14"/>
                <w:szCs w:val="14"/>
                <w:color w:val="auto"/>
              </w:rPr>
            </w:pPr>
          </w:p>
        </w:tc>
        <w:tc>
          <w:tcPr>
            <w:tcW w:w="2420" w:type="dxa"/>
            <w:vAlign w:val="bottom"/>
            <w:tcBorders>
              <w:right w:val="single" w:sz="8" w:color="auto"/>
            </w:tcBorders>
            <w:gridSpan w:val="4"/>
          </w:tcPr>
          <w:p>
            <w:pPr>
              <w:jc w:val="center"/>
              <w:ind w:right="1560"/>
              <w:spacing w:after="0" w:line="170" w:lineRule="exact"/>
              <w:rPr>
                <w:sz w:val="20"/>
                <w:szCs w:val="20"/>
                <w:color w:val="auto"/>
              </w:rPr>
            </w:pPr>
            <w:r>
              <w:rPr>
                <w:rFonts w:ascii="Arial" w:cs="Arial" w:eastAsia="Arial" w:hAnsi="Arial"/>
                <w:sz w:val="18"/>
                <w:szCs w:val="18"/>
                <w:color w:val="0000FF"/>
                <w:w w:val="90"/>
              </w:rPr>
              <w:t>3.75 to 1.00</w:t>
            </w:r>
          </w:p>
        </w:tc>
      </w:tr>
      <w:tr>
        <w:trPr>
          <w:trHeight w:val="20"/>
        </w:trPr>
        <w:tc>
          <w:tcPr>
            <w:tcW w:w="98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80" w:type="dxa"/>
            <w:vAlign w:val="bottom"/>
            <w:tcBorders>
              <w:left w:val="single" w:sz="8" w:color="auto"/>
            </w:tcBorders>
          </w:tcPr>
          <w:p>
            <w:pPr>
              <w:spacing w:after="0"/>
              <w:rPr>
                <w:sz w:val="14"/>
                <w:szCs w:val="14"/>
                <w:color w:val="auto"/>
              </w:rPr>
            </w:pPr>
          </w:p>
        </w:tc>
        <w:tc>
          <w:tcPr>
            <w:tcW w:w="2960" w:type="dxa"/>
            <w:vAlign w:val="bottom"/>
            <w:tcBorders>
              <w:right w:val="single" w:sz="8" w:color="auto"/>
            </w:tcBorders>
            <w:gridSpan w:val="8"/>
          </w:tcPr>
          <w:p>
            <w:pPr>
              <w:jc w:val="center"/>
              <w:ind w:right="980"/>
              <w:spacing w:after="0" w:line="170" w:lineRule="exact"/>
              <w:rPr>
                <w:sz w:val="20"/>
                <w:szCs w:val="20"/>
                <w:color w:val="auto"/>
              </w:rPr>
            </w:pPr>
            <w:r>
              <w:rPr>
                <w:rFonts w:ascii="Arial" w:cs="Arial" w:eastAsia="Arial" w:hAnsi="Arial"/>
                <w:sz w:val="18"/>
                <w:szCs w:val="18"/>
                <w:color w:val="0000FF"/>
                <w:w w:val="89"/>
              </w:rPr>
              <w:t>September 30, 2023</w:t>
            </w:r>
          </w:p>
        </w:tc>
        <w:tc>
          <w:tcPr>
            <w:tcW w:w="1500" w:type="dxa"/>
            <w:vAlign w:val="bottom"/>
          </w:tcPr>
          <w:p>
            <w:pPr>
              <w:spacing w:after="0"/>
              <w:rPr>
                <w:sz w:val="14"/>
                <w:szCs w:val="14"/>
                <w:color w:val="auto"/>
              </w:rPr>
            </w:pPr>
          </w:p>
        </w:tc>
        <w:tc>
          <w:tcPr>
            <w:tcW w:w="2420" w:type="dxa"/>
            <w:vAlign w:val="bottom"/>
            <w:tcBorders>
              <w:right w:val="single" w:sz="8" w:color="auto"/>
            </w:tcBorders>
            <w:gridSpan w:val="4"/>
          </w:tcPr>
          <w:p>
            <w:pPr>
              <w:jc w:val="center"/>
              <w:ind w:right="1560"/>
              <w:spacing w:after="0" w:line="170" w:lineRule="exact"/>
              <w:rPr>
                <w:sz w:val="20"/>
                <w:szCs w:val="20"/>
                <w:color w:val="auto"/>
              </w:rPr>
            </w:pPr>
            <w:r>
              <w:rPr>
                <w:rFonts w:ascii="Arial" w:cs="Arial" w:eastAsia="Arial" w:hAnsi="Arial"/>
                <w:sz w:val="18"/>
                <w:szCs w:val="18"/>
                <w:color w:val="0000FF"/>
                <w:w w:val="90"/>
              </w:rPr>
              <w:t>3.25 to 1.00</w:t>
            </w:r>
          </w:p>
        </w:tc>
      </w:tr>
      <w:tr>
        <w:trPr>
          <w:trHeight w:val="20"/>
        </w:trPr>
        <w:tc>
          <w:tcPr>
            <w:tcW w:w="98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170"/>
        </w:trPr>
        <w:tc>
          <w:tcPr>
            <w:tcW w:w="980" w:type="dxa"/>
            <w:vAlign w:val="bottom"/>
            <w:tcBorders>
              <w:left w:val="single" w:sz="8" w:color="auto"/>
            </w:tcBorders>
          </w:tcPr>
          <w:p>
            <w:pPr>
              <w:ind w:left="500"/>
              <w:spacing w:after="0" w:line="170" w:lineRule="exact"/>
              <w:rPr>
                <w:sz w:val="20"/>
                <w:szCs w:val="20"/>
                <w:color w:val="auto"/>
              </w:rPr>
            </w:pPr>
            <w:r>
              <w:rPr>
                <w:rFonts w:ascii="Arial" w:cs="Arial" w:eastAsia="Arial" w:hAnsi="Arial"/>
                <w:sz w:val="18"/>
                <w:szCs w:val="18"/>
                <w:color w:val="FF0000"/>
                <w:strike w:val="1"/>
                <w:w w:val="91"/>
              </w:rPr>
              <w:t>March</w:t>
            </w:r>
          </w:p>
        </w:tc>
        <w:tc>
          <w:tcPr>
            <w:tcW w:w="2960" w:type="dxa"/>
            <w:vAlign w:val="bottom"/>
            <w:tcBorders>
              <w:right w:val="single" w:sz="8" w:color="auto"/>
            </w:tcBorders>
            <w:gridSpan w:val="8"/>
          </w:tcPr>
          <w:p>
            <w:pPr>
              <w:spacing w:after="0" w:line="170" w:lineRule="exact"/>
              <w:rPr>
                <w:sz w:val="20"/>
                <w:szCs w:val="20"/>
                <w:color w:val="auto"/>
              </w:rPr>
            </w:pPr>
            <w:r>
              <w:rPr>
                <w:rFonts w:ascii="Arial" w:cs="Arial" w:eastAsia="Arial" w:hAnsi="Arial"/>
                <w:sz w:val="18"/>
                <w:szCs w:val="18"/>
                <w:color w:val="0000FF"/>
              </w:rPr>
              <w:t xml:space="preserve">December </w:t>
            </w:r>
            <w:r>
              <w:rPr>
                <w:rFonts w:ascii="Arial" w:cs="Arial" w:eastAsia="Arial" w:hAnsi="Arial"/>
                <w:sz w:val="18"/>
                <w:szCs w:val="18"/>
                <w:color w:val="000000"/>
              </w:rPr>
              <w:t>31, 2023 and thereafter</w:t>
            </w:r>
          </w:p>
        </w:tc>
        <w:tc>
          <w:tcPr>
            <w:tcW w:w="1500" w:type="dxa"/>
            <w:vAlign w:val="bottom"/>
          </w:tcPr>
          <w:p>
            <w:pPr>
              <w:spacing w:after="0"/>
              <w:rPr>
                <w:sz w:val="14"/>
                <w:szCs w:val="14"/>
                <w:color w:val="auto"/>
              </w:rPr>
            </w:pPr>
          </w:p>
        </w:tc>
        <w:tc>
          <w:tcPr>
            <w:tcW w:w="2420" w:type="dxa"/>
            <w:vAlign w:val="bottom"/>
            <w:tcBorders>
              <w:right w:val="single" w:sz="8" w:color="auto"/>
            </w:tcBorders>
            <w:gridSpan w:val="4"/>
          </w:tcPr>
          <w:p>
            <w:pPr>
              <w:jc w:val="center"/>
              <w:ind w:right="1560"/>
              <w:spacing w:after="0" w:line="170" w:lineRule="exact"/>
              <w:rPr>
                <w:sz w:val="20"/>
                <w:szCs w:val="20"/>
                <w:color w:val="auto"/>
              </w:rPr>
            </w:pPr>
            <w:r>
              <w:rPr>
                <w:rFonts w:ascii="Arial" w:cs="Arial" w:eastAsia="Arial" w:hAnsi="Arial"/>
                <w:sz w:val="18"/>
                <w:szCs w:val="18"/>
                <w:color w:val="auto"/>
                <w:w w:val="90"/>
              </w:rPr>
              <w:t>3.00 to 1.00</w:t>
            </w:r>
          </w:p>
        </w:tc>
      </w:tr>
      <w:tr>
        <w:trPr>
          <w:trHeight w:val="20"/>
        </w:trPr>
        <w:tc>
          <w:tcPr>
            <w:tcW w:w="98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20"/>
        </w:trPr>
        <w:tc>
          <w:tcPr>
            <w:tcW w:w="98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1106"/>
        <w:spacing w:after="0" w:line="277" w:lineRule="auto"/>
        <w:tabs>
          <w:tab w:leader="none" w:pos="1681"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The Borrower will not permit the Consolidated Fixed Charge Coverage Ratio as of the end of any fiscal quarter to be less than 1.25 to 1.00.</w:t>
      </w:r>
    </w:p>
    <w:p>
      <w:pPr>
        <w:spacing w:after="0" w:line="170"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Payments on Subordinated Debt</w:t>
      </w:r>
      <w:r>
        <w:rPr>
          <w:rFonts w:ascii="Arial" w:cs="Arial" w:eastAsia="Arial" w:hAnsi="Arial"/>
          <w:sz w:val="18"/>
          <w:szCs w:val="18"/>
          <w:color w:val="auto"/>
        </w:rPr>
        <w:t>. The Borrower will not, and will not permit any of its Subsidiaries to, declare or make, or agree to pay for or make, directly or indirectly, any payment of principal or interest or any purchase, redemption, retirement, acquisition or defeasance with respect to any Indebtedness of such Person which is subordinated to the payment of the Loan Document Obligations except that so long as no Default shall have occurred and shall be continuing or would immediately result therefrom, the Borrower or any Subsidiary may make payments of Subordinated Debt to the extent permitted by the subordination provisions applicable thereto.</w:t>
      </w:r>
    </w:p>
    <w:p>
      <w:pPr>
        <w:spacing w:after="0" w:line="188"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Government Regulation</w:t>
      </w:r>
      <w:r>
        <w:rPr>
          <w:rFonts w:ascii="Arial" w:cs="Arial" w:eastAsia="Arial" w:hAnsi="Arial"/>
          <w:sz w:val="18"/>
          <w:szCs w:val="18"/>
          <w:color w:val="auto"/>
        </w:rPr>
        <w:t>. The Borrower will not, and will not permit any of its Subsidiaries to, (a) at any time be or become the subject of any law, regulation, or list of any government agency (including the United States Office of Foreign Asset Control list) that prohibits or limits any Lender from making any loans or extension of credit (including the Loans and the Letters of Credit) to any Loan Party or from otherwise conducting business with any Loan Party, or (b) fail to provide documentary and other evidence of any Loan Party’s identity as may be requested by any Credit Party at any time to enable such Credit Party to verify any Loan Party’s identity or to comply with any applicable law or regulation, including Section 326 of the USA PATRIOT Act.</w:t>
      </w:r>
    </w:p>
    <w:p>
      <w:pPr>
        <w:spacing w:after="0" w:line="192" w:lineRule="exact"/>
        <w:rPr>
          <w:sz w:val="20"/>
          <w:szCs w:val="20"/>
          <w:color w:val="auto"/>
        </w:rPr>
      </w:pPr>
    </w:p>
    <w:p>
      <w:pPr>
        <w:jc w:val="both"/>
        <w:ind w:firstLine="450"/>
        <w:spacing w:after="0" w:line="275" w:lineRule="auto"/>
        <w:rPr>
          <w:sz w:val="20"/>
          <w:szCs w:val="20"/>
          <w:color w:val="auto"/>
        </w:rPr>
      </w:pPr>
      <w:r>
        <w:rPr>
          <w:rFonts w:ascii="Arial" w:cs="Arial" w:eastAsia="Arial" w:hAnsi="Arial"/>
          <w:sz w:val="17"/>
          <w:szCs w:val="17"/>
          <w:color w:val="auto"/>
        </w:rPr>
        <w:t xml:space="preserve">Section 7.15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The Borrower will not, and will not permit any of its Subsidiaries to, cause or permit a Release or threat of Release of Hazardous Materials on, at, in, above, to, from or about any of the property where such Release or threat of Release would (a) violate, or form the basis for any Environmental Claims under, any Environmental Law or any Environmental Permit or (b) otherwise adversely impact the value or marketability of any property of any Loan Party or any of its Subsidiaries or any of the Collateral, other than such Release, violation or Environmental Claim as would not reasonably be expected to result in a material Environmental Liability.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55" w:name="page156"/>
    <w:bookmarkEnd w:id="155"/>
    <w:p>
      <w:pPr>
        <w:jc w:val="center"/>
        <w:ind w:right="220"/>
        <w:spacing w:after="0"/>
        <w:rPr>
          <w:sz w:val="20"/>
          <w:szCs w:val="20"/>
          <w:color w:val="auto"/>
        </w:rPr>
      </w:pPr>
      <w:r>
        <w:rPr>
          <w:rFonts w:ascii="Arial" w:cs="Arial" w:eastAsia="Arial" w:hAnsi="Arial"/>
          <w:sz w:val="18"/>
          <w:szCs w:val="18"/>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w:t>
      </w:r>
    </w:p>
    <w:p>
      <w:pPr>
        <w:spacing w:after="0" w:line="225"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Any of the following shall constitute an Event of Default:</w:t>
      </w:r>
    </w:p>
    <w:p>
      <w:pPr>
        <w:spacing w:after="0" w:line="225" w:lineRule="exact"/>
        <w:rPr>
          <w:sz w:val="20"/>
          <w:szCs w:val="20"/>
          <w:color w:val="auto"/>
        </w:rPr>
      </w:pPr>
    </w:p>
    <w:p>
      <w:pPr>
        <w:jc w:val="both"/>
        <w:ind w:firstLine="1106"/>
        <w:spacing w:after="0" w:line="263" w:lineRule="auto"/>
        <w:tabs>
          <w:tab w:leader="none" w:pos="1698"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Non-Payment of Principal or L/C Disbursement</w:t>
      </w:r>
      <w:r>
        <w:rPr>
          <w:rFonts w:ascii="Arial" w:cs="Arial" w:eastAsia="Arial" w:hAnsi="Arial"/>
          <w:sz w:val="18"/>
          <w:szCs w:val="18"/>
          <w:color w:val="auto"/>
        </w:rPr>
        <w:t>. Any Loan Party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83" w:lineRule="exact"/>
        <w:rPr>
          <w:rFonts w:ascii="Arial" w:cs="Arial" w:eastAsia="Arial" w:hAnsi="Arial"/>
          <w:sz w:val="18"/>
          <w:szCs w:val="18"/>
          <w:color w:val="auto"/>
        </w:rPr>
      </w:pPr>
    </w:p>
    <w:p>
      <w:pPr>
        <w:jc w:val="both"/>
        <w:ind w:firstLine="1106"/>
        <w:spacing w:after="0" w:line="311" w:lineRule="auto"/>
        <w:tabs>
          <w:tab w:leader="none" w:pos="1735"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Other Non-Payment</w:t>
      </w:r>
      <w:r>
        <w:rPr>
          <w:rFonts w:ascii="Arial" w:cs="Arial" w:eastAsia="Arial" w:hAnsi="Arial"/>
          <w:sz w:val="16"/>
          <w:szCs w:val="16"/>
          <w:color w:val="auto"/>
        </w:rPr>
        <w:t>. Any Loan Party shall fail to pay any interest on any Loan or on any reimbursement obligation in respect of any L/C Disbursement or any fee, commission or any other amount (other than an amount referred to in clause (a) of this Section) payable under any Loan Document, when and as the same shall become due and payable, and such failure shall continue unremedied for a period of three Business Days.</w:t>
      </w:r>
    </w:p>
    <w:p>
      <w:pPr>
        <w:spacing w:after="0" w:line="148" w:lineRule="exact"/>
        <w:rPr>
          <w:rFonts w:ascii="Arial" w:cs="Arial" w:eastAsia="Arial" w:hAnsi="Arial"/>
          <w:sz w:val="16"/>
          <w:szCs w:val="16"/>
          <w:color w:val="auto"/>
        </w:rPr>
      </w:pPr>
    </w:p>
    <w:p>
      <w:pPr>
        <w:jc w:val="both"/>
        <w:ind w:firstLine="1106"/>
        <w:spacing w:after="0" w:line="279" w:lineRule="auto"/>
        <w:tabs>
          <w:tab w:leader="none" w:pos="1671"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Any representation or warranty made or deemed made by or on behalf of any Loan Party or any of its Subsidiaries in or in connection with any Loan Document or any amendment or modification 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spacing w:after="0" w:line="171" w:lineRule="exact"/>
        <w:rPr>
          <w:rFonts w:ascii="Arial" w:cs="Arial" w:eastAsia="Arial" w:hAnsi="Arial"/>
          <w:sz w:val="17"/>
          <w:szCs w:val="17"/>
          <w:color w:val="auto"/>
        </w:rPr>
      </w:pPr>
    </w:p>
    <w:p>
      <w:pPr>
        <w:jc w:val="both"/>
        <w:ind w:firstLine="1106"/>
        <w:spacing w:after="0" w:line="263" w:lineRule="auto"/>
        <w:tabs>
          <w:tab w:leader="none" w:pos="1937"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xml:space="preserve">. Any Loan Party shall fail to observe or perform any covenant, condition or agreement contained in </w:t>
      </w:r>
      <w:r>
        <w:rPr>
          <w:rFonts w:ascii="Arial" w:cs="Arial" w:eastAsia="Arial" w:hAnsi="Arial"/>
          <w:sz w:val="18"/>
          <w:szCs w:val="18"/>
          <w:u w:val="single" w:color="auto"/>
          <w:color w:val="auto"/>
        </w:rPr>
        <w:t>Sections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6.2(a)</w:t>
      </w:r>
      <w:r>
        <w:rPr>
          <w:rFonts w:ascii="Arial" w:cs="Arial" w:eastAsia="Arial" w:hAnsi="Arial"/>
          <w:sz w:val="18"/>
          <w:szCs w:val="18"/>
          <w:color w:val="auto"/>
        </w:rPr>
        <w:t xml:space="preserve">,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w:t>
      </w:r>
      <w:r>
        <w:rPr>
          <w:rFonts w:ascii="Arial" w:cs="Arial" w:eastAsia="Arial" w:hAnsi="Arial"/>
          <w:sz w:val="18"/>
          <w:szCs w:val="18"/>
          <w:u w:val="single" w:color="auto"/>
          <w:color w:val="auto"/>
        </w:rPr>
        <w:t>6.7</w:t>
      </w:r>
      <w:r>
        <w:rPr>
          <w:rFonts w:ascii="Arial" w:cs="Arial" w:eastAsia="Arial" w:hAnsi="Arial"/>
          <w:sz w:val="18"/>
          <w:szCs w:val="18"/>
          <w:color w:val="auto"/>
        </w:rPr>
        <w:t xml:space="preserve">, </w:t>
      </w:r>
      <w:r>
        <w:rPr>
          <w:rFonts w:ascii="Arial" w:cs="Arial" w:eastAsia="Arial" w:hAnsi="Arial"/>
          <w:sz w:val="18"/>
          <w:szCs w:val="18"/>
          <w:u w:val="single" w:color="auto"/>
          <w:color w:val="auto"/>
        </w:rPr>
        <w:t>6.8</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6.14</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or any Loan Party shall fail to observe or perform any covenant, condition or agreement contained in the Guarantee Agreement or any Collateral Document to which it is a party.</w:t>
      </w:r>
    </w:p>
    <w:p>
      <w:pPr>
        <w:spacing w:after="0" w:line="183" w:lineRule="exact"/>
        <w:rPr>
          <w:rFonts w:ascii="Arial" w:cs="Arial" w:eastAsia="Arial" w:hAnsi="Arial"/>
          <w:sz w:val="18"/>
          <w:szCs w:val="18"/>
          <w:color w:val="auto"/>
        </w:rPr>
      </w:pPr>
    </w:p>
    <w:p>
      <w:pPr>
        <w:jc w:val="both"/>
        <w:ind w:firstLine="1106"/>
        <w:spacing w:after="0" w:line="263" w:lineRule="auto"/>
        <w:tabs>
          <w:tab w:leader="none" w:pos="1765"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 Any Loan Party shall fail to observe or perform any covenant, condition or agreement contained in any Loan Document to which it is a party (other than those specified in clause (a), (b) or (d) of this Article), and such failure shall continue unremedied for a period of 30 days after the occurrence thereof.</w:t>
      </w:r>
    </w:p>
    <w:p>
      <w:pPr>
        <w:spacing w:after="0" w:line="183" w:lineRule="exact"/>
        <w:rPr>
          <w:rFonts w:ascii="Arial" w:cs="Arial" w:eastAsia="Arial" w:hAnsi="Arial"/>
          <w:sz w:val="18"/>
          <w:szCs w:val="18"/>
          <w:color w:val="auto"/>
        </w:rPr>
      </w:pPr>
    </w:p>
    <w:p>
      <w:pPr>
        <w:jc w:val="both"/>
        <w:ind w:firstLine="1106"/>
        <w:spacing w:after="0" w:line="263" w:lineRule="auto"/>
        <w:tabs>
          <w:tab w:leader="none" w:pos="1692"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Cross Default - Payment Default on Material Indebtedness</w:t>
      </w:r>
      <w:r>
        <w:rPr>
          <w:rFonts w:ascii="Arial" w:cs="Arial" w:eastAsia="Arial" w:hAnsi="Arial"/>
          <w:sz w:val="18"/>
          <w:szCs w:val="18"/>
          <w:color w:val="auto"/>
        </w:rPr>
        <w:t>. Any Loan Party shall fail to make any payment (whether of principal, interest or otherwise and regardless of amount) in respect of any Material Indebtedness when and as the same shall become due and payable (after giving effect to any applicable grace period).</w:t>
      </w:r>
    </w:p>
    <w:p>
      <w:pPr>
        <w:spacing w:after="0" w:line="183" w:lineRule="exact"/>
        <w:rPr>
          <w:rFonts w:ascii="Arial" w:cs="Arial" w:eastAsia="Arial" w:hAnsi="Arial"/>
          <w:sz w:val="18"/>
          <w:szCs w:val="18"/>
          <w:color w:val="auto"/>
        </w:rPr>
      </w:pPr>
    </w:p>
    <w:p>
      <w:pPr>
        <w:jc w:val="both"/>
        <w:ind w:firstLine="1106"/>
        <w:spacing w:after="0" w:line="291" w:lineRule="auto"/>
        <w:tabs>
          <w:tab w:leader="none" w:pos="1870"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Other Cross-Defaults</w:t>
      </w:r>
      <w:r>
        <w:rPr>
          <w:rFonts w:ascii="Arial" w:cs="Arial" w:eastAsia="Arial" w:hAnsi="Arial"/>
          <w:sz w:val="16"/>
          <w:szCs w:val="16"/>
          <w:color w:val="auto"/>
        </w:rPr>
        <w:t xml:space="preserve">. (i) Any event or condition occurs that results in any Material Indebtedness becoming due prior to its scheduled maturity or payment date, or that enables or permits (with or without the giving of notice, the lapse of time or both) the holder or holders of any Material Indebtedness or any trustee or agent on its or their behalf to cause any Material Indebtedness to become due prior to their scheduled maturity or payment date or to require the prepayment, repurchase, redemption or defeasance thereof prior to their scheduled maturity or payment date (in each case after giving effect to any applicable notice and any applicable cure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(g) shall not apply to secured Indebtedness that becomes due solely as a result of the voluntary sale, transfer or other disposition of the property or assets securing such Indebtedness; or (ii) any Loan Party or any of its Subsidiaries shall breach or default on any payment obligation constituting a Swap Agreement Obligation.</w:t>
      </w:r>
    </w:p>
    <w:p>
      <w:pPr>
        <w:spacing w:after="0" w:line="166" w:lineRule="exact"/>
        <w:rPr>
          <w:rFonts w:ascii="Arial" w:cs="Arial" w:eastAsia="Arial" w:hAnsi="Arial"/>
          <w:sz w:val="16"/>
          <w:szCs w:val="16"/>
          <w:color w:val="auto"/>
        </w:rPr>
      </w:pPr>
    </w:p>
    <w:p>
      <w:pPr>
        <w:jc w:val="both"/>
        <w:ind w:firstLine="1106"/>
        <w:spacing w:after="0" w:line="275" w:lineRule="auto"/>
        <w:tabs>
          <w:tab w:leader="none" w:pos="1843"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Involuntary Proceedings</w:t>
      </w:r>
      <w:r>
        <w:rPr>
          <w:rFonts w:ascii="Arial" w:cs="Arial" w:eastAsia="Arial" w:hAnsi="Arial"/>
          <w:sz w:val="17"/>
          <w:szCs w:val="17"/>
          <w:color w:val="auto"/>
        </w:rPr>
        <w:t>. An involuntary proceeding shall be commenced or an involuntary petition shall be filed seeking (i) liquidation, reorganization or other relief in respect of any Loan Party or any of its Subsidiaries or its debts, or of a substantial part of its assets, under any Debtor Relief Law now or hereafter in effect or (ii) the appointment of a receiver, trustee, custodian, sequestrator, conservator or similar official for any Loan Party or any of its Subsidiaries or for a substantial part of its assets, and, in any such case, such proceeding or petition shall continue undismissed for 60 days or an order or decree approving or ordering any of the foregoing shall be entered.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6" w:name="page157"/>
    <w:bookmarkEnd w:id="156"/>
    <w:p>
      <w:pPr>
        <w:jc w:val="both"/>
        <w:ind w:firstLine="1106"/>
        <w:spacing w:after="0" w:line="286" w:lineRule="auto"/>
        <w:tabs>
          <w:tab w:leader="none" w:pos="1673" w:val="left"/>
        </w:tabs>
        <w:numPr>
          <w:ilvl w:val="1"/>
          <w:numId w:val="167"/>
        </w:numPr>
        <w:rPr>
          <w:rFonts w:ascii="Arial" w:cs="Arial" w:eastAsia="Arial" w:hAnsi="Arial"/>
          <w:sz w:val="16"/>
          <w:szCs w:val="16"/>
          <w:color w:val="auto"/>
        </w:rPr>
      </w:pPr>
      <w:r>
        <w:rPr>
          <w:rFonts w:ascii="Arial" w:cs="Arial" w:eastAsia="Arial" w:hAnsi="Arial"/>
          <w:sz w:val="16"/>
          <w:szCs w:val="16"/>
          <w:u w:val="single" w:color="auto"/>
          <w:color w:val="auto"/>
        </w:rPr>
        <w:t>Voluntary Proceedings</w:t>
      </w:r>
      <w:r>
        <w:rPr>
          <w:rFonts w:ascii="Arial" w:cs="Arial" w:eastAsia="Arial" w:hAnsi="Arial"/>
          <w:sz w:val="16"/>
          <w:szCs w:val="16"/>
          <w:color w:val="auto"/>
        </w:rPr>
        <w:t>. Any Loan Party or any of its Subsidiaries shall (i) voluntarily commence any proceeding or file any petition seeking liquidation, reorganization or other relief under any Debtor Relief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any Loan Party or any of its Subsidiaries or for a substantial part of its assets,</w:t>
      </w:r>
    </w:p>
    <w:p>
      <w:pPr>
        <w:spacing w:after="0" w:line="1" w:lineRule="exact"/>
        <w:rPr>
          <w:rFonts w:ascii="Arial" w:cs="Arial" w:eastAsia="Arial" w:hAnsi="Arial"/>
          <w:sz w:val="16"/>
          <w:szCs w:val="16"/>
          <w:color w:val="auto"/>
        </w:rPr>
      </w:pPr>
    </w:p>
    <w:p>
      <w:pPr>
        <w:ind w:right="20" w:firstLine="8"/>
        <w:spacing w:after="0" w:line="260" w:lineRule="auto"/>
        <w:tabs>
          <w:tab w:leader="none" w:pos="31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file an answer admitting the material allegations of a petition filed against it in any such proceeding, (v) make a general assignment for the benefit of creditors or (vi) take any action for the purpose of effecting any of the foregoing.</w:t>
      </w:r>
    </w:p>
    <w:p>
      <w:pPr>
        <w:spacing w:after="0" w:line="185" w:lineRule="exact"/>
        <w:rPr>
          <w:sz w:val="20"/>
          <w:szCs w:val="20"/>
          <w:color w:val="auto"/>
        </w:rPr>
      </w:pPr>
    </w:p>
    <w:p>
      <w:pPr>
        <w:ind w:firstLine="1106"/>
        <w:spacing w:after="0" w:line="277" w:lineRule="auto"/>
        <w:tabs>
          <w:tab w:leader="none" w:pos="1686"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Inability to Pay Debts</w:t>
      </w:r>
      <w:r>
        <w:rPr>
          <w:rFonts w:ascii="Arial" w:cs="Arial" w:eastAsia="Arial" w:hAnsi="Arial"/>
          <w:sz w:val="18"/>
          <w:szCs w:val="18"/>
          <w:color w:val="auto"/>
        </w:rPr>
        <w:t>. Any Loan Party or any of its Subsidiaries shall become unable, admit in writing its inability or fail generally to pay its debts as they become due.</w:t>
      </w:r>
    </w:p>
    <w:p>
      <w:pPr>
        <w:spacing w:after="0" w:line="170" w:lineRule="exact"/>
        <w:rPr>
          <w:rFonts w:ascii="Arial" w:cs="Arial" w:eastAsia="Arial" w:hAnsi="Arial"/>
          <w:sz w:val="18"/>
          <w:szCs w:val="18"/>
          <w:color w:val="auto"/>
        </w:rPr>
      </w:pPr>
    </w:p>
    <w:p>
      <w:pPr>
        <w:jc w:val="both"/>
        <w:ind w:firstLine="1106"/>
        <w:spacing w:after="0" w:line="271" w:lineRule="auto"/>
        <w:tabs>
          <w:tab w:leader="none" w:pos="1667"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Judgments</w:t>
      </w:r>
      <w:r>
        <w:rPr>
          <w:rFonts w:ascii="Arial" w:cs="Arial" w:eastAsia="Arial" w:hAnsi="Arial"/>
          <w:sz w:val="17"/>
          <w:szCs w:val="17"/>
          <w:color w:val="auto"/>
        </w:rPr>
        <w:t>. One or more (i) non-monetary judgments which would, individually or in the aggregate, reasonably be expected to have a Material Adverse Effect, or (ii) judgments for the payment of money in an aggregate amount in excess of the Threshold Amount shall be rendered against any Loan Party or any of its Subsidiaries or any combination thereof (which shall not be fully covered (without taking into account any applicable deductibles) by insurance from an unaffiliated insurance company with an A.M. Best financial strength rating of at least A-, it being understood that even if such amounts are covered by insurance from such an insurance company, such amounts shall count against such basket if responsibility for such amounts has been denied by such insurance company) and the same shall remain undischarged or unbonded for a period of 30 consecutive days during which execution shall not be effectively stayed, or any action shall be legally taken by a judgment creditor to attach or levy upon any assets of any Loan Party or any of its Subsidiaries to enforce any such judgment.</w:t>
      </w:r>
    </w:p>
    <w:p>
      <w:pPr>
        <w:spacing w:after="0" w:line="178" w:lineRule="exact"/>
        <w:rPr>
          <w:rFonts w:ascii="Arial" w:cs="Arial" w:eastAsia="Arial" w:hAnsi="Arial"/>
          <w:sz w:val="17"/>
          <w:szCs w:val="17"/>
          <w:color w:val="auto"/>
        </w:rPr>
      </w:pPr>
    </w:p>
    <w:p>
      <w:pPr>
        <w:jc w:val="both"/>
        <w:ind w:firstLine="1106"/>
        <w:spacing w:after="0" w:line="288" w:lineRule="auto"/>
        <w:tabs>
          <w:tab w:leader="none" w:pos="1700"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ERISA Events</w:t>
      </w:r>
      <w:r>
        <w:rPr>
          <w:rFonts w:ascii="Arial" w:cs="Arial" w:eastAsia="Arial" w:hAnsi="Arial"/>
          <w:sz w:val="16"/>
          <w:szCs w:val="16"/>
          <w:color w:val="auto"/>
        </w:rPr>
        <w:t xml:space="preserve">. (i) An ERISA Event shall have occurred that, in the opinion of the Required Lenders, when taken together with all other ERISA Events that have occurred, could reasonably be expected to result in liability of any Loan Party or any of its Subsidiaries (or in the case of an ERISA Event described in subsection (b) of the definition of that term in </w:t>
      </w:r>
      <w:r>
        <w:rPr>
          <w:rFonts w:ascii="Arial" w:cs="Arial" w:eastAsia="Arial" w:hAnsi="Arial"/>
          <w:sz w:val="16"/>
          <w:szCs w:val="16"/>
          <w:u w:val="single" w:color="auto"/>
          <w:color w:val="auto"/>
        </w:rPr>
        <w:t>Section 1.1</w:t>
      </w:r>
      <w:r>
        <w:rPr>
          <w:rFonts w:ascii="Arial" w:cs="Arial" w:eastAsia="Arial" w:hAnsi="Arial"/>
          <w:sz w:val="16"/>
          <w:szCs w:val="16"/>
          <w:color w:val="auto"/>
        </w:rPr>
        <w:t>, could reasonably be expected to subject any Loan Party, any of its Subsidiaries, any Pension Plan, any trust created thereunder, any trustee or administrator thereof, or any party dealing with any Pension Plan or trust to a tax or penalty on “prohibited transactions” under Section 502 of ERISA or Section 4975 of the Code) in an aggregate amount exceeding (A) $250,000 in any year or (B) $500,000 for all periods, (ii) an ERISA Event shall occur with respect to a Pension Plan or Multiemployer Plan that constitutes grounds for appointment of a trustee for or termination by the PBGC of any Pension Plan or Multiemployer Plan; (iii) a Loan Party or ERISA Affiliate shall fail to pay when due any installment payment with respect to its withdrawal liability under Section 4201 of ERISA under a Multiemployer Plan; (iv) any event similar to the foregoing shall occur or exist with respect to a Foreign Plan; or (v) there shall be at any time a Lien imposed against the assets of any Loan Party or ERISA Affiliate under Section 412 or Section 430 of the Code or Sections 302, Section 303, or Section 4068 of ERISA.</w:t>
      </w:r>
    </w:p>
    <w:p>
      <w:pPr>
        <w:spacing w:after="0" w:line="168" w:lineRule="exact"/>
        <w:rPr>
          <w:rFonts w:ascii="Arial" w:cs="Arial" w:eastAsia="Arial" w:hAnsi="Arial"/>
          <w:sz w:val="16"/>
          <w:szCs w:val="16"/>
          <w:color w:val="auto"/>
        </w:rPr>
      </w:pPr>
    </w:p>
    <w:p>
      <w:pPr>
        <w:ind w:firstLine="1106"/>
        <w:spacing w:after="0" w:line="277" w:lineRule="auto"/>
        <w:tabs>
          <w:tab w:leader="none" w:pos="1754"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Loan Document shall cease, for any reason, to be in full force and effect, or any Loan Party shall so assert in writing or shall disavow any of its obligations thereunder.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7" w:name="page158"/>
    <w:bookmarkEnd w:id="157"/>
    <w:p>
      <w:pPr>
        <w:jc w:val="both"/>
        <w:ind w:firstLine="1106"/>
        <w:spacing w:after="0" w:line="257" w:lineRule="auto"/>
        <w:tabs>
          <w:tab w:leader="none" w:pos="1667"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Any Lien purported to be created under any Collateral Document shall cease to be, or shall be asserted by any Loan Party not to be, a valid and perfected Lien on any Collateral with a value (individually or in the aggregate) in excess of $2,500,000, with the priority required by the applicable Collateral Document, except (i) as a result of the sale or other disposition of the applicable Collateral in a transaction permitted under the Loan Documents or (ii) as a result of the Administrative Agent’s failure to maintain possession of any stock certificates, promissory notes or other instruments delivered to it under the Security Agreement.</w:t>
      </w:r>
    </w:p>
    <w:p>
      <w:pPr>
        <w:spacing w:after="0" w:line="187" w:lineRule="exact"/>
        <w:rPr>
          <w:rFonts w:ascii="Arial" w:cs="Arial" w:eastAsia="Arial" w:hAnsi="Arial"/>
          <w:sz w:val="18"/>
          <w:szCs w:val="18"/>
          <w:color w:val="auto"/>
        </w:rPr>
      </w:pPr>
    </w:p>
    <w:p>
      <w:pPr>
        <w:ind w:firstLine="1106"/>
        <w:spacing w:after="0" w:line="277" w:lineRule="auto"/>
        <w:tabs>
          <w:tab w:leader="none" w:pos="1748"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Licenses</w:t>
      </w:r>
      <w:r>
        <w:rPr>
          <w:rFonts w:ascii="Arial" w:cs="Arial" w:eastAsia="Arial" w:hAnsi="Arial"/>
          <w:sz w:val="18"/>
          <w:szCs w:val="18"/>
          <w:color w:val="auto"/>
        </w:rPr>
        <w:t>. There shall occur the loss, suspension or revocation of, or failure to renew any license or permit now held or hereafter acquired if such loss, suspension, revocation or failure to renew would reasonably be expected to have a Material Adverse Effect.</w:t>
      </w:r>
    </w:p>
    <w:p>
      <w:pPr>
        <w:spacing w:after="0" w:line="170" w:lineRule="exact"/>
        <w:rPr>
          <w:rFonts w:ascii="Arial" w:cs="Arial" w:eastAsia="Arial" w:hAnsi="Arial"/>
          <w:sz w:val="18"/>
          <w:szCs w:val="18"/>
          <w:color w:val="auto"/>
        </w:rPr>
      </w:pPr>
    </w:p>
    <w:p>
      <w:pPr>
        <w:ind w:left="1680" w:hanging="574"/>
        <w:spacing w:after="0"/>
        <w:tabs>
          <w:tab w:leader="none" w:pos="168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shall occur.</w:t>
      </w:r>
    </w:p>
    <w:p>
      <w:pPr>
        <w:spacing w:after="0" w:line="225" w:lineRule="exact"/>
        <w:rPr>
          <w:rFonts w:ascii="Arial" w:cs="Arial" w:eastAsia="Arial" w:hAnsi="Arial"/>
          <w:sz w:val="18"/>
          <w:szCs w:val="18"/>
          <w:color w:val="auto"/>
        </w:rPr>
      </w:pPr>
    </w:p>
    <w:p>
      <w:pPr>
        <w:ind w:firstLine="1106"/>
        <w:spacing w:after="0" w:line="277" w:lineRule="auto"/>
        <w:tabs>
          <w:tab w:leader="none" w:pos="1681"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Cessation of Business</w:t>
      </w:r>
      <w:r>
        <w:rPr>
          <w:rFonts w:ascii="Arial" w:cs="Arial" w:eastAsia="Arial" w:hAnsi="Arial"/>
          <w:sz w:val="18"/>
          <w:szCs w:val="18"/>
          <w:color w:val="auto"/>
        </w:rPr>
        <w:t>. There shall occur a cessation of a substantial part of the business of any Loan Party which would reasonably be expected to have a Material Adverse Effect.</w:t>
      </w:r>
    </w:p>
    <w:p>
      <w:pPr>
        <w:spacing w:after="0" w:line="170" w:lineRule="exact"/>
        <w:rPr>
          <w:rFonts w:ascii="Arial" w:cs="Arial" w:eastAsia="Arial" w:hAnsi="Arial"/>
          <w:sz w:val="18"/>
          <w:szCs w:val="18"/>
          <w:color w:val="auto"/>
        </w:rPr>
      </w:pPr>
    </w:p>
    <w:p>
      <w:pPr>
        <w:ind w:left="1640" w:hanging="534"/>
        <w:spacing w:after="0"/>
        <w:tabs>
          <w:tab w:leader="none" w:pos="164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Criminal Action</w:t>
      </w:r>
      <w:r>
        <w:rPr>
          <w:rFonts w:ascii="Arial" w:cs="Arial" w:eastAsia="Arial" w:hAnsi="Arial"/>
          <w:sz w:val="18"/>
          <w:szCs w:val="18"/>
          <w:color w:val="auto"/>
        </w:rPr>
        <w:t>. Any Loan Party shall be criminally indicted or convicted under any law.</w:t>
      </w:r>
    </w:p>
    <w:p>
      <w:pPr>
        <w:spacing w:after="0" w:line="225" w:lineRule="exact"/>
        <w:rPr>
          <w:rFonts w:ascii="Arial" w:cs="Arial" w:eastAsia="Arial" w:hAnsi="Arial"/>
          <w:sz w:val="18"/>
          <w:szCs w:val="18"/>
          <w:color w:val="auto"/>
        </w:rPr>
      </w:pPr>
    </w:p>
    <w:p>
      <w:pPr>
        <w:jc w:val="both"/>
        <w:ind w:firstLine="1106"/>
        <w:spacing w:after="0" w:line="259" w:lineRule="auto"/>
        <w:tabs>
          <w:tab w:leader="none" w:pos="1702"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Invalidity of Subordination Provisions</w:t>
      </w:r>
      <w:r>
        <w:rPr>
          <w:rFonts w:ascii="Arial" w:cs="Arial" w:eastAsia="Arial" w:hAnsi="Arial"/>
          <w:sz w:val="18"/>
          <w:szCs w:val="18"/>
          <w:color w:val="auto"/>
        </w:rPr>
        <w:t>. The subordination provisions of any agreement or instrument governing any Subordinated Debt shall for any reason be revoked or invalidated, or otherwise cease to be in full force and effect, or any Loan Party shall contest in any manner the validity or enforceability thereof or deny that it has any further liability or obligation thereunder, or the Obligations for any reason shall not have the priority contemplated by this Credit Agreement or such subordination provisions.</w:t>
      </w:r>
    </w:p>
    <w:p>
      <w:pPr>
        <w:spacing w:after="0" w:line="186" w:lineRule="exact"/>
        <w:rPr>
          <w:rFonts w:ascii="Arial" w:cs="Arial" w:eastAsia="Arial" w:hAnsi="Arial"/>
          <w:sz w:val="18"/>
          <w:szCs w:val="18"/>
          <w:color w:val="auto"/>
        </w:rPr>
      </w:pPr>
    </w:p>
    <w:p>
      <w:pPr>
        <w:ind w:left="1680" w:hanging="574"/>
        <w:spacing w:after="0"/>
        <w:tabs>
          <w:tab w:leader="none" w:pos="1680"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Loss of Collateral</w:t>
      </w:r>
      <w:r>
        <w:rPr>
          <w:rFonts w:ascii="Arial" w:cs="Arial" w:eastAsia="Arial" w:hAnsi="Arial"/>
          <w:sz w:val="16"/>
          <w:szCs w:val="16"/>
          <w:color w:val="auto"/>
        </w:rPr>
        <w:t>. A material portion of the Collateral shall be subject to loss, theft or destruction which is not covered by adequate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insurance.</w:t>
      </w:r>
    </w:p>
    <w:p>
      <w:pPr>
        <w:spacing w:after="0" w:line="211"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Remedies Upon Event of Default</w:t>
      </w:r>
      <w:r>
        <w:rPr>
          <w:rFonts w:ascii="Arial" w:cs="Arial" w:eastAsia="Arial" w:hAnsi="Arial"/>
          <w:sz w:val="17"/>
          <w:szCs w:val="17"/>
          <w:color w:val="auto"/>
        </w:rPr>
        <w:t xml:space="preserve">. If any Event of Default occurs and is continuing, then, and in every such event (other than an event described in </w:t>
      </w:r>
      <w:r>
        <w:rPr>
          <w:rFonts w:ascii="Arial" w:cs="Arial" w:eastAsia="Arial" w:hAnsi="Arial"/>
          <w:sz w:val="17"/>
          <w:szCs w:val="17"/>
          <w:u w:val="single" w:color="auto"/>
          <w:color w:val="auto"/>
        </w:rPr>
        <w:t>Section 8.1(h)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and at any time thereafter during the continuance of such event, the Administrative Agent may, and at the request of the Required Lenders shall, by notice to the Borrower, take either or both of the following actions (whether before or after the Closing Date),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each Loan Party accrued under the Loan Documents, shall become due and payable immediately, without presentment, demand, protest or other notice of any kind, all of which are hereby waived by the Borrower, and (iii) require that the Borrower Cash Collateralize the L/C Obligations (in an amount equal to the Minimum Collateral Amount with respect thereto) and thereupon such Cash Collateral shall become due and payable immediately, without presentment, demand, protest or other notice of any kind, all of which are hereby waived by the Borrower, and in case of any event described in </w:t>
      </w:r>
      <w:r>
        <w:rPr>
          <w:rFonts w:ascii="Arial" w:cs="Arial" w:eastAsia="Arial" w:hAnsi="Arial"/>
          <w:sz w:val="17"/>
          <w:szCs w:val="17"/>
          <w:u w:val="single" w:color="auto"/>
          <w:color w:val="auto"/>
        </w:rPr>
        <w:t>Section 8.1(h)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the Commitments shall automatically terminate (whether before or after the Closing Date) the principal of the Loans then outstanding, together with accrued interest thereon and all fees and other obligations of each Loan Party accrued under the Loan Documents, shall automatically become due and payable, without presentment, demand, protest or other notice of any kind, all of which are hereby waived by the Borrower and Cash Collateral for the L/C Obligations as described above shall automatically become due and payable, without presentment, demand, protest or other notice of any kind, all of which are hereby waived by the Borrower.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8" w:name="page159"/>
    <w:bookmarkEnd w:id="158"/>
    <w:p>
      <w:pPr>
        <w:jc w:val="both"/>
        <w:ind w:firstLine="450"/>
        <w:spacing w:after="0" w:line="286"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Application of Funds</w:t>
      </w:r>
      <w:r>
        <w:rPr>
          <w:rFonts w:ascii="Arial" w:cs="Arial" w:eastAsia="Arial" w:hAnsi="Arial"/>
          <w:sz w:val="17"/>
          <w:szCs w:val="17"/>
          <w:color w:val="auto"/>
        </w:rPr>
        <w:t xml:space="preserve">. After the exercise of remedies provided for in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(or after the Loans have automatically become immediately due and payable and the L/C Obligations have automatically been required to be Cash Collateralized as set forth in </w:t>
      </w:r>
      <w:r>
        <w:rPr>
          <w:rFonts w:ascii="Arial" w:cs="Arial" w:eastAsia="Arial" w:hAnsi="Arial"/>
          <w:sz w:val="17"/>
          <w:szCs w:val="17"/>
          <w:u w:val="single" w:color="auto"/>
          <w:color w:val="auto"/>
        </w:rPr>
        <w:t>Section 2.10</w:t>
      </w:r>
      <w:r>
        <w:rPr>
          <w:rFonts w:ascii="Arial" w:cs="Arial" w:eastAsia="Arial" w:hAnsi="Arial"/>
          <w:sz w:val="17"/>
          <w:szCs w:val="17"/>
          <w:color w:val="auto"/>
        </w:rPr>
        <w:t>), any amounts received on account of the Secured Obligations shall be applied by the Administrative Agent in the following order:</w:t>
      </w:r>
    </w:p>
    <w:p>
      <w:pPr>
        <w:spacing w:after="0" w:line="165"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that portion of the Secured Obligations constituting fees, indemnities, expenses and other amounts (including fees, charges and disbursements of counsel to the Administrative Agent and amounts payable under </w:t>
      </w:r>
      <w:r>
        <w:rPr>
          <w:rFonts w:ascii="Arial" w:cs="Arial" w:eastAsia="Arial" w:hAnsi="Arial"/>
          <w:sz w:val="18"/>
          <w:szCs w:val="18"/>
          <w:u w:val="single" w:color="auto"/>
          <w:color w:val="auto"/>
        </w:rPr>
        <w:t>Article 3)</w:t>
      </w:r>
      <w:r>
        <w:rPr>
          <w:rFonts w:ascii="Arial" w:cs="Arial" w:eastAsia="Arial" w:hAnsi="Arial"/>
          <w:sz w:val="18"/>
          <w:szCs w:val="18"/>
          <w:color w:val="auto"/>
        </w:rPr>
        <w:t>, in each case payable to the Administrative Agent in its capacity as such;</w:t>
      </w:r>
    </w:p>
    <w:p>
      <w:pPr>
        <w:spacing w:after="0" w:line="184"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the extent of any excess of such proceeds, to the payment of that portion of the Secured Obligations constituting fees, indemnities, expenses and other amounts (including fees, charges and disbursements of counsel to the L/C Issuer and the L/C Fronting Fee), in each case payable to the L/C Issuer in its capacity as such;</w:t>
      </w:r>
    </w:p>
    <w:p>
      <w:pPr>
        <w:spacing w:after="0" w:line="184"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the extent of any excess of such proceeds, to the payment of that portion of the Secured Obligations constituting fees, indemnities and other amounts, payable to the Credit Parties (including fees, charges and disbursements of counsel to the respective Credit Parties and amounts payable under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ratably among them in proportion to the respective amounts described in this clause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payable to them;</w:t>
      </w:r>
    </w:p>
    <w:p>
      <w:pPr>
        <w:spacing w:after="0" w:line="165"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the extent of any excess of such proceeds, to the payment of that portion of the Secured Obligations constituting accrued and unpaid interest on the Loans, L/C Obligations and other Secured Obligations, ratably among the Credit Parties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payable to them;</w:t>
      </w:r>
    </w:p>
    <w:p>
      <w:pPr>
        <w:spacing w:after="0" w:line="184"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the extent of any excess of such proceeds, to the payment of that portion of the Secured Obligations constituting unpaid principal of the Loans and L/C Obligations, the Cash Management Obligations and the Swap Agreement Obligations, ratably among the Secured Parties in proportion to the respective amounts described in this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held by them;</w:t>
      </w:r>
    </w:p>
    <w:p>
      <w:pPr>
        <w:spacing w:after="0" w:line="184"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to the extent of any excess of such proceeds, to the Administrative Agent for the account of the L/C Issuer, to Cash Collateralize that portion of L/C Obligations comprised of the aggregate undrawn amount of Letters of Credit;</w:t>
      </w:r>
    </w:p>
    <w:p>
      <w:pPr>
        <w:spacing w:after="0" w:line="170"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the extent of any excess of such proceeds, to the payment of all other Secured Obligations of the Loan Parties owing under or in respect of the Loan Documents that are due and payable to the Secured Parties, or any of them, on such date, ratably based on the respective aggregate amounts of all such Secured Obligations owing to the Secured Parties on such date; and</w:t>
      </w:r>
    </w:p>
    <w:p>
      <w:pPr>
        <w:spacing w:after="0" w:line="184"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to the extent of any excess of such proceeds, the balance, if any, after all of the Secured Obligations (other than unasserted contingent indemnification and unasserted expense reimbursement obligations in each case not yet due and payable) have been paid in full, to the Borrower or as otherwise required by law.</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amounts used to Cash Collateralize the aggregate undrawn amount of Letters of Credit pursuant to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Secured Obligations, if any, in the order set forth above. The Administrative Agent shall have no obligation to calculate the amount of any Swap Agreement Obligations or Cash Management Obligations and may request a reasonably detailed calculation thereof from the provider of such Secured Obligations. If the provider of any Swap Agreement Obligations or Cash Management Obligations fails to deliver the calculation of such Secured Obligations within five days following request thereof by the Administrative Agent, then the Administrative Agent may assume the amount of such Secured Obligations are zero. Notwithstanding anything to the contrary set forth above, Excluded CEA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above in this Section.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9" w:name="page160"/>
    <w:bookmarkEnd w:id="159"/>
    <w:p>
      <w:pPr>
        <w:jc w:val="center"/>
        <w:ind w:right="220"/>
        <w:spacing w:after="0"/>
        <w:rPr>
          <w:sz w:val="20"/>
          <w:szCs w:val="20"/>
          <w:color w:val="auto"/>
        </w:rPr>
      </w:pPr>
      <w:r>
        <w:rPr>
          <w:rFonts w:ascii="Arial" w:cs="Arial" w:eastAsia="Arial" w:hAnsi="Arial"/>
          <w:sz w:val="18"/>
          <w:szCs w:val="18"/>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ADMINISTRATIVE AGENT</w:t>
      </w:r>
    </w:p>
    <w:p>
      <w:pPr>
        <w:spacing w:after="0" w:line="225" w:lineRule="exact"/>
        <w:rPr>
          <w:sz w:val="20"/>
          <w:szCs w:val="20"/>
          <w:color w:val="auto"/>
        </w:rPr>
      </w:pPr>
    </w:p>
    <w:p>
      <w:pPr>
        <w:jc w:val="both"/>
        <w:ind w:firstLine="450"/>
        <w:spacing w:after="0" w:line="271"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Appointment and Authority</w:t>
      </w:r>
      <w:r>
        <w:rPr>
          <w:rFonts w:ascii="Arial" w:cs="Arial" w:eastAsia="Arial" w:hAnsi="Arial"/>
          <w:sz w:val="17"/>
          <w:szCs w:val="17"/>
          <w:color w:val="auto"/>
        </w:rPr>
        <w:t>. Each of the Lenders and the L/C Issuer hereby irrevocably appoints Citizens 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neither the Borrower nor any other Loan Party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8" w:lineRule="exact"/>
        <w:rPr>
          <w:sz w:val="20"/>
          <w:szCs w:val="20"/>
          <w:color w:val="auto"/>
        </w:rPr>
      </w:pPr>
    </w:p>
    <w:p>
      <w:pPr>
        <w:jc w:val="both"/>
        <w:ind w:firstLine="450"/>
        <w:spacing w:after="0" w:line="273"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Rights as a Lender</w:t>
      </w:r>
      <w:r>
        <w:rPr>
          <w:rFonts w:ascii="Arial" w:cs="Arial" w:eastAsia="Arial" w:hAnsi="Arial"/>
          <w:sz w:val="17"/>
          <w:szCs w:val="17"/>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78"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Exculpatory Provisions</w:t>
      </w:r>
      <w:r>
        <w:rPr>
          <w:rFonts w:ascii="Arial" w:cs="Arial" w:eastAsia="Arial" w:hAnsi="Arial"/>
          <w:sz w:val="16"/>
          <w:szCs w:val="16"/>
          <w:color w:val="auto"/>
        </w:rPr>
        <w:t>.</w:t>
      </w:r>
    </w:p>
    <w:p>
      <w:pPr>
        <w:spacing w:after="0" w:line="225" w:lineRule="exact"/>
        <w:rPr>
          <w:sz w:val="20"/>
          <w:szCs w:val="20"/>
          <w:color w:val="auto"/>
        </w:rPr>
      </w:pPr>
    </w:p>
    <w:p>
      <w:pPr>
        <w:ind w:firstLine="1106"/>
        <w:spacing w:after="0" w:line="308" w:lineRule="auto"/>
        <w:tabs>
          <w:tab w:leader="none" w:pos="1781"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46" w:lineRule="exact"/>
        <w:rPr>
          <w:rFonts w:ascii="Arial" w:cs="Arial" w:eastAsia="Arial" w:hAnsi="Arial"/>
          <w:sz w:val="17"/>
          <w:szCs w:val="17"/>
          <w:color w:val="auto"/>
        </w:rPr>
      </w:pPr>
    </w:p>
    <w:p>
      <w:pPr>
        <w:ind w:left="2160" w:hanging="568"/>
        <w:spacing w:after="0"/>
        <w:tabs>
          <w:tab w:leader="none" w:pos="216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shall not be subject to any fiduciary or other implied duties, regardless of whether a Default has occurred and is continuing;</w:t>
      </w:r>
    </w:p>
    <w:p>
      <w:pPr>
        <w:spacing w:after="0" w:line="248" w:lineRule="exact"/>
        <w:rPr>
          <w:rFonts w:ascii="Arial" w:cs="Arial" w:eastAsia="Arial" w:hAnsi="Arial"/>
          <w:sz w:val="16"/>
          <w:szCs w:val="16"/>
          <w:color w:val="auto"/>
        </w:rPr>
      </w:pPr>
    </w:p>
    <w:p>
      <w:pPr>
        <w:jc w:val="both"/>
        <w:ind w:firstLine="1592"/>
        <w:spacing w:after="0" w:line="254" w:lineRule="auto"/>
        <w:tabs>
          <w:tab w:leader="none" w:pos="219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0" w:name="page161"/>
    <w:bookmarkEnd w:id="160"/>
    <w:p>
      <w:pPr>
        <w:jc w:val="both"/>
        <w:ind w:right="20" w:firstLine="1592"/>
        <w:spacing w:after="0" w:line="263" w:lineRule="auto"/>
        <w:tabs>
          <w:tab w:leader="none" w:pos="2227" w:val="left"/>
        </w:tabs>
        <w:numPr>
          <w:ilvl w:val="1"/>
          <w:numId w:val="172"/>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3" w:lineRule="exact"/>
        <w:rPr>
          <w:rFonts w:ascii="Arial" w:cs="Arial" w:eastAsia="Arial" w:hAnsi="Arial"/>
          <w:sz w:val="18"/>
          <w:szCs w:val="18"/>
          <w:color w:val="auto"/>
        </w:rPr>
      </w:pPr>
    </w:p>
    <w:p>
      <w:pPr>
        <w:jc w:val="both"/>
        <w:ind w:firstLine="1106"/>
        <w:spacing w:after="0" w:line="255" w:lineRule="auto"/>
        <w:tabs>
          <w:tab w:leader="none" w:pos="178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10.2</w:t>
      </w:r>
      <w:r>
        <w:rPr>
          <w:rFonts w:ascii="Arial" w:cs="Arial" w:eastAsia="Arial" w:hAnsi="Arial"/>
          <w:sz w:val="18"/>
          <w:szCs w:val="18"/>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to the Administrative Agent in writing by the Borrower, a Lender or the L/C Issuer.</w:t>
      </w:r>
    </w:p>
    <w:p>
      <w:pPr>
        <w:spacing w:after="0" w:line="192" w:lineRule="exact"/>
        <w:rPr>
          <w:rFonts w:ascii="Arial" w:cs="Arial" w:eastAsia="Arial" w:hAnsi="Arial"/>
          <w:sz w:val="18"/>
          <w:szCs w:val="18"/>
          <w:color w:val="auto"/>
        </w:rPr>
      </w:pPr>
    </w:p>
    <w:p>
      <w:pPr>
        <w:jc w:val="both"/>
        <w:ind w:firstLine="1106"/>
        <w:spacing w:after="0" w:line="293" w:lineRule="auto"/>
        <w:tabs>
          <w:tab w:leader="none" w:pos="1743"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The Administrative Agent shall not be responsible for or have any duty to ascertain or inquire into (i) any statement, warranty or representation made in or in connection with this Credit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Credit Agreement, any other Loan Document or any other agreement, instrument or document, or (v) the satisfaction of any condition set forth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or elsewhere herein, other than to confirm receipt of items expressly required to be delivered to the Administrative Agent.</w:t>
      </w:r>
    </w:p>
    <w:p>
      <w:pPr>
        <w:spacing w:after="0" w:line="164" w:lineRule="exact"/>
        <w:rPr>
          <w:rFonts w:ascii="Arial" w:cs="Arial" w:eastAsia="Arial" w:hAnsi="Arial"/>
          <w:sz w:val="16"/>
          <w:szCs w:val="16"/>
          <w:color w:val="auto"/>
        </w:rPr>
      </w:pPr>
    </w:p>
    <w:p>
      <w:pPr>
        <w:jc w:val="both"/>
        <w:ind w:firstLine="1106"/>
        <w:spacing w:after="0" w:line="263" w:lineRule="auto"/>
        <w:tabs>
          <w:tab w:leader="none" w:pos="172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 be responsible or have any liability for, or have any duty to investigate a violation or potential violation of an Environmental Law or a Release or threat of Release of a Hazardous Material pursuant to </w:t>
      </w:r>
      <w:r>
        <w:rPr>
          <w:rFonts w:ascii="Arial" w:cs="Arial" w:eastAsia="Arial" w:hAnsi="Arial"/>
          <w:sz w:val="18"/>
          <w:szCs w:val="18"/>
          <w:u w:val="single" w:color="auto"/>
          <w:color w:val="auto"/>
        </w:rPr>
        <w:t>Section 6.13</w:t>
      </w:r>
      <w:r>
        <w:rPr>
          <w:rFonts w:ascii="Arial" w:cs="Arial" w:eastAsia="Arial" w:hAnsi="Arial"/>
          <w:sz w:val="18"/>
          <w:szCs w:val="18"/>
          <w:color w:val="auto"/>
        </w:rPr>
        <w:t>, nor shall it have any liability for any action it takes or does not take in connection with any such investigation.</w:t>
      </w:r>
    </w:p>
    <w:p>
      <w:pPr>
        <w:spacing w:after="0" w:line="184"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Reliance by Administrative Agent</w:t>
      </w:r>
      <w:r>
        <w:rPr>
          <w:rFonts w:ascii="Arial" w:cs="Arial" w:eastAsia="Arial" w:hAnsi="Arial"/>
          <w:sz w:val="17"/>
          <w:szCs w:val="17"/>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5"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1" w:name="page162"/>
    <w:bookmarkEnd w:id="161"/>
    <w:p>
      <w:pPr>
        <w:ind w:left="460"/>
        <w:spacing w:after="0"/>
        <w:tabs>
          <w:tab w:leader="none" w:pos="156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u w:val="single" w:color="auto"/>
          <w:color w:val="auto"/>
        </w:rPr>
        <w:t>Resignation of Administrative Agent</w:t>
      </w:r>
      <w:r>
        <w:rPr>
          <w:rFonts w:ascii="Arial" w:cs="Arial" w:eastAsia="Arial" w:hAnsi="Arial"/>
          <w:sz w:val="16"/>
          <w:szCs w:val="16"/>
          <w:color w:val="auto"/>
        </w:rPr>
        <w:t>.</w:t>
      </w:r>
    </w:p>
    <w:p>
      <w:pPr>
        <w:spacing w:after="0" w:line="225" w:lineRule="exact"/>
        <w:rPr>
          <w:sz w:val="20"/>
          <w:szCs w:val="20"/>
          <w:color w:val="auto"/>
        </w:rPr>
      </w:pPr>
    </w:p>
    <w:p>
      <w:pPr>
        <w:jc w:val="both"/>
        <w:ind w:firstLine="1106"/>
        <w:spacing w:after="0" w:line="290" w:lineRule="auto"/>
        <w:tabs>
          <w:tab w:leader="none" w:pos="175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New York, New York, or an Affiliate of any such bank with an office in New York, New York.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xml:space="preserve">”), then the retiring Administrative Agent may (but shall not be obligated to), on behalf of the Lenders and the L/C Issuer, appoint a successor Administrative Agent 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65" w:lineRule="exact"/>
        <w:rPr>
          <w:rFonts w:ascii="Arial" w:cs="Arial" w:eastAsia="Arial" w:hAnsi="Arial"/>
          <w:sz w:val="16"/>
          <w:szCs w:val="16"/>
          <w:color w:val="auto"/>
        </w:rPr>
      </w:pPr>
    </w:p>
    <w:p>
      <w:pPr>
        <w:jc w:val="both"/>
        <w:ind w:firstLine="1106"/>
        <w:spacing w:after="0" w:line="275" w:lineRule="auto"/>
        <w:tabs>
          <w:tab w:leader="none" w:pos="1733"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7"/>
          <w:szCs w:val="17"/>
          <w:u w:val="single" w:color="auto"/>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76" w:lineRule="exact"/>
        <w:rPr>
          <w:rFonts w:ascii="Arial" w:cs="Arial" w:eastAsia="Arial" w:hAnsi="Arial"/>
          <w:sz w:val="17"/>
          <w:szCs w:val="17"/>
          <w:color w:val="auto"/>
        </w:rPr>
      </w:pPr>
    </w:p>
    <w:p>
      <w:pPr>
        <w:jc w:val="both"/>
        <w:ind w:firstLine="1106"/>
        <w:spacing w:after="0" w:line="268" w:lineRule="auto"/>
        <w:tabs>
          <w:tab w:leader="none" w:pos="191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2" w:name="page163"/>
    <w:bookmarkEnd w:id="162"/>
    <w:p>
      <w:pPr>
        <w:jc w:val="both"/>
        <w:ind w:firstLine="450"/>
        <w:spacing w:after="0" w:line="293" w:lineRule="auto"/>
        <w:rPr>
          <w:sz w:val="20"/>
          <w:szCs w:val="20"/>
          <w:color w:val="auto"/>
        </w:rPr>
      </w:pPr>
      <w:r>
        <w:rPr>
          <w:rFonts w:ascii="Arial" w:cs="Arial" w:eastAsia="Arial" w:hAnsi="Arial"/>
          <w:sz w:val="16"/>
          <w:szCs w:val="16"/>
          <w:color w:val="auto"/>
        </w:rPr>
        <w:t xml:space="preserve">Section 9.7 </w:t>
      </w:r>
      <w:r>
        <w:rPr>
          <w:rFonts w:ascii="Arial" w:cs="Arial" w:eastAsia="Arial" w:hAnsi="Arial"/>
          <w:sz w:val="16"/>
          <w:szCs w:val="16"/>
          <w:u w:val="single" w:color="auto"/>
          <w:color w:val="auto"/>
        </w:rPr>
        <w:t>Non-Reliance on Administrative Agent and Other Lenders</w:t>
      </w:r>
      <w:r>
        <w:rPr>
          <w:rFonts w:ascii="Arial" w:cs="Arial" w:eastAsia="Arial" w:hAnsi="Arial"/>
          <w:sz w:val="16"/>
          <w:szCs w:val="16"/>
          <w:color w:val="auto"/>
        </w:rPr>
        <w:t>. 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Credit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Credit Agreement, any other Loan Document or any related agreement or any document furnished hereunder or thereunder.</w:t>
      </w:r>
    </w:p>
    <w:p>
      <w:pPr>
        <w:spacing w:after="0" w:line="164"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 xml:space="preserve"> Anything herein to the contrary notwithstanding, none of the Lead Arrangers or any agent listed on the cover page hereof shall have any powers, duties or responsibilities under this Credit Agreement or any of the other Loan Documents, except in its capacity, as applicable, as the Administrative Agent, a Lender or the L/C Issuer hereunder.</w:t>
      </w:r>
    </w:p>
    <w:p>
      <w:pPr>
        <w:spacing w:after="0" w:line="184" w:lineRule="exact"/>
        <w:rPr>
          <w:sz w:val="20"/>
          <w:szCs w:val="20"/>
          <w:color w:val="auto"/>
        </w:rPr>
      </w:pPr>
    </w:p>
    <w:p>
      <w:pPr>
        <w:jc w:val="both"/>
        <w:ind w:firstLine="450"/>
        <w:spacing w:after="0" w:line="301" w:lineRule="auto"/>
        <w:rPr>
          <w:sz w:val="20"/>
          <w:szCs w:val="20"/>
          <w:color w:val="auto"/>
        </w:rPr>
      </w:pPr>
      <w:r>
        <w:rPr>
          <w:rFonts w:ascii="Arial" w:cs="Arial" w:eastAsia="Arial" w:hAnsi="Arial"/>
          <w:sz w:val="16"/>
          <w:szCs w:val="16"/>
          <w:color w:val="auto"/>
        </w:rPr>
        <w:t xml:space="preserve">Section 9.9 </w:t>
      </w:r>
      <w:r>
        <w:rPr>
          <w:rFonts w:ascii="Arial" w:cs="Arial" w:eastAsia="Arial" w:hAnsi="Arial"/>
          <w:sz w:val="16"/>
          <w:szCs w:val="16"/>
          <w:u w:val="single" w:color="auto"/>
          <w:color w:val="auto"/>
        </w:rPr>
        <w:t>Administrative Agent May File Proofs of Claim</w:t>
      </w:r>
      <w:r>
        <w:rPr>
          <w:rFonts w:ascii="Arial" w:cs="Arial" w:eastAsia="Arial" w:hAnsi="Arial"/>
          <w:sz w:val="16"/>
          <w:szCs w:val="16"/>
          <w:color w:val="auto"/>
        </w:rPr>
        <w:t>. In case of the pendency of any proceeding under any Debtor Relief Law or any other judicial proceeding relative to any Loan Party, the Administrative Agent (irrespective of whether the principal of any Loan or reimbursement for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57" w:lineRule="exact"/>
        <w:rPr>
          <w:sz w:val="20"/>
          <w:szCs w:val="20"/>
          <w:color w:val="auto"/>
        </w:rPr>
      </w:pPr>
    </w:p>
    <w:p>
      <w:pPr>
        <w:jc w:val="both"/>
        <w:ind w:firstLine="1106"/>
        <w:spacing w:after="0" w:line="275" w:lineRule="auto"/>
        <w:tabs>
          <w:tab w:leader="none" w:pos="1867"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the principal and interest owing and unpaid in respect of the Loans, L/C Obligations and all other Loan Document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7"/>
          <w:szCs w:val="17"/>
          <w:u w:val="single" w:color="auto"/>
          <w:color w:val="auto"/>
        </w:rPr>
        <w:t>Section 10.3</w:t>
      </w:r>
      <w:r>
        <w:rPr>
          <w:rFonts w:ascii="Arial" w:cs="Arial" w:eastAsia="Arial" w:hAnsi="Arial"/>
          <w:sz w:val="17"/>
          <w:szCs w:val="17"/>
          <w:color w:val="auto"/>
        </w:rPr>
        <w:t>) allowed in such judicial proceeding; and</w:t>
      </w:r>
    </w:p>
    <w:p>
      <w:pPr>
        <w:spacing w:after="0" w:line="176" w:lineRule="exact"/>
        <w:rPr>
          <w:rFonts w:ascii="Arial" w:cs="Arial" w:eastAsia="Arial" w:hAnsi="Arial"/>
          <w:sz w:val="17"/>
          <w:szCs w:val="17"/>
          <w:color w:val="auto"/>
        </w:rPr>
      </w:pPr>
    </w:p>
    <w:p>
      <w:pPr>
        <w:ind w:left="1680" w:hanging="574"/>
        <w:spacing w:after="0"/>
        <w:tabs>
          <w:tab w:leader="none" w:pos="168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88"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9.10</w:t>
      </w:r>
      <w:r>
        <w:rPr>
          <w:sz w:val="20"/>
          <w:szCs w:val="20"/>
          <w:color w:val="auto"/>
        </w:rPr>
        <w:tab/>
      </w:r>
      <w:r>
        <w:rPr>
          <w:rFonts w:ascii="Arial" w:cs="Arial" w:eastAsia="Arial" w:hAnsi="Arial"/>
          <w:sz w:val="16"/>
          <w:szCs w:val="16"/>
          <w:u w:val="single" w:color="auto"/>
          <w:color w:val="auto"/>
        </w:rPr>
        <w:t>Collateral and Guarantee Matters</w:t>
      </w:r>
      <w:r>
        <w:rPr>
          <w:rFonts w:ascii="Arial" w:cs="Arial" w:eastAsia="Arial" w:hAnsi="Arial"/>
          <w:sz w:val="16"/>
          <w:szCs w:val="16"/>
          <w:color w:val="auto"/>
        </w:rPr>
        <w:t>.</w:t>
      </w:r>
    </w:p>
    <w:p>
      <w:pPr>
        <w:spacing w:after="0" w:line="225" w:lineRule="exact"/>
        <w:rPr>
          <w:sz w:val="20"/>
          <w:szCs w:val="20"/>
          <w:color w:val="auto"/>
        </w:rPr>
      </w:pPr>
    </w:p>
    <w:p>
      <w:pPr>
        <w:ind w:left="1660" w:hanging="554"/>
        <w:spacing w:after="0"/>
        <w:tabs>
          <w:tab w:leader="none" w:pos="1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Secured Parties irrevocably authorize the Administrative Agent, at its option and in its discretion,</w:t>
      </w:r>
    </w:p>
    <w:p>
      <w:pPr>
        <w:spacing w:after="0" w:line="225" w:lineRule="exact"/>
        <w:rPr>
          <w:rFonts w:ascii="Arial" w:cs="Arial" w:eastAsia="Arial" w:hAnsi="Arial"/>
          <w:sz w:val="18"/>
          <w:szCs w:val="18"/>
          <w:color w:val="auto"/>
        </w:rPr>
      </w:pPr>
    </w:p>
    <w:p>
      <w:pPr>
        <w:jc w:val="both"/>
        <w:ind w:firstLine="1592"/>
        <w:spacing w:after="0" w:line="255" w:lineRule="auto"/>
        <w:tabs>
          <w:tab w:leader="none" w:pos="2276" w:val="left"/>
        </w:tabs>
        <w:numPr>
          <w:ilvl w:val="1"/>
          <w:numId w:val="176"/>
        </w:numPr>
        <w:rPr>
          <w:rFonts w:ascii="Arial" w:cs="Arial" w:eastAsia="Arial" w:hAnsi="Arial"/>
          <w:sz w:val="18"/>
          <w:szCs w:val="18"/>
          <w:color w:val="auto"/>
        </w:rPr>
      </w:pPr>
      <w:r>
        <w:rPr>
          <w:rFonts w:ascii="Arial" w:cs="Arial" w:eastAsia="Arial" w:hAnsi="Arial"/>
          <w:sz w:val="18"/>
          <w:szCs w:val="18"/>
          <w:color w:val="auto"/>
        </w:rPr>
        <w:t xml:space="preserve">to release any Lien on any property granted to or held by the Administrative Agent under any Loan Document (A) at the Termination Date, (B) that is sold or otherwise Disposed of or to be sold or otherwise Disposed of as part of or in connection with any sale or other Disposition permitted under the Loan Documents (including all of the Collateral of a Guarantor which is released from its obligations under the Loan Documents pursuant to clause (iii)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any sale or Disposition of all or substantially all of the Collateral or all or substantially all of the value of the Guarantees under the Guarantee Agreement shall be subject to </w:t>
      </w:r>
      <w:r>
        <w:rPr>
          <w:rFonts w:ascii="Arial" w:cs="Arial" w:eastAsia="Arial" w:hAnsi="Arial"/>
          <w:sz w:val="18"/>
          <w:szCs w:val="18"/>
          <w:u w:val="single" w:color="auto"/>
          <w:color w:val="auto"/>
        </w:rPr>
        <w:t>Section 10.2(b)</w:t>
      </w:r>
      <w:r>
        <w:rPr>
          <w:rFonts w:ascii="Arial" w:cs="Arial" w:eastAsia="Arial" w:hAnsi="Arial"/>
          <w:sz w:val="18"/>
          <w:szCs w:val="18"/>
          <w:color w:val="auto"/>
        </w:rPr>
        <w:t xml:space="preserve">, or (C) subject to </w:t>
      </w:r>
      <w:r>
        <w:rPr>
          <w:rFonts w:ascii="Arial" w:cs="Arial" w:eastAsia="Arial" w:hAnsi="Arial"/>
          <w:sz w:val="18"/>
          <w:szCs w:val="18"/>
          <w:u w:val="single" w:color="auto"/>
          <w:color w:val="auto"/>
        </w:rPr>
        <w:t>Section 10.2</w:t>
      </w:r>
      <w:r>
        <w:rPr>
          <w:rFonts w:ascii="Arial" w:cs="Arial" w:eastAsia="Arial" w:hAnsi="Arial"/>
          <w:sz w:val="18"/>
          <w:szCs w:val="18"/>
          <w:color w:val="auto"/>
        </w:rPr>
        <w:t>, if approved, authorized or ratified in writing by the Required Lenders;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3" w:name="page164"/>
    <w:bookmarkEnd w:id="163"/>
    <w:p>
      <w:pPr>
        <w:ind w:firstLine="1592"/>
        <w:spacing w:after="0" w:line="277" w:lineRule="auto"/>
        <w:tabs>
          <w:tab w:leader="none" w:pos="22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 7.2(d)</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firstLine="1592"/>
        <w:spacing w:after="0" w:line="263" w:lineRule="auto"/>
        <w:tabs>
          <w:tab w:leader="none" w:pos="220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to release any Guarantor from its obligations under the Loan Documents if such Person ceases to be a Subsidiary as a result of a transaction permitted under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release of all or substantially all of the Collateral or all or substantially all of the value of the Guarantees under the Guarantee Agreement shall be subject to </w:t>
      </w:r>
      <w:r>
        <w:rPr>
          <w:rFonts w:ascii="Arial" w:cs="Arial" w:eastAsia="Arial" w:hAnsi="Arial"/>
          <w:sz w:val="18"/>
          <w:szCs w:val="18"/>
          <w:u w:val="single" w:color="auto"/>
          <w:color w:val="auto"/>
        </w:rPr>
        <w:t>Section 10.2(b)</w:t>
      </w:r>
      <w:r>
        <w:rPr>
          <w:rFonts w:ascii="Arial" w:cs="Arial" w:eastAsia="Arial" w:hAnsi="Arial"/>
          <w:sz w:val="18"/>
          <w:szCs w:val="18"/>
          <w:color w:val="auto"/>
        </w:rPr>
        <w: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Loan Documents pursuant to this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84" w:lineRule="exact"/>
        <w:rPr>
          <w:sz w:val="20"/>
          <w:szCs w:val="20"/>
          <w:color w:val="auto"/>
        </w:rPr>
      </w:pPr>
    </w:p>
    <w:p>
      <w:pPr>
        <w:jc w:val="both"/>
        <w:ind w:firstLine="1106"/>
        <w:spacing w:after="0" w:line="259" w:lineRule="auto"/>
        <w:tabs>
          <w:tab w:leader="none" w:pos="178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7" w:lineRule="exact"/>
        <w:rPr>
          <w:sz w:val="20"/>
          <w:szCs w:val="20"/>
          <w:color w:val="auto"/>
        </w:rPr>
      </w:pPr>
    </w:p>
    <w:p>
      <w:pPr>
        <w:jc w:val="both"/>
        <w:ind w:firstLine="450"/>
        <w:spacing w:after="0" w:line="271"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Compliance with Flood Insurance Laws</w:t>
      </w:r>
      <w:r>
        <w:rPr>
          <w:rFonts w:ascii="Arial" w:cs="Arial" w:eastAsia="Arial" w:hAnsi="Arial"/>
          <w:sz w:val="17"/>
          <w:szCs w:val="17"/>
          <w:color w:val="auto"/>
        </w:rPr>
        <w:t>. The Administrative Agent has adopted internal policies and procedures that address requirements placed on federally regulated lenders under the Flood Insurance Laws and will post on the applicable electronic platform (or otherwise distribute to each Lender documents that it receives in connection with the Flood Insurance Laws (collectively, the “</w:t>
      </w:r>
      <w:r>
        <w:rPr>
          <w:rFonts w:ascii="Arial" w:cs="Arial" w:eastAsia="Arial" w:hAnsi="Arial"/>
          <w:sz w:val="17"/>
          <w:szCs w:val="17"/>
          <w:u w:val="single" w:color="auto"/>
          <w:color w:val="auto"/>
        </w:rPr>
        <w:t>Flood Documents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Administrative Agent makes no representation or warranty with respect to the adequacy of the Flood Documents or their compliance with the Flood Insurance Laws. Each Lender acknowledges and agrees that it is individually responsible for its own compliance with the Flood Insurance Laws and that it shall, independently and without reliance upon Administrative Agent or any other Lender and based on such documents and information as it shall from time to time deem appropriate, including the Flood Documents posted or distributed by the Administrative Agent, continue to do its own due diligence to ensure its compliance with the Flood Insurance Laws.</w:t>
      </w:r>
    </w:p>
    <w:p>
      <w:pPr>
        <w:spacing w:after="0" w:line="178"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Cash Management Obligations and Swap Agreement Obligations</w:t>
      </w:r>
      <w:r>
        <w:rPr>
          <w:rFonts w:ascii="Arial" w:cs="Arial" w:eastAsia="Arial" w:hAnsi="Arial"/>
          <w:sz w:val="17"/>
          <w:szCs w:val="17"/>
          <w:color w:val="auto"/>
        </w:rPr>
        <w:t xml:space="preserve">. Except as otherwise expressly set forth herein or in the Security Agreement, any other Collateral Document or any other Loan Document, no Person holding Cash Management Obligations or Swap Agreement Obligations that obtains the benefits of any Guarantee under the Guarantee Agreement or any Collateral by virtue of the provisions hereof or of any Loan Document shall have any right to notice of any action or to consent to, direct or object to any action hereunder or under any other Loan Document or otherwise in respect of the Collateral (including the release or impairment of any Collateral or amendment to any Loan Document (including any Collateral Document) other than in its capacity as a Lender or Administrative Agent and, in such case, only to the extent expressly provided in the Loan Documents. Notwithstanding any other provision of this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to the contrary, the Administrative Agent shall not be required to verify the payment of, or that other satisfactory arrangements have been made with respect to, Cash Management Obligations or Swap Agreement Obligations except to the extent expressly required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has received a Secured Obligation Designation Notice, together with such supporting documentation as the Administrative Agent may request, from the applicable Person holding such Secured Obligations. The Administrative Agent shall not be required to verify the payment of, or that other satisfactory arrangements have been made with respect to, Cash Management Obligations and Swap Agreement Obligations.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4" w:name="page165"/>
    <w:bookmarkEnd w:id="164"/>
    <w:p>
      <w:pPr>
        <w:ind w:left="460"/>
        <w:spacing w:after="0"/>
        <w:tabs>
          <w:tab w:leader="none" w:pos="1560" w:val="left"/>
        </w:tabs>
        <w:rPr>
          <w:sz w:val="20"/>
          <w:szCs w:val="20"/>
          <w:color w:val="auto"/>
        </w:rPr>
      </w:pPr>
      <w:r>
        <w:rPr>
          <w:rFonts w:ascii="Arial" w:cs="Arial" w:eastAsia="Arial" w:hAnsi="Arial"/>
          <w:sz w:val="18"/>
          <w:szCs w:val="18"/>
          <w:u w:val="single" w:color="auto"/>
          <w:color w:val="0000FF"/>
        </w:rPr>
        <w:t>Section 9.13</w:t>
      </w:r>
      <w:r>
        <w:rPr>
          <w:sz w:val="20"/>
          <w:szCs w:val="20"/>
          <w:color w:val="auto"/>
        </w:rPr>
        <w:tab/>
      </w:r>
      <w:r>
        <w:rPr>
          <w:rFonts w:ascii="Arial" w:cs="Arial" w:eastAsia="Arial" w:hAnsi="Arial"/>
          <w:sz w:val="16"/>
          <w:szCs w:val="16"/>
          <w:u w:val="single" w:color="auto"/>
          <w:color w:val="0000FF"/>
        </w:rPr>
        <w:t>Erroneous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wp:posOffset>
            </wp:positionV>
            <wp:extent cx="171450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5" w:lineRule="exact"/>
        <w:rPr>
          <w:sz w:val="20"/>
          <w:szCs w:val="20"/>
          <w:color w:val="auto"/>
        </w:rPr>
      </w:pPr>
    </w:p>
    <w:p>
      <w:pPr>
        <w:jc w:val="both"/>
        <w:ind w:firstLine="1106"/>
        <w:spacing w:after="0" w:line="267" w:lineRule="auto"/>
        <w:tabs>
          <w:tab w:leader="none" w:pos="1762" w:val="left"/>
        </w:tabs>
        <w:numPr>
          <w:ilvl w:val="0"/>
          <w:numId w:val="179"/>
        </w:numPr>
        <w:rPr>
          <w:rFonts w:ascii="Arial" w:cs="Arial" w:eastAsia="Arial" w:hAnsi="Arial"/>
          <w:sz w:val="17"/>
          <w:szCs w:val="17"/>
          <w:color w:val="0000FF"/>
        </w:rPr>
      </w:pPr>
      <w:r>
        <w:rPr>
          <w:rFonts w:ascii="Arial" w:cs="Arial" w:eastAsia="Arial" w:hAnsi="Arial"/>
          <w:sz w:val="17"/>
          <w:szCs w:val="17"/>
          <w:color w:val="0000FF"/>
        </w:rPr>
        <w:t xml:space="preserve">If Administrative Agent (x) notifies a Lender, L/C Issuer or Secured Party, or any Person who has received funds on behalf of a </w:t>
      </w:r>
      <w:r>
        <w:rPr>
          <w:rFonts w:ascii="Arial" w:cs="Arial" w:eastAsia="Arial" w:hAnsi="Arial"/>
          <w:sz w:val="17"/>
          <w:szCs w:val="17"/>
          <w:u w:val="single" w:color="auto"/>
          <w:color w:val="0000FF"/>
        </w:rPr>
        <w:t>Lender, L/C Issuer or Secured Party (any such Lender, L/C Issuer, Secured Party or other recipient (and each of their respective successors and assigns), a “Payment Recipient”) that Administrative Agent has determined in its sole discretion (whether or not after receipt of any notice under Section 9.13(b)) that any funds (as set forth in such notice from the Administrative Agent) received by such Payment Recipient from Administrative Agent or any of its Affiliates were erroneously or mistakenly transmitted to, or otherwise erroneously or mistakenly received by, such Payment Recipient (whether or not known to such Lender, L/C Issuer, Secured Party or other Payment Recipient on its behalf) (any such funds, whether transmitted or received as a payment, prepayment or repayment of principal, interest, fees, distribution or otherwise, individually and collectively, an “Erroneous Payment”) and (y) demands the return of such Erroneous Payment (or a portion thereof), such Erroneous Payment shall at all times remain the property of Administrative Agent pending its return or repayment as contemplated below in this Section 9.13 and held in trust for the benefit of Administrative Agent, and such Lender, L/C Issuer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Administrative Agent in same day funds at the greater of the Federal Funds Rate and a rate determined by Administrative Agent in accordance with banking industry rules on interbank compensation from time to time in effect. A notice of Administrative Agent to any Payment Recipient under this Section 9.13(a) shall be conclusive, absent manifest error.</w:t>
      </w:r>
    </w:p>
    <w:p>
      <w:pPr>
        <w:spacing w:after="0" w:line="191" w:lineRule="exact"/>
        <w:rPr>
          <w:rFonts w:ascii="Arial" w:cs="Arial" w:eastAsia="Arial" w:hAnsi="Arial"/>
          <w:sz w:val="17"/>
          <w:szCs w:val="17"/>
          <w:color w:val="0000FF"/>
        </w:rPr>
      </w:pPr>
    </w:p>
    <w:p>
      <w:pPr>
        <w:jc w:val="both"/>
        <w:ind w:firstLine="1106"/>
        <w:spacing w:after="0" w:line="254" w:lineRule="auto"/>
        <w:tabs>
          <w:tab w:leader="none" w:pos="1767" w:val="left"/>
        </w:tabs>
        <w:numPr>
          <w:ilvl w:val="0"/>
          <w:numId w:val="179"/>
        </w:numPr>
        <w:rPr>
          <w:rFonts w:ascii="Arial" w:cs="Arial" w:eastAsia="Arial" w:hAnsi="Arial"/>
          <w:sz w:val="18"/>
          <w:szCs w:val="18"/>
          <w:color w:val="0000FF"/>
        </w:rPr>
      </w:pPr>
      <w:r>
        <w:rPr>
          <w:rFonts w:ascii="Arial" w:cs="Arial" w:eastAsia="Arial" w:hAnsi="Arial"/>
          <w:sz w:val="18"/>
          <w:szCs w:val="18"/>
          <w:color w:val="0000FF"/>
        </w:rPr>
        <w:t xml:space="preserve">Without limiting the provisions of Section 9.13(a), each Payment Recipient (and each of their respective successors and assigns) </w:t>
      </w:r>
      <w:r>
        <w:rPr>
          <w:rFonts w:ascii="Arial" w:cs="Arial" w:eastAsia="Arial" w:hAnsi="Arial"/>
          <w:sz w:val="18"/>
          <w:szCs w:val="18"/>
          <w:u w:val="single" w:color="auto"/>
          <w:color w:val="0000FF"/>
        </w:rPr>
        <w:t>hereby further agrees that if it receives a payment, prepayment or repayment (whether received as a payment, prepayment or repayment of principal, interest, fees, distribution or otherwise) from Administrative Agent (or any of its Affiliates) (x) that is in a different amount than, or on a different date from, that specified in this Credit Agreement or in a notice of payment, prepayment or repayment sent by Administrative Agent (or any of its Affiliates) with respect to such payment, prepayment or repayment, (y) that was not preceded or accompanied by a notice of payment, prepayment or repayment sent by Administrative Agent (or any of its Affiliates), or (z) that such Payment Recipient otherwise becomes aware was transmitted, or received, in error or by mistake (in whole or in part), in each case:</w:t>
      </w:r>
    </w:p>
    <w:p>
      <w:pPr>
        <w:spacing w:after="0" w:line="194" w:lineRule="exact"/>
        <w:rPr>
          <w:rFonts w:ascii="Arial" w:cs="Arial" w:eastAsia="Arial" w:hAnsi="Arial"/>
          <w:sz w:val="18"/>
          <w:szCs w:val="18"/>
          <w:color w:val="0000FF"/>
        </w:rPr>
      </w:pPr>
    </w:p>
    <w:p>
      <w:pPr>
        <w:jc w:val="both"/>
        <w:ind w:firstLine="1592"/>
        <w:spacing w:after="0" w:line="263" w:lineRule="auto"/>
        <w:tabs>
          <w:tab w:leader="none" w:pos="2260" w:val="left"/>
        </w:tabs>
        <w:numPr>
          <w:ilvl w:val="1"/>
          <w:numId w:val="179"/>
        </w:numPr>
        <w:rPr>
          <w:rFonts w:ascii="Arial" w:cs="Arial" w:eastAsia="Arial" w:hAnsi="Arial"/>
          <w:sz w:val="18"/>
          <w:szCs w:val="18"/>
          <w:color w:val="0000FF"/>
        </w:rPr>
      </w:pPr>
      <w:r>
        <w:rPr>
          <w:rFonts w:ascii="Arial" w:cs="Arial" w:eastAsia="Arial" w:hAnsi="Arial"/>
          <w:sz w:val="18"/>
          <w:szCs w:val="18"/>
          <w:color w:val="0000FF"/>
        </w:rPr>
        <w:t xml:space="preserve">it acknowledges and agrees that (A) in the case of immediately preceding clauses (x) or (y), an error shall be presumed to </w:t>
      </w:r>
      <w:r>
        <w:rPr>
          <w:rFonts w:ascii="Arial" w:cs="Arial" w:eastAsia="Arial" w:hAnsi="Arial"/>
          <w:sz w:val="18"/>
          <w:szCs w:val="18"/>
          <w:u w:val="single" w:color="auto"/>
          <w:color w:val="0000FF"/>
        </w:rPr>
        <w:t>have been made (absent written confirmation from Administrative Agent to the contrary) or (B) in the case of immediately preceding clause (z), an error and mistake has been made, in each case, with respect to such payment, prepayment or repayment; and</w:t>
      </w:r>
    </w:p>
    <w:p>
      <w:pPr>
        <w:spacing w:after="0" w:line="183" w:lineRule="exact"/>
        <w:rPr>
          <w:rFonts w:ascii="Arial" w:cs="Arial" w:eastAsia="Arial" w:hAnsi="Arial"/>
          <w:sz w:val="18"/>
          <w:szCs w:val="18"/>
          <w:color w:val="0000FF"/>
        </w:rPr>
      </w:pPr>
    </w:p>
    <w:p>
      <w:pPr>
        <w:jc w:val="both"/>
        <w:ind w:firstLine="1592"/>
        <w:spacing w:after="0" w:line="255" w:lineRule="auto"/>
        <w:tabs>
          <w:tab w:leader="none" w:pos="2171" w:val="left"/>
        </w:tabs>
        <w:numPr>
          <w:ilvl w:val="1"/>
          <w:numId w:val="179"/>
        </w:numPr>
        <w:rPr>
          <w:rFonts w:ascii="Arial" w:cs="Arial" w:eastAsia="Arial" w:hAnsi="Arial"/>
          <w:sz w:val="18"/>
          <w:szCs w:val="18"/>
          <w:color w:val="0000FF"/>
        </w:rPr>
      </w:pPr>
      <w:r>
        <w:rPr>
          <w:rFonts w:ascii="Arial" w:cs="Arial" w:eastAsia="Arial" w:hAnsi="Arial"/>
          <w:sz w:val="18"/>
          <w:szCs w:val="18"/>
          <w:color w:val="0000FF"/>
        </w:rPr>
        <w:t xml:space="preserve">such Lender, L/C Issuer or Secured Party shall (and shall cause any other recipient that receives funds on its respective behalf </w:t>
      </w:r>
      <w:r>
        <w:rPr>
          <w:rFonts w:ascii="Arial" w:cs="Arial" w:eastAsia="Arial" w:hAnsi="Arial"/>
          <w:sz w:val="18"/>
          <w:szCs w:val="18"/>
          <w:u w:val="single" w:color="auto"/>
          <w:color w:val="0000FF"/>
        </w:rPr>
        <w:t>to) promptly (and, in all events, within one Business Day of its knowledge of the occurrence of any of the circumstances described in immediately preceding clauses (x), (y) and (z)) notify Administrative Agent of its receipt of such payment, prepayment or repayment, the details thereof (in reasonable detail) and that it is so notifying Administrative Agent pursuant to this Section 9.13(b). For the avoidance of doubt, the failure to deliver a notice to the Administrative Agent pursuant to this Section 9.13(b) shall not have any effect on a Payment Recipient’s obligations pursuant to Section 9.13(a) or on whether or not an Erroneous Payment has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-4814570</wp:posOffset>
            </wp:positionV>
            <wp:extent cx="642937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-4831715</wp:posOffset>
            </wp:positionV>
            <wp:extent cx="643001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4300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-4677410</wp:posOffset>
            </wp:positionV>
            <wp:extent cx="713232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-4540250</wp:posOffset>
            </wp:positionV>
            <wp:extent cx="712343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-4403090</wp:posOffset>
            </wp:positionV>
            <wp:extent cx="712343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-4265930</wp:posOffset>
            </wp:positionV>
            <wp:extent cx="712343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-4128770</wp:posOffset>
            </wp:positionV>
            <wp:extent cx="712343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-3991610</wp:posOffset>
            </wp:positionV>
            <wp:extent cx="712343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-3854450</wp:posOffset>
            </wp:positionV>
            <wp:extent cx="712343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-3717290</wp:posOffset>
            </wp:positionV>
            <wp:extent cx="713232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-3580130</wp:posOffset>
            </wp:positionV>
            <wp:extent cx="712343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-3442970</wp:posOffset>
            </wp:positionV>
            <wp:extent cx="712343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-3305810</wp:posOffset>
            </wp:positionV>
            <wp:extent cx="713232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-3168650</wp:posOffset>
            </wp:positionV>
            <wp:extent cx="712343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-3031490</wp:posOffset>
            </wp:positionV>
            <wp:extent cx="712343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-2894330</wp:posOffset>
            </wp:positionV>
            <wp:extent cx="713232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-2757170</wp:posOffset>
            </wp:positionV>
            <wp:extent cx="713232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-2620010</wp:posOffset>
            </wp:positionV>
            <wp:extent cx="264033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64033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-2345690</wp:posOffset>
            </wp:positionV>
            <wp:extent cx="642937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-2362835</wp:posOffset>
            </wp:positionV>
            <wp:extent cx="642747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42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-2208530</wp:posOffset>
            </wp:positionV>
            <wp:extent cx="713232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-2071370</wp:posOffset>
            </wp:positionV>
            <wp:extent cx="713232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-1934210</wp:posOffset>
            </wp:positionV>
            <wp:extent cx="712343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-1797050</wp:posOffset>
            </wp:positionV>
            <wp:extent cx="712343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-1659890</wp:posOffset>
            </wp:positionV>
            <wp:extent cx="713232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-1522730</wp:posOffset>
            </wp:positionV>
            <wp:extent cx="194564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94564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-1248410</wp:posOffset>
            </wp:positionV>
            <wp:extent cx="612902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129020" cy="8890"/>
                    </a:xfrm>
                    <a:prstGeom prst="rect">
                      <a:avLst/>
                    </a:prstGeom>
                    <a:noFill/>
                  </pic:spPr>
                </pic:pic>
              </a:graphicData>
            </a:graphic>
          </wp:anchor>
        </w:drawing>
        <w:drawing>
          <wp:anchor simplePos="0" relativeHeight="251657728" behindDoc="1" locked="0" layoutInCell="0" allowOverlap="1">
            <wp:simplePos x="0" y="0"/>
            <wp:positionH relativeFrom="column">
              <wp:posOffset>1010920</wp:posOffset>
            </wp:positionH>
            <wp:positionV relativeFrom="paragraph">
              <wp:posOffset>-1265555</wp:posOffset>
            </wp:positionV>
            <wp:extent cx="612457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124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-1111250</wp:posOffset>
            </wp:positionV>
            <wp:extent cx="712343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-974090</wp:posOffset>
            </wp:positionV>
            <wp:extent cx="470598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4705985"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-699770</wp:posOffset>
            </wp:positionV>
            <wp:extent cx="612902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1010920</wp:posOffset>
            </wp:positionH>
            <wp:positionV relativeFrom="paragraph">
              <wp:posOffset>-716915</wp:posOffset>
            </wp:positionV>
            <wp:extent cx="612648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1264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-562610</wp:posOffset>
            </wp:positionV>
            <wp:extent cx="713232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2343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24599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5" w:name="page166"/>
    <w:bookmarkEnd w:id="165"/>
    <w:p>
      <w:pPr>
        <w:jc w:val="both"/>
        <w:ind w:firstLine="1106"/>
        <w:spacing w:after="0" w:line="259" w:lineRule="auto"/>
        <w:tabs>
          <w:tab w:leader="none" w:pos="1725" w:val="left"/>
        </w:tabs>
        <w:numPr>
          <w:ilvl w:val="0"/>
          <w:numId w:val="180"/>
        </w:numPr>
        <w:rPr>
          <w:rFonts w:ascii="Arial" w:cs="Arial" w:eastAsia="Arial" w:hAnsi="Arial"/>
          <w:sz w:val="18"/>
          <w:szCs w:val="18"/>
          <w:color w:val="0000FF"/>
        </w:rPr>
      </w:pPr>
      <w:r>
        <w:rPr>
          <w:rFonts w:ascii="Arial" w:cs="Arial" w:eastAsia="Arial" w:hAnsi="Arial"/>
          <w:sz w:val="18"/>
          <w:szCs w:val="18"/>
          <w:color w:val="0000FF"/>
        </w:rPr>
        <w:t xml:space="preserve">Each Lender, L/C Issuer or Secured Party hereby authorizes Administrative Agent to set off, net and apply any and all amounts at </w:t>
      </w:r>
      <w:r>
        <w:rPr>
          <w:rFonts w:ascii="Arial" w:cs="Arial" w:eastAsia="Arial" w:hAnsi="Arial"/>
          <w:sz w:val="18"/>
          <w:szCs w:val="18"/>
          <w:u w:val="single" w:color="auto"/>
          <w:color w:val="0000FF"/>
        </w:rPr>
        <w:t>any time owing to such Lender, L/C Issuer or Secured Party under any Loan Document, or otherwise payable or distributable by Administrative Agent to such Lender, L/C Issuer or Secured Party under any Loan Document with respect to any payment of principal, interest, fees, or other amounts, against any amount that Administrative Agent has demanded to be returned under Section 9.13(a).</w:t>
      </w:r>
    </w:p>
    <w:p>
      <w:pPr>
        <w:spacing w:after="0" w:line="186" w:lineRule="exact"/>
        <w:rPr>
          <w:rFonts w:ascii="Arial" w:cs="Arial" w:eastAsia="Arial" w:hAnsi="Arial"/>
          <w:sz w:val="18"/>
          <w:szCs w:val="18"/>
          <w:color w:val="0000FF"/>
        </w:rPr>
      </w:pPr>
    </w:p>
    <w:p>
      <w:pPr>
        <w:jc w:val="both"/>
        <w:ind w:firstLine="1106"/>
        <w:spacing w:after="0" w:line="267" w:lineRule="auto"/>
        <w:tabs>
          <w:tab w:leader="none" w:pos="1826" w:val="left"/>
        </w:tabs>
        <w:numPr>
          <w:ilvl w:val="0"/>
          <w:numId w:val="180"/>
        </w:numPr>
        <w:rPr>
          <w:rFonts w:ascii="Arial" w:cs="Arial" w:eastAsia="Arial" w:hAnsi="Arial"/>
          <w:sz w:val="17"/>
          <w:szCs w:val="17"/>
          <w:color w:val="0000FF"/>
        </w:rPr>
      </w:pPr>
      <w:r>
        <w:rPr>
          <w:rFonts w:ascii="Arial" w:cs="Arial" w:eastAsia="Arial" w:hAnsi="Arial"/>
          <w:sz w:val="17"/>
          <w:szCs w:val="17"/>
          <w:color w:val="0000FF"/>
        </w:rPr>
        <w:t xml:space="preserve">(i) In the event that an Erroneous Payment (or portion thereof) is not recovered by Administrative Agent for any reason, after </w:t>
      </w:r>
      <w:r>
        <w:rPr>
          <w:rFonts w:ascii="Arial" w:cs="Arial" w:eastAsia="Arial" w:hAnsi="Arial"/>
          <w:sz w:val="17"/>
          <w:szCs w:val="17"/>
          <w:u w:val="single" w:color="auto"/>
          <w:color w:val="0000FF"/>
        </w:rPr>
        <w:t>demand therefor in accordance with Section 9.13(a), from any Lender that has received such Erroneous Payment (or portion thereof) (and/or from any Payment Recipient who received such Erroneous Payment (or portion thereof) on its respective behalf) (such unrecovered amount, an “Erroneous Payment Return Deficiency”), upon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“Erroneous Payment Impacted Class”) in an amount equal to the Erroneous Payment Return Deficiency (or such lesser amount as Administrative Agent may specify) (such assignment of the Loans (but not Commitments) of the Erroneous Payment Impacted Class, the “Erroneous Payment Deficiency Assignment”) (on a cashless basis and such amount calculated at par plus any accrued and unpaid interest (with the assignment fee to be waived by Administrative Agent in such instance), and is hereby (together with the Borrower) deemed to execute and deliver an Assignment and Assumption with respect to such Erroneous Payment Deficiency Assignment, and such Lender shall deliver any Notes evidencing such Loans to the Borrower or Administrative Agent (but the failure of such Person to deliver any such Notes shall not affect the effectiveness of the foregoing assignment), (B) Administrative Agent as the assignee Lender shall be deemed to have acquired the Erroneous Payment Deficiency Assignment, (C) upon such deemed acquisition,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Credit Agreement and its applicable Commitments which shall survive as to such assigning Lender, (D) Administrative Agent and the Borrower shall be deemed to have waived any consents required under this Credit Agreement to any such Erroneous Payment Deficiency Assignment, and (E) Administrative Agent may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Credit Agreement.</w:t>
      </w:r>
    </w:p>
    <w:p>
      <w:pPr>
        <w:spacing w:after="0" w:line="186" w:lineRule="exact"/>
        <w:rPr>
          <w:rFonts w:ascii="Arial" w:cs="Arial" w:eastAsia="Arial" w:hAnsi="Arial"/>
          <w:sz w:val="17"/>
          <w:szCs w:val="17"/>
          <w:color w:val="0000FF"/>
        </w:rPr>
      </w:pPr>
    </w:p>
    <w:p>
      <w:pPr>
        <w:jc w:val="both"/>
        <w:ind w:firstLine="1592"/>
        <w:spacing w:after="0" w:line="271" w:lineRule="auto"/>
        <w:tabs>
          <w:tab w:leader="none" w:pos="2462" w:val="left"/>
        </w:tabs>
        <w:numPr>
          <w:ilvl w:val="1"/>
          <w:numId w:val="180"/>
        </w:numPr>
        <w:rPr>
          <w:rFonts w:ascii="Arial" w:cs="Arial" w:eastAsia="Arial" w:hAnsi="Arial"/>
          <w:sz w:val="17"/>
          <w:szCs w:val="17"/>
          <w:color w:val="0000FF"/>
        </w:rPr>
      </w:pPr>
      <w:r>
        <w:rPr>
          <w:rFonts w:ascii="Arial" w:cs="Arial" w:eastAsia="Arial" w:hAnsi="Arial"/>
          <w:sz w:val="17"/>
          <w:szCs w:val="17"/>
          <w:color w:val="0000FF"/>
        </w:rPr>
        <w:t xml:space="preserve">Administrative Agent may, in its discretion, sell any Loans acquired pursuant to an Erroneous Payment Deficiency </w:t>
      </w:r>
      <w:r>
        <w:rPr>
          <w:rFonts w:ascii="Arial" w:cs="Arial" w:eastAsia="Arial" w:hAnsi="Arial"/>
          <w:sz w:val="17"/>
          <w:szCs w:val="17"/>
          <w:u w:val="single" w:color="auto"/>
          <w:color w:val="0000FF"/>
        </w:rPr>
        <w:t>Assignment and upon receipt of the proceeds of such sale, the Erroneous Payment Return Deficiency owing by the applicable Lender shall be reduced by the net proceeds of the sale of such Loan (or portion thereof), and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Administrative Agent on or with respect to any such Loans acquired from such Lender pursuant to an Erroneous Payment Deficiency Assignment (to the extent that any such Loans are then owned by Administrative Agent) and (y) may in the sole discretion of Administrative Agent be reduced by any amount specified by Administrative Agent in writing to the applicable Lender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-4549140</wp:posOffset>
            </wp:positionV>
            <wp:extent cx="643763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-4566285</wp:posOffset>
            </wp:positionV>
            <wp:extent cx="643255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4325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-4411980</wp:posOffset>
            </wp:positionV>
            <wp:extent cx="712343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-4274820</wp:posOffset>
            </wp:positionV>
            <wp:extent cx="712343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-4137660</wp:posOffset>
            </wp:positionV>
            <wp:extent cx="395160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9516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-3863340</wp:posOffset>
            </wp:positionV>
            <wp:extent cx="643763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-3880485</wp:posOffset>
            </wp:positionV>
            <wp:extent cx="643382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4338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-3726180</wp:posOffset>
            </wp:positionV>
            <wp:extent cx="712343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-3589020</wp:posOffset>
            </wp:positionV>
            <wp:extent cx="713232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-3451860</wp:posOffset>
            </wp:positionV>
            <wp:extent cx="713232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-3314700</wp:posOffset>
            </wp:positionV>
            <wp:extent cx="713232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-3177540</wp:posOffset>
            </wp:positionV>
            <wp:extent cx="712343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-3040380</wp:posOffset>
            </wp:positionV>
            <wp:extent cx="712343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-2903220</wp:posOffset>
            </wp:positionV>
            <wp:extent cx="713232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-2766060</wp:posOffset>
            </wp:positionV>
            <wp:extent cx="713232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-2628900</wp:posOffset>
            </wp:positionV>
            <wp:extent cx="713232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-2491740</wp:posOffset>
            </wp:positionV>
            <wp:extent cx="712343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-2354580</wp:posOffset>
            </wp:positionV>
            <wp:extent cx="713232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-2217420</wp:posOffset>
            </wp:positionV>
            <wp:extent cx="712343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-2080260</wp:posOffset>
            </wp:positionV>
            <wp:extent cx="712343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-1943100</wp:posOffset>
            </wp:positionV>
            <wp:extent cx="712343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-1805940</wp:posOffset>
            </wp:positionV>
            <wp:extent cx="712343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-1668780</wp:posOffset>
            </wp:positionV>
            <wp:extent cx="713232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-1531620</wp:posOffset>
            </wp:positionV>
            <wp:extent cx="713232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-1394460</wp:posOffset>
            </wp:positionV>
            <wp:extent cx="713232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-1257300</wp:posOffset>
            </wp:positionV>
            <wp:extent cx="84836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-982980</wp:posOffset>
            </wp:positionV>
            <wp:extent cx="612902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1010920</wp:posOffset>
            </wp:positionH>
            <wp:positionV relativeFrom="paragraph">
              <wp:posOffset>-1000125</wp:posOffset>
            </wp:positionV>
            <wp:extent cx="612330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1233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-845820</wp:posOffset>
            </wp:positionV>
            <wp:extent cx="713232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712343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2343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2343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558927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589270" cy="889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6" w:name="page167"/>
    <w:bookmarkEnd w:id="166"/>
    <w:p>
      <w:pPr>
        <w:jc w:val="both"/>
        <w:ind w:firstLine="1106"/>
        <w:spacing w:after="0" w:line="268" w:lineRule="auto"/>
        <w:tabs>
          <w:tab w:leader="none" w:pos="1869" w:val="left"/>
        </w:tabs>
        <w:numPr>
          <w:ilvl w:val="0"/>
          <w:numId w:val="181"/>
        </w:numPr>
        <w:rPr>
          <w:rFonts w:ascii="Arial" w:cs="Arial" w:eastAsia="Arial" w:hAnsi="Arial"/>
          <w:sz w:val="17"/>
          <w:szCs w:val="17"/>
          <w:color w:val="0000FF"/>
        </w:rPr>
      </w:pPr>
      <w:r>
        <w:rPr>
          <w:rFonts w:ascii="Arial" w:cs="Arial" w:eastAsia="Arial" w:hAnsi="Arial"/>
          <w:sz w:val="17"/>
          <w:szCs w:val="17"/>
          <w:color w:val="0000FF"/>
        </w:rPr>
        <w:t xml:space="preserve">The parties hereto agree (x) irrespective of whether Administrative Agent may be equitably subrogated, in the event that an </w:t>
      </w:r>
      <w:r>
        <w:rPr>
          <w:rFonts w:ascii="Arial" w:cs="Arial" w:eastAsia="Arial" w:hAnsi="Arial"/>
          <w:sz w:val="17"/>
          <w:szCs w:val="17"/>
          <w:u w:val="single" w:color="auto"/>
          <w:color w:val="0000FF"/>
        </w:rPr>
        <w:t>Erroneous Payment (or portion thereof) is not recovered from any Payment Recipient that has received such Erroneous Payment (or portion thereof) for any reason, Administrative Agent shall be subrogated to all the rights and interests of such Payment Recipient (and, in the case of any Payment Recipient who has received funds on behalf of a Lender, L/C Issuer or Secured Party, to the rights and interests of such Lender, L/C Issuer or Secured Party, as the case may be) under the Loan Documents with respect to such amount (the “Erroneous Payment Subrogation Rights”) (provided that the Loan Parties’ Secured Obligations under the Loan Documents in respect of the Erroneous Payment Subrogation Rights shall not be duplicative of such Secured Obligations in respect of Loans that have been assigned to Administrative Agent under an Erroneous Payment Deficiency Assignment) and (y) that an Erroneous Payment shall not pay, prepay, repay, discharge or otherwise satisfy any Secured Obligations owed by the Borrower or any other Loan Party; provided that this Section 9.13 shall not be interpreted to increase (or accelerate the due date for) the Obligations of the Borrower relative to the amount (and/or timing for payment) of the Obligations that would have been payable had such Erroneous Payment not been made by Administrative Agent; provided, further, that for the avoidance of doubt, immediately preceding clauses (x) and (y) shall not apply to the extent any such Erroneous Payment is, and solely with respect to the amount of such Erroneous Payment that is, comprised of funds received by Administrative Agent from the Borrower for the purpose of making such Erroneous Payment.</w:t>
      </w:r>
    </w:p>
    <w:p>
      <w:pPr>
        <w:spacing w:after="0" w:line="186" w:lineRule="exact"/>
        <w:rPr>
          <w:rFonts w:ascii="Arial" w:cs="Arial" w:eastAsia="Arial" w:hAnsi="Arial"/>
          <w:sz w:val="17"/>
          <w:szCs w:val="17"/>
          <w:color w:val="0000FF"/>
        </w:rPr>
      </w:pPr>
    </w:p>
    <w:p>
      <w:pPr>
        <w:jc w:val="both"/>
        <w:ind w:firstLine="1106"/>
        <w:spacing w:after="0" w:line="259" w:lineRule="auto"/>
        <w:tabs>
          <w:tab w:leader="none" w:pos="1645" w:val="left"/>
        </w:tabs>
        <w:numPr>
          <w:ilvl w:val="0"/>
          <w:numId w:val="181"/>
        </w:numPr>
        <w:rPr>
          <w:rFonts w:ascii="Arial" w:cs="Arial" w:eastAsia="Arial" w:hAnsi="Arial"/>
          <w:sz w:val="18"/>
          <w:szCs w:val="18"/>
          <w:color w:val="0000FF"/>
        </w:rPr>
      </w:pPr>
      <w:r>
        <w:rPr>
          <w:rFonts w:ascii="Arial" w:cs="Arial" w:eastAsia="Arial" w:hAnsi="Arial"/>
          <w:sz w:val="18"/>
          <w:szCs w:val="18"/>
          <w:color w:val="0000FF"/>
        </w:rPr>
        <w:t xml:space="preserve">To the extent permitted by applicable law, no Payment Recipient shall assert any right or claim to an Erroneous Payment, and hereby </w:t>
      </w:r>
      <w:r>
        <w:rPr>
          <w:rFonts w:ascii="Arial" w:cs="Arial" w:eastAsia="Arial" w:hAnsi="Arial"/>
          <w:sz w:val="18"/>
          <w:szCs w:val="18"/>
          <w:u w:val="single" w:color="auto"/>
          <w:color w:val="0000FF"/>
        </w:rPr>
        <w:t>waives, and is deemed to waive, any claim, counterclaim, defense or right of set-off or recoupment with respect to any demand, claim or counterclaim by Administrative Agent for the return of any Erroneous Payment received, including without limitation any defense based on “discharge for value” or any similar doctrine.</w:t>
      </w:r>
    </w:p>
    <w:p>
      <w:pPr>
        <w:spacing w:after="0" w:line="186" w:lineRule="exact"/>
        <w:rPr>
          <w:rFonts w:ascii="Arial" w:cs="Arial" w:eastAsia="Arial" w:hAnsi="Arial"/>
          <w:sz w:val="18"/>
          <w:szCs w:val="18"/>
          <w:color w:val="0000FF"/>
        </w:rPr>
      </w:pPr>
    </w:p>
    <w:p>
      <w:pPr>
        <w:jc w:val="both"/>
        <w:ind w:firstLine="1106"/>
        <w:spacing w:after="0" w:line="263" w:lineRule="auto"/>
        <w:tabs>
          <w:tab w:leader="none" w:pos="1974" w:val="left"/>
        </w:tabs>
        <w:numPr>
          <w:ilvl w:val="0"/>
          <w:numId w:val="181"/>
        </w:numPr>
        <w:rPr>
          <w:rFonts w:ascii="Arial" w:cs="Arial" w:eastAsia="Arial" w:hAnsi="Arial"/>
          <w:sz w:val="18"/>
          <w:szCs w:val="18"/>
          <w:color w:val="0000FF"/>
        </w:rPr>
      </w:pPr>
      <w:r>
        <w:rPr>
          <w:rFonts w:ascii="Arial" w:cs="Arial" w:eastAsia="Arial" w:hAnsi="Arial"/>
          <w:sz w:val="18"/>
          <w:szCs w:val="18"/>
          <w:color w:val="0000FF"/>
        </w:rPr>
        <w:t xml:space="preserve">Each party’s obligations, agreements and waivers under this Section 9.13 shall survive the resignation or replacement of </w:t>
      </w:r>
      <w:r>
        <w:rPr>
          <w:rFonts w:ascii="Arial" w:cs="Arial" w:eastAsia="Arial" w:hAnsi="Arial"/>
          <w:sz w:val="18"/>
          <w:szCs w:val="18"/>
          <w:u w:val="single" w:color="auto"/>
          <w:color w:val="0000FF"/>
        </w:rPr>
        <w:t>Administrative Agent, any transfer of rights or obligations by, or the replacement of, a Lender or L/C Issuer, the termination of the Commitments and/or the repayment, satisfaction or discharge of all Secured Obligations (or any portion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-2900045</wp:posOffset>
            </wp:positionV>
            <wp:extent cx="642937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-2917190</wp:posOffset>
            </wp:positionV>
            <wp:extent cx="643001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4300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-2762885</wp:posOffset>
            </wp:positionV>
            <wp:extent cx="713232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-2625725</wp:posOffset>
            </wp:positionV>
            <wp:extent cx="713232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-2488565</wp:posOffset>
            </wp:positionV>
            <wp:extent cx="712343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-2351405</wp:posOffset>
            </wp:positionV>
            <wp:extent cx="712343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-2214245</wp:posOffset>
            </wp:positionV>
            <wp:extent cx="713232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-2077085</wp:posOffset>
            </wp:positionV>
            <wp:extent cx="712343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-1939925</wp:posOffset>
            </wp:positionV>
            <wp:extent cx="712343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-1802765</wp:posOffset>
            </wp:positionV>
            <wp:extent cx="713232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-1665605</wp:posOffset>
            </wp:positionV>
            <wp:extent cx="712343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-1528445</wp:posOffset>
            </wp:positionV>
            <wp:extent cx="713232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-1391285</wp:posOffset>
            </wp:positionV>
            <wp:extent cx="712343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-1254125</wp:posOffset>
            </wp:positionV>
            <wp:extent cx="92583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-979805</wp:posOffset>
            </wp:positionV>
            <wp:extent cx="643763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-996950</wp:posOffset>
            </wp:positionV>
            <wp:extent cx="643318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433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-842645</wp:posOffset>
            </wp:positionV>
            <wp:extent cx="712343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-705485</wp:posOffset>
            </wp:positionV>
            <wp:extent cx="712343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454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-294005</wp:posOffset>
            </wp:positionV>
            <wp:extent cx="643763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-311150</wp:posOffset>
            </wp:positionV>
            <wp:extent cx="643382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4338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2343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400304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16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jc w:val="both"/>
        <w:ind w:firstLine="1106"/>
        <w:spacing w:after="0" w:line="263" w:lineRule="auto"/>
        <w:tabs>
          <w:tab w:leader="none" w:pos="1792"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as follows:</w:t>
      </w:r>
    </w:p>
    <w:p>
      <w:pPr>
        <w:spacing w:after="0" w:line="183" w:lineRule="exact"/>
        <w:rPr>
          <w:rFonts w:ascii="Arial" w:cs="Arial" w:eastAsia="Arial" w:hAnsi="Arial"/>
          <w:sz w:val="18"/>
          <w:szCs w:val="18"/>
          <w:color w:val="auto"/>
        </w:rPr>
      </w:pPr>
    </w:p>
    <w:p>
      <w:pPr>
        <w:ind w:left="2180" w:hanging="588"/>
        <w:spacing w:after="0"/>
        <w:tabs>
          <w:tab w:leader="none" w:pos="218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if to any Loan Party, c/o Harvard Bioscience, Inc., 84 October Hill Road, Holliston, MA 01746, Attention: Michael A. Rossi,</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Chief Financial Officer;</w:t>
      </w:r>
    </w:p>
    <w:p>
      <w:pPr>
        <w:spacing w:after="0" w:line="210" w:lineRule="exact"/>
        <w:rPr>
          <w:rFonts w:ascii="Arial" w:cs="Arial" w:eastAsia="Arial" w:hAnsi="Arial"/>
          <w:sz w:val="16"/>
          <w:szCs w:val="16"/>
          <w:color w:val="auto"/>
        </w:rPr>
      </w:pPr>
    </w:p>
    <w:p>
      <w:pPr>
        <w:ind w:firstLine="1592"/>
        <w:spacing w:after="0" w:line="277" w:lineRule="auto"/>
        <w:tabs>
          <w:tab w:leader="none" w:pos="22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 xml:space="preserve">the Administrative Agent, the L/C Issuer or the Swingline Lender, to the address, facsimile number, electronic mail address or telephone number specified for such Person on </w:t>
      </w:r>
      <w:r>
        <w:rPr>
          <w:rFonts w:ascii="Arial" w:cs="Arial" w:eastAsia="Arial" w:hAnsi="Arial"/>
          <w:sz w:val="18"/>
          <w:szCs w:val="18"/>
          <w:u w:val="single" w:color="auto"/>
          <w:color w:val="auto"/>
        </w:rPr>
        <w:t>Schedule 10.1</w:t>
      </w:r>
      <w:r>
        <w:rPr>
          <w:rFonts w:ascii="Arial" w:cs="Arial" w:eastAsia="Arial" w:hAnsi="Arial"/>
          <w:sz w:val="18"/>
          <w:szCs w:val="18"/>
          <w:color w:val="auto"/>
        </w:rPr>
        <w:t>;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7" w:name="page168"/>
    <w:bookmarkEnd w:id="167"/>
    <w:p>
      <w:pPr>
        <w:ind w:left="2320" w:hanging="728"/>
        <w:spacing w:after="0"/>
        <w:tabs>
          <w:tab w:leader="none" w:pos="232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if to any other Credit Party, the address, facsimile number, electronic mail address or telephone number specified in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Administrative Questionnaire.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Notices sent by hand or overnight courier service shall be deemed to have been given when received. Notices delivered through electronic communications to the extent provided in paragraph (b) below, shall be effective as provided in said paragraph (b).</w:t>
      </w:r>
    </w:p>
    <w:p>
      <w:pPr>
        <w:spacing w:after="0" w:line="170" w:lineRule="exact"/>
        <w:rPr>
          <w:sz w:val="20"/>
          <w:szCs w:val="20"/>
          <w:color w:val="auto"/>
        </w:rPr>
      </w:pPr>
    </w:p>
    <w:p>
      <w:pPr>
        <w:jc w:val="both"/>
        <w:ind w:firstLine="1106"/>
        <w:spacing w:after="0" w:line="259" w:lineRule="auto"/>
        <w:tabs>
          <w:tab w:leader="none" w:pos="2018"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Credit Party pursuant to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if such Credit Party has notified the Administrative Agent that it is incapable of receiving notices under such Article by electronic communication.</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of transmission to the intended recipient (such as by the “delivery receipt requested” function, return e-mail, confirmation of system-generated posting notices by a Platform or other written acknowledgement) and (ii) notices or communications posted to a Platform or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both clauses (i) and (ii) above, if such notice or other communication is not sent during the normal business hours of the recipient, such notice or communication shall be deemed to have been sent at the opening of business on the next Business Day for the recipient. Notwithstanding anything to the contrary herein, borrowing requests and other notices to Administrative Agent sent by email or posted to a Platform or an Internet or intranet website shall only be effective against Administrative Agent if receipt of such transmission is affirmatively acknowledged by Administrative Agent.</w:t>
      </w:r>
    </w:p>
    <w:p>
      <w:pPr>
        <w:spacing w:after="0" w:line="166" w:lineRule="exact"/>
        <w:rPr>
          <w:sz w:val="20"/>
          <w:szCs w:val="20"/>
          <w:color w:val="auto"/>
        </w:rPr>
      </w:pPr>
    </w:p>
    <w:p>
      <w:pPr>
        <w:ind w:left="1700" w:hanging="594"/>
        <w:spacing w:after="0"/>
        <w:tabs>
          <w:tab w:leader="none" w:pos="1700"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Any party hereto may change its address for notices and other communications hereunder by notice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parties hereto.</w:t>
      </w:r>
    </w:p>
    <w:p>
      <w:pPr>
        <w:spacing w:after="0" w:line="210" w:lineRule="exact"/>
        <w:rPr>
          <w:rFonts w:ascii="Arial" w:cs="Arial" w:eastAsia="Arial" w:hAnsi="Arial"/>
          <w:sz w:val="16"/>
          <w:szCs w:val="16"/>
          <w:color w:val="auto"/>
        </w:rPr>
      </w:pPr>
    </w:p>
    <w:p>
      <w:pPr>
        <w:ind w:left="1680" w:hanging="574"/>
        <w:spacing w:after="0"/>
        <w:tabs>
          <w:tab w:leader="none" w:pos="168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92"/>
        <w:spacing w:after="0" w:line="301" w:lineRule="auto"/>
        <w:tabs>
          <w:tab w:leader="none" w:pos="2168"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The Borrower agrees that the Administrative Agent may, but shall not be obligated to, make the Communications available to the L/C Issuer and the other Lenders by posting the Communications on the Platform and that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Loan Parties or their Affiliates, or the respective securities of any of the foregoing, and who may be engaged in investment and other market-related activities with respect to such Persons’ securities.</w:t>
      </w:r>
    </w:p>
    <w:p>
      <w:pPr>
        <w:spacing w:after="0" w:line="157" w:lineRule="exact"/>
        <w:rPr>
          <w:rFonts w:ascii="Arial" w:cs="Arial" w:eastAsia="Arial" w:hAnsi="Arial"/>
          <w:sz w:val="16"/>
          <w:szCs w:val="16"/>
          <w:color w:val="auto"/>
        </w:rPr>
      </w:pPr>
    </w:p>
    <w:p>
      <w:pPr>
        <w:jc w:val="both"/>
        <w:ind w:firstLine="1592"/>
        <w:spacing w:after="0" w:line="269" w:lineRule="auto"/>
        <w:tabs>
          <w:tab w:leader="none" w:pos="2268" w:val="left"/>
        </w:tabs>
        <w:numPr>
          <w:ilvl w:val="1"/>
          <w:numId w:val="185"/>
        </w:numPr>
        <w:rPr>
          <w:rFonts w:ascii="Arial" w:cs="Arial" w:eastAsia="Arial" w:hAnsi="Arial"/>
          <w:sz w:val="17"/>
          <w:szCs w:val="17"/>
          <w:color w:val="auto"/>
        </w:rPr>
      </w:pPr>
      <w:r>
        <w:rPr>
          <w:rFonts w:ascii="Arial" w:cs="Arial" w:eastAsia="Arial" w:hAnsi="Arial"/>
          <w:sz w:val="17"/>
          <w:szCs w:val="17"/>
          <w:color w:val="auto"/>
        </w:rPr>
        <w:t>The Borrower hereby acknowledges hereby agrees that so long as any Loan Party is the issuer of any outstanding debt or equity securities that are registered or issued pursuant to a private offering or is actively contemplating issuing any such securities it will use commercially reasonable efforts to identify that portion of the Communications that may be distributed to the Public Lenders and that: (A) all such Communications (i) shall be clearly and conspicuously marked “PUBLIC” which, at a minimum, means that the word “PUBLIC” shall appear prominently on the first page thereof; (B) by marking such Communications (ii) “PUBLIC,” the Borrower shall be deemed to have authorized the Administrative Agent, Lead Arrangers and the Lenders to treat such Communications as not containing any material non-public information (although it may be sensitive and proprietary) with respect to any Loan Party or its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Communications constitute Information, they shall be treated as set forth in </w:t>
      </w:r>
      <w:r>
        <w:rPr>
          <w:rFonts w:ascii="Arial" w:cs="Arial" w:eastAsia="Arial" w:hAnsi="Arial"/>
          <w:sz w:val="17"/>
          <w:szCs w:val="17"/>
          <w:u w:val="single" w:color="auto"/>
          <w:color w:val="auto"/>
        </w:rPr>
        <w:t>Section 10.14</w:t>
      </w:r>
      <w:r>
        <w:rPr>
          <w:rFonts w:ascii="Arial" w:cs="Arial" w:eastAsia="Arial" w:hAnsi="Arial"/>
          <w:sz w:val="17"/>
          <w:szCs w:val="17"/>
          <w:color w:val="auto"/>
        </w:rPr>
        <w:t>); (C) all Communications marked “PUBLIC” are permitted to be made available through a portion of the Platform designated “Public Side Information”; and (D) the Administrative Agent and the Lead Arrangers shall be entitled to treat any Communications that are not marked “PUBLIC” as being suitable only for posting on a portion of the Platform not designated “Public Side Information”.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8" w:name="page169"/>
    <w:bookmarkEnd w:id="168"/>
    <w:p>
      <w:pPr>
        <w:jc w:val="both"/>
        <w:ind w:firstLine="1592"/>
        <w:spacing w:after="0" w:line="272" w:lineRule="auto"/>
        <w:tabs>
          <w:tab w:leader="none" w:pos="2172"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have any liability to the Borrower or the other Loan Parties, any Lender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Platform.</w:t>
      </w:r>
    </w:p>
    <w:p>
      <w:pPr>
        <w:spacing w:after="0" w:line="177"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Waivers; Amendments</w:t>
      </w:r>
      <w:r>
        <w:rPr>
          <w:rFonts w:ascii="Arial" w:cs="Arial" w:eastAsia="Arial" w:hAnsi="Arial"/>
          <w:sz w:val="16"/>
          <w:szCs w:val="16"/>
          <w:color w:val="auto"/>
        </w:rPr>
        <w:t>.</w:t>
      </w:r>
    </w:p>
    <w:p>
      <w:pPr>
        <w:spacing w:after="0" w:line="225" w:lineRule="exact"/>
        <w:rPr>
          <w:sz w:val="20"/>
          <w:szCs w:val="20"/>
          <w:color w:val="auto"/>
        </w:rPr>
      </w:pPr>
    </w:p>
    <w:p>
      <w:pPr>
        <w:jc w:val="both"/>
        <w:ind w:firstLine="1106"/>
        <w:spacing w:after="0" w:line="271" w:lineRule="auto"/>
        <w:tabs>
          <w:tab w:leader="none" w:pos="1664" w:val="left"/>
        </w:tabs>
        <w:numPr>
          <w:ilvl w:val="0"/>
          <w:numId w:val="187"/>
        </w:numPr>
        <w:rPr>
          <w:rFonts w:ascii="Arial" w:cs="Arial" w:eastAsia="Arial" w:hAnsi="Arial"/>
          <w:sz w:val="17"/>
          <w:szCs w:val="17"/>
          <w:color w:val="auto"/>
        </w:rPr>
      </w:pPr>
      <w:r>
        <w:rPr>
          <w:rFonts w:ascii="Arial" w:cs="Arial" w:eastAsia="Arial" w:hAnsi="Arial"/>
          <w:sz w:val="17"/>
          <w:szCs w:val="17"/>
          <w:color w:val="auto"/>
        </w:rPr>
        <w:t>No failure or delay by any Credit Party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Credit Parties under the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and/or the issuance, amendment, extension or renewal of a Letter of Credit shall not be construed as a waiver of any Default, regardless of whether any Credit Party may have had notice or knowledge of such Default at the time.</w:t>
      </w:r>
    </w:p>
    <w:p>
      <w:pPr>
        <w:spacing w:after="0" w:line="178" w:lineRule="exact"/>
        <w:rPr>
          <w:rFonts w:ascii="Arial" w:cs="Arial" w:eastAsia="Arial" w:hAnsi="Arial"/>
          <w:sz w:val="17"/>
          <w:szCs w:val="17"/>
          <w:color w:val="auto"/>
        </w:rPr>
      </w:pPr>
    </w:p>
    <w:p>
      <w:pPr>
        <w:jc w:val="both"/>
        <w:ind w:firstLine="1106"/>
        <w:spacing w:after="0" w:line="259" w:lineRule="auto"/>
        <w:tabs>
          <w:tab w:leader="none" w:pos="166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Except as expressly provided by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strike w:val="1"/>
        </w:rPr>
        <w:t>3.3</w:t>
      </w:r>
      <w:r>
        <w:rPr>
          <w:rFonts w:ascii="Arial" w:cs="Arial" w:eastAsia="Arial" w:hAnsi="Arial"/>
          <w:sz w:val="18"/>
          <w:szCs w:val="18"/>
          <w:u w:val="single" w:color="auto"/>
          <w:color w:val="auto"/>
        </w:rPr>
        <w:t>3.1(</w:t>
      </w:r>
      <w:r>
        <w:rPr>
          <w:rFonts w:ascii="Arial" w:cs="Arial" w:eastAsia="Arial" w:hAnsi="Arial"/>
          <w:sz w:val="18"/>
          <w:szCs w:val="18"/>
          <w:u w:val="single" w:color="auto"/>
          <w:color w:val="auto"/>
          <w:strike w:val="1"/>
        </w:rPr>
        <w:t>b</w:t>
      </w:r>
      <w:r>
        <w:rPr>
          <w:rFonts w:ascii="Arial" w:cs="Arial" w:eastAsia="Arial" w:hAnsi="Arial"/>
          <w:sz w:val="18"/>
          <w:szCs w:val="18"/>
          <w:u w:val="single" w:color="auto"/>
          <w:color w:val="auto"/>
        </w:rPr>
        <w:t>e), Section 3.8</w:t>
      </w:r>
      <w:r>
        <w:rPr>
          <w:rFonts w:ascii="Arial" w:cs="Arial" w:eastAsia="Arial" w:hAnsi="Arial"/>
          <w:sz w:val="18"/>
          <w:szCs w:val="18"/>
          <w:color w:val="auto"/>
        </w:rPr>
        <w:t xml:space="preserve">, or in the other paragraphs of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neither this Credit Agreement, any other Loan Document (other than the Fee Letter) nor any provision thereof may be waived, amended or modified except pursuant to an agreement or agreements in writing entered into by the Loan Parties and the Required Lenders, or by the Borrower and the Administrative Agent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w:t>
      </w:r>
    </w:p>
    <w:p>
      <w:pPr>
        <w:spacing w:after="0" w:line="186" w:lineRule="exact"/>
        <w:rPr>
          <w:rFonts w:ascii="Arial" w:cs="Arial" w:eastAsia="Arial" w:hAnsi="Arial"/>
          <w:sz w:val="18"/>
          <w:szCs w:val="18"/>
          <w:color w:val="auto"/>
        </w:rPr>
      </w:pPr>
    </w:p>
    <w:p>
      <w:pPr>
        <w:jc w:val="both"/>
        <w:ind w:firstLine="1592"/>
        <w:spacing w:after="0" w:line="263" w:lineRule="auto"/>
        <w:tabs>
          <w:tab w:leader="none" w:pos="2219"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extend or increase any Commitment of any Lender without the written consent of such Lender or increase the L/C Sublimit without the consent of the L/C Issuer (it being understood that a waiver of any condition precedent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the waiver of any Default shall not constitute an extension or increase of any Commitment of any Lender or an increase of the L/C Sublimit);</w:t>
      </w:r>
    </w:p>
    <w:p>
      <w:pPr>
        <w:spacing w:after="0" w:line="183" w:lineRule="exact"/>
        <w:rPr>
          <w:rFonts w:ascii="Arial" w:cs="Arial" w:eastAsia="Arial" w:hAnsi="Arial"/>
          <w:sz w:val="18"/>
          <w:szCs w:val="18"/>
          <w:color w:val="auto"/>
        </w:rPr>
      </w:pPr>
    </w:p>
    <w:p>
      <w:pPr>
        <w:jc w:val="both"/>
        <w:ind w:firstLine="1592"/>
        <w:spacing w:after="0" w:line="296" w:lineRule="auto"/>
        <w:tabs>
          <w:tab w:leader="none" w:pos="2196" w:val="left"/>
        </w:tabs>
        <w:numPr>
          <w:ilvl w:val="1"/>
          <w:numId w:val="187"/>
        </w:numPr>
        <w:rPr>
          <w:rFonts w:ascii="Arial" w:cs="Arial" w:eastAsia="Arial" w:hAnsi="Arial"/>
          <w:sz w:val="16"/>
          <w:szCs w:val="16"/>
          <w:color w:val="auto"/>
        </w:rPr>
      </w:pPr>
      <w:r>
        <w:rPr>
          <w:rFonts w:ascii="Arial" w:cs="Arial" w:eastAsia="Arial" w:hAnsi="Arial"/>
          <w:sz w:val="16"/>
          <w:szCs w:val="16"/>
          <w:color w:val="auto"/>
        </w:rPr>
        <w:t xml:space="preserve">reduce the principal amount of any Loan or any reimbursement obligation with respect to a L/C Disbursement, or reduce the rate of any interest, or reduce any fees or other amounts, payable under the Loan Documents, without the written consent of each Credit Party directly and adversely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amend or modify any Financial Covenant, any defined terms used therein or the definition of “Default Rate” or to waive any obligation of the Borrower to pay interest at the Default Rate, in each case, notwithstanding the fact that any such amendment, modification or waiver actually results in reduction in the rate of interest or fees;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9" w:name="page170"/>
    <w:bookmarkEnd w:id="169"/>
    <w:p>
      <w:pPr>
        <w:jc w:val="both"/>
        <w:ind w:firstLine="1592"/>
        <w:spacing w:after="0" w:line="301" w:lineRule="auto"/>
        <w:tabs>
          <w:tab w:leader="none" w:pos="229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postpone any date scheduled for any payment of principal of, or interest on, any Loan or reimbursement obligation with respect to any L/C Disbursement, or any fees or other amounts payable hereunder or under any other Loan Document, or reduce the amount of, waive or excuse any such payment, or postpone the stated termination or expiration of the Revolving Commitments or reduce the amount of or postpone the date of any prepayment required by </w:t>
      </w:r>
      <w:r>
        <w:rPr>
          <w:rFonts w:ascii="Arial" w:cs="Arial" w:eastAsia="Arial" w:hAnsi="Arial"/>
          <w:sz w:val="16"/>
          <w:szCs w:val="16"/>
          <w:u w:val="single" w:color="auto"/>
          <w:color w:val="auto"/>
        </w:rPr>
        <w:t>Section 2.7(b)</w:t>
      </w:r>
      <w:r>
        <w:rPr>
          <w:rFonts w:ascii="Arial" w:cs="Arial" w:eastAsia="Arial" w:hAnsi="Arial"/>
          <w:sz w:val="16"/>
          <w:szCs w:val="16"/>
          <w:color w:val="auto"/>
        </w:rPr>
        <w:t xml:space="preserve"> without the written consent of each Credit Party directly and adversely affected thereby;</w:t>
      </w:r>
    </w:p>
    <w:p>
      <w:pPr>
        <w:spacing w:after="0" w:line="157" w:lineRule="exact"/>
        <w:rPr>
          <w:rFonts w:ascii="Arial" w:cs="Arial" w:eastAsia="Arial" w:hAnsi="Arial"/>
          <w:sz w:val="16"/>
          <w:szCs w:val="16"/>
          <w:color w:val="auto"/>
        </w:rPr>
      </w:pPr>
    </w:p>
    <w:p>
      <w:pPr>
        <w:jc w:val="both"/>
        <w:ind w:firstLine="1592"/>
        <w:spacing w:after="0" w:line="263" w:lineRule="auto"/>
        <w:tabs>
          <w:tab w:leader="none" w:pos="216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and subsection (c) below change any provision hereof in a manner that would alter the pro rata sharing of payments required by </w:t>
      </w:r>
      <w:r>
        <w:rPr>
          <w:rFonts w:ascii="Arial" w:cs="Arial" w:eastAsia="Arial" w:hAnsi="Arial"/>
          <w:sz w:val="18"/>
          <w:szCs w:val="18"/>
          <w:u w:val="single" w:color="auto"/>
          <w:color w:val="auto"/>
        </w:rPr>
        <w:t>Section 2.8(b)</w:t>
      </w:r>
      <w:r>
        <w:rPr>
          <w:rFonts w:ascii="Arial" w:cs="Arial" w:eastAsia="Arial" w:hAnsi="Arial"/>
          <w:sz w:val="18"/>
          <w:szCs w:val="18"/>
          <w:color w:val="auto"/>
        </w:rPr>
        <w:t xml:space="preserve"> or the pro rata reduction of Revolving Commitments required by </w:t>
      </w:r>
      <w:r>
        <w:rPr>
          <w:rFonts w:ascii="Arial" w:cs="Arial" w:eastAsia="Arial" w:hAnsi="Arial"/>
          <w:sz w:val="18"/>
          <w:szCs w:val="18"/>
          <w:u w:val="single" w:color="auto"/>
          <w:color w:val="auto"/>
        </w:rPr>
        <w:t>Section 2.5(d)</w:t>
      </w:r>
      <w:r>
        <w:rPr>
          <w:rFonts w:ascii="Arial" w:cs="Arial" w:eastAsia="Arial" w:hAnsi="Arial"/>
          <w:sz w:val="18"/>
          <w:szCs w:val="18"/>
          <w:color w:val="auto"/>
        </w:rPr>
        <w:t>, without the written consent of each Credit Party directly and adversely affected thereby;</w:t>
      </w:r>
    </w:p>
    <w:p>
      <w:pPr>
        <w:spacing w:after="0" w:line="183" w:lineRule="exact"/>
        <w:rPr>
          <w:rFonts w:ascii="Arial" w:cs="Arial" w:eastAsia="Arial" w:hAnsi="Arial"/>
          <w:sz w:val="18"/>
          <w:szCs w:val="18"/>
          <w:color w:val="auto"/>
        </w:rPr>
      </w:pPr>
    </w:p>
    <w:p>
      <w:pPr>
        <w:jc w:val="both"/>
        <w:ind w:firstLine="1592"/>
        <w:spacing w:after="0" w:line="263" w:lineRule="auto"/>
        <w:tabs>
          <w:tab w:leader="none" w:pos="220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change any of the provisions of this Section or the definition of the terms “</w:t>
      </w:r>
      <w:r>
        <w:rPr>
          <w:rFonts w:ascii="Arial" w:cs="Arial" w:eastAsia="Arial" w:hAnsi="Arial"/>
          <w:sz w:val="18"/>
          <w:szCs w:val="18"/>
          <w:u w:val="single" w:color="auto"/>
          <w:color w:val="auto"/>
        </w:rPr>
        <w:t>Required Lenders</w:t>
      </w:r>
      <w:r>
        <w:rPr>
          <w:rFonts w:ascii="Arial" w:cs="Arial" w:eastAsia="Arial" w:hAnsi="Arial"/>
          <w:sz w:val="18"/>
          <w:szCs w:val="18"/>
          <w:color w:val="auto"/>
        </w:rPr>
        <w:t>” or any other provision hereof specifying the number or percentage of Lenders required to waive, amend or modify any rights hereunder or make any determination or grant any consent hereunder;</w:t>
      </w:r>
    </w:p>
    <w:p>
      <w:pPr>
        <w:spacing w:after="0" w:line="183" w:lineRule="exact"/>
        <w:rPr>
          <w:rFonts w:ascii="Arial" w:cs="Arial" w:eastAsia="Arial" w:hAnsi="Arial"/>
          <w:sz w:val="18"/>
          <w:szCs w:val="18"/>
          <w:color w:val="auto"/>
        </w:rPr>
      </w:pPr>
    </w:p>
    <w:p>
      <w:pPr>
        <w:ind w:firstLine="1592"/>
        <w:spacing w:after="0" w:line="277" w:lineRule="auto"/>
        <w:tabs>
          <w:tab w:leader="none" w:pos="237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amend, modify or waive any provision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without the written consent of the Administrative Agent, the Swingline Lender and the L/C Issuer;</w:t>
      </w:r>
    </w:p>
    <w:p>
      <w:pPr>
        <w:spacing w:after="0" w:line="170" w:lineRule="exact"/>
        <w:rPr>
          <w:rFonts w:ascii="Arial" w:cs="Arial" w:eastAsia="Arial" w:hAnsi="Arial"/>
          <w:sz w:val="18"/>
          <w:szCs w:val="18"/>
          <w:color w:val="auto"/>
        </w:rPr>
      </w:pPr>
    </w:p>
    <w:p>
      <w:pPr>
        <w:ind w:firstLine="1592"/>
        <w:spacing w:after="0" w:line="277" w:lineRule="auto"/>
        <w:tabs>
          <w:tab w:leader="none" w:pos="225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change the currency in which any Commitment or Loan is, or is to be, denominated, Letters of Credit are to be issued or payment under the Loan Documents is to be made without the written consent of each Lender directly affected thereby;</w:t>
      </w:r>
    </w:p>
    <w:p>
      <w:pPr>
        <w:spacing w:after="0" w:line="170" w:lineRule="exact"/>
        <w:rPr>
          <w:rFonts w:ascii="Arial" w:cs="Arial" w:eastAsia="Arial" w:hAnsi="Arial"/>
          <w:sz w:val="18"/>
          <w:szCs w:val="18"/>
          <w:color w:val="auto"/>
        </w:rPr>
      </w:pPr>
    </w:p>
    <w:p>
      <w:pPr>
        <w:ind w:firstLine="1592"/>
        <w:spacing w:after="0" w:line="277" w:lineRule="auto"/>
        <w:tabs>
          <w:tab w:leader="none" w:pos="23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release any Guarantor from its Guarantee under the Guarantee Agreement (except as expressly provided therein or in </w:t>
      </w:r>
      <w:r>
        <w:rPr>
          <w:rFonts w:ascii="Arial" w:cs="Arial" w:eastAsia="Arial" w:hAnsi="Arial"/>
          <w:sz w:val="18"/>
          <w:szCs w:val="18"/>
          <w:u w:val="single" w:color="auto"/>
          <w:color w:val="auto"/>
        </w:rPr>
        <w:t>Section 9.10</w:t>
      </w:r>
      <w:r>
        <w:rPr>
          <w:rFonts w:ascii="Arial" w:cs="Arial" w:eastAsia="Arial" w:hAnsi="Arial"/>
          <w:sz w:val="18"/>
          <w:szCs w:val="18"/>
          <w:color w:val="auto"/>
        </w:rPr>
        <w:t>), or limit its liability in respect of such Guarantee, without the written consent of each Lender; or</w:t>
      </w:r>
    </w:p>
    <w:p>
      <w:pPr>
        <w:spacing w:after="0" w:line="170" w:lineRule="exact"/>
        <w:rPr>
          <w:rFonts w:ascii="Arial" w:cs="Arial" w:eastAsia="Arial" w:hAnsi="Arial"/>
          <w:sz w:val="18"/>
          <w:szCs w:val="18"/>
          <w:color w:val="auto"/>
        </w:rPr>
      </w:pPr>
    </w:p>
    <w:p>
      <w:pPr>
        <w:ind w:firstLine="1592"/>
        <w:spacing w:after="0" w:line="308" w:lineRule="auto"/>
        <w:tabs>
          <w:tab w:leader="none" w:pos="2232"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release all or substantially all of the Collateral from the Liens of the Loan Documents (except as expressly provided in the applicable Collateral Document or in connection with a transaction permitted by </w:t>
      </w:r>
      <w:r>
        <w:rPr>
          <w:rFonts w:ascii="Arial" w:cs="Arial" w:eastAsia="Arial" w:hAnsi="Arial"/>
          <w:sz w:val="17"/>
          <w:szCs w:val="17"/>
          <w:u w:val="single" w:color="auto"/>
          <w:color w:val="auto"/>
        </w:rPr>
        <w:t>Section 7.3</w:t>
      </w:r>
      <w:r>
        <w:rPr>
          <w:rFonts w:ascii="Arial" w:cs="Arial" w:eastAsia="Arial" w:hAnsi="Arial"/>
          <w:sz w:val="17"/>
          <w:szCs w:val="17"/>
          <w:color w:val="auto"/>
        </w:rPr>
        <w:t>), without the consent of each Lender;</w:t>
      </w:r>
    </w:p>
    <w:p>
      <w:pPr>
        <w:spacing w:after="0" w:line="146" w:lineRule="exact"/>
        <w:rPr>
          <w:rFonts w:ascii="Arial" w:cs="Arial" w:eastAsia="Arial" w:hAnsi="Arial"/>
          <w:sz w:val="17"/>
          <w:szCs w:val="17"/>
          <w:color w:val="auto"/>
        </w:rPr>
      </w:pPr>
    </w:p>
    <w:p>
      <w:pPr>
        <w:ind w:right="20" w:firstLine="1592"/>
        <w:spacing w:after="0" w:line="277" w:lineRule="auto"/>
        <w:tabs>
          <w:tab w:leader="none" w:pos="224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effect any amendments (i) to subordinate the Lien on the Collateral securing the Obligations to any other Lien securing Indebtedness of the Loan Parties or (ii) providing for payment subordination of the Obligations; or</w:t>
      </w:r>
    </w:p>
    <w:p>
      <w:pPr>
        <w:spacing w:after="0" w:line="170" w:lineRule="exact"/>
        <w:rPr>
          <w:rFonts w:ascii="Arial" w:cs="Arial" w:eastAsia="Arial" w:hAnsi="Arial"/>
          <w:sz w:val="18"/>
          <w:szCs w:val="18"/>
          <w:color w:val="auto"/>
        </w:rPr>
      </w:pPr>
    </w:p>
    <w:p>
      <w:pPr>
        <w:ind w:left="2160" w:hanging="568"/>
        <w:spacing w:after="0"/>
        <w:tabs>
          <w:tab w:leader="none" w:pos="2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amend, modify or waive any provision of </w:t>
      </w:r>
      <w:r>
        <w:rPr>
          <w:rFonts w:ascii="Arial" w:cs="Arial" w:eastAsia="Arial" w:hAnsi="Arial"/>
          <w:sz w:val="18"/>
          <w:szCs w:val="18"/>
          <w:u w:val="single" w:color="auto"/>
          <w:color w:val="auto"/>
        </w:rPr>
        <w:t>Section 8.3</w:t>
      </w:r>
      <w:r>
        <w:rPr>
          <w:rFonts w:ascii="Arial" w:cs="Arial" w:eastAsia="Arial" w:hAnsi="Arial"/>
          <w:sz w:val="18"/>
          <w:szCs w:val="18"/>
          <w:color w:val="auto"/>
        </w:rPr>
        <w:t>; and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such amendment, waiver or consent shall amend, modify or otherwise affect the rights or duties hereunder or under any other Loan Document of (A) the Administrative Agent, unless in writing executed by the Administrative Agent, (B) any Issuing Bank, unless in writing executed by such Issuing Bank and (C) any Swingline Lender, unless in writing executed by such Swingline Lender, in each case in addition to the Borrower and the Lenders required above.</w:t>
      </w:r>
    </w:p>
    <w:p>
      <w:pPr>
        <w:spacing w:after="0" w:line="187" w:lineRule="exact"/>
        <w:rPr>
          <w:sz w:val="20"/>
          <w:szCs w:val="20"/>
          <w:color w:val="auto"/>
        </w:rPr>
      </w:pPr>
    </w:p>
    <w:p>
      <w:pPr>
        <w:jc w:val="both"/>
        <w:ind w:firstLine="1106"/>
        <w:spacing w:after="0" w:line="272" w:lineRule="auto"/>
        <w:tabs>
          <w:tab w:leader="none" w:pos="193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Notwithstanding anything herein to the contrary, no Defaulting Lender shall have any right to approve or disapprove any amendment, waiver or consent hereunder (and any amendment, waiver or consent that by its terms requires the consent of all the Lenders or each affected Lender may be effected with the consent of the applicable Lenders other than Defaulting Lenders, except that (x) the Commitment of any Defaulting Lender may not be increased or extended, or the maturity of any of its Loan may not be extended, the rate of interest on any of its Loans may not be reduced and the principal amount of any of its Loans may not be forgiven, in each case without the consent of such Defaulting Lender and (y) any amendment, waiver or consent requiring the consent of all the Lenders or each affected Lender that by its terms affects any Defaulting Lender more adversely than the other affected Lenders shall require the consent of such Defaulting Lender.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0" w:name="page171"/>
    <w:bookmarkEnd w:id="170"/>
    <w:p>
      <w:pPr>
        <w:jc w:val="both"/>
        <w:ind w:firstLine="1106"/>
        <w:spacing w:after="0" w:line="257" w:lineRule="auto"/>
        <w:tabs>
          <w:tab w:leader="none" w:pos="167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addition, notwithstanding anything in this Section to the contrary, if the Administrative Agent and the Borrower shall have jointly identified an obvious error or any error or omission of a technical nature, in each case, in any provision of the Loan Documents, then the Administrative Agent and the Borrower shall be permitted to amend such provision, and, in each case, such amendment shall become effective without any further action or consent of any other party to any Loan Document if the same is not objected to in writing by the Required Lenders to the Administrative Agent within 10 Business Days following receipt of notice thereof.</w:t>
      </w:r>
    </w:p>
    <w:p>
      <w:pPr>
        <w:spacing w:after="0" w:line="188"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25" w:lineRule="exact"/>
        <w:rPr>
          <w:sz w:val="20"/>
          <w:szCs w:val="20"/>
          <w:color w:val="auto"/>
        </w:rPr>
      </w:pPr>
    </w:p>
    <w:p>
      <w:pPr>
        <w:jc w:val="both"/>
        <w:ind w:firstLine="1106"/>
        <w:spacing w:after="0" w:line="269" w:lineRule="auto"/>
        <w:tabs>
          <w:tab w:leader="none" w:pos="1738"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Loan Parties, jointly and severally, shall pay (i) all reasonable and documented out-of-pocket expenses incurred by the Administrative Agent, Lead Arrangers and their respective Affiliates (including Attorney Costs of counsel for the Administrative Agent), in connection with the syndication of the credit facilities provided for herein, the preparation, negotiation, execution, delivery and administration of this Credit Agreement and the other Loan Documents or any amendments, modifications or waivers of the provisions hereof or thereof (whether or not the transactions contemplated hereby or thereby shall be consummated), (ii) all reasonable and documented out-of-pocket expenses incurred by the L/C Issuer in connection with the issuance, amendment, renewal or extension of any Letter of Credit or any demand for payment thereunder and (iii) all out-of-pocket expenses incurred by the Administrative Agent, Lead Arrangers or any Credit Party (including Attorney Costs of the Administrative Agent or any Credit Party), in connection with the enforcement or protection of its rights (whether through negotiations, legal proceedings or otherwise) (A) in connection with this Credit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181" w:lineRule="exact"/>
        <w:rPr>
          <w:rFonts w:ascii="Arial" w:cs="Arial" w:eastAsia="Arial" w:hAnsi="Arial"/>
          <w:sz w:val="17"/>
          <w:szCs w:val="17"/>
          <w:color w:val="auto"/>
        </w:rPr>
      </w:pPr>
    </w:p>
    <w:p>
      <w:pPr>
        <w:jc w:val="both"/>
        <w:ind w:firstLine="1106"/>
        <w:spacing w:after="0" w:line="267" w:lineRule="auto"/>
        <w:tabs>
          <w:tab w:leader="none" w:pos="1721"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Indemnification by Loan Parties</w:t>
      </w:r>
      <w:r>
        <w:rPr>
          <w:rFonts w:ascii="Arial" w:cs="Arial" w:eastAsia="Arial" w:hAnsi="Arial"/>
          <w:sz w:val="17"/>
          <w:szCs w:val="17"/>
          <w:color w:val="auto"/>
        </w:rPr>
        <w:t>. The Loan Parties, jointly and severally, shall indemnify the Administrative Agent (and any sub-agent thereof), each Credit Party,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and hold each Indemnitee harmless from, any and all losses, claims, damages, liabilities and related expenses (including Attorney Costs), incurred by any Indemnitee or asserted against any Indemnitee by any third party or by any Loan Party arising out of, in connection with, or as a result of (i) the execution or delivery of this Credit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at, on, under or from any property owned or operated by any Loan Party or any of its Subsidiaries, or any Environmental Claim or Environmental Liability related in any way to any Loan Party or any of its Subsidiaries, (iv) any actual or prospective claim, litigation, investigation or proceeding relating to any of the foregoing, whether based on contract, tort or any other theory, whether brought by a third party or by any Loan Party, and regardless of whether any Indemnitee is a party thereto or (v) any government investigation, audit, hearing or enforcement action resulting from any Loan Party’s or any of its Affiliate’s noncompliance (or purported noncompliance) with any applicable Sanctions, other Anti-Terrorism Laws or Anti-Corruption Laws (it being understood and agreed that the Indemnitees shall be entitled to indemnification pursuant to this clause (including indemnification for fines, penalties and other expenses) regardless of whether any adverse finding is made against any Loan Party or any of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willful misconduct or material breach of the Loan Documents of such Indemnitee or (y) result from a claim brought by any Loan Party against an Indemnitee for breach in bad faith of such Indemnitee’s obligations hereunder or under any other Loan Document, if such Loan Party has obtained a final and non-appealable judgment in its favor on such claim as determined by a court of competent jurisdiction. To the extent that the indemnity set forth above in this paragraph shall be held to be unenforceable in whole or in part because it is violative of any law or public policy, the Borrower shall contribute the maximum portion that it is permitted to pay and satisfy under applicable law to the payment and satisfaction of all indemnified amounts incurred by Indemnitees or any of them.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1" w:name="page172"/>
    <w:bookmarkEnd w:id="171"/>
    <w:p>
      <w:pPr>
        <w:jc w:val="both"/>
        <w:ind w:firstLine="1106"/>
        <w:spacing w:after="0" w:line="287" w:lineRule="auto"/>
        <w:tabs>
          <w:tab w:leader="none" w:pos="1752"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 for any reason fails to indefeasibly pay any amount required under paragraph (a) or (b) of this Section to be paid by it to the Administrative Agent (or any sub-agent thereof), the L/C Issuer, the Swingline Lender or any Related Party of any of the foregoing, each Lender severally agrees to pay to the Administrative Agent (or any such sub-agent), the L/C Issuer, the Swingline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such unpaid amounts owed to the L/C Issuer or the Swingline Lender solely in its capacity as such, only the Revolving Lenders shall be required to pay such unpaid amounts, such payment to be made severally among them based on such Revolving Lender’s Applicable Percentage (determined as of the time that the applicable unreimbursed expense or indemnity payment is sought)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the L/C Issuer or the Swingline Lender in its capacity as such, or against any Related Party of any of the foregoing acting for the Administrative Agent (or any such sub-agent), the L/C Issuer or the Swingline Lender in connection with such capacity. The obligations of the Lenders under this paragraph (c) are subject to the provisions of </w:t>
      </w:r>
      <w:r>
        <w:rPr>
          <w:rFonts w:ascii="Arial" w:cs="Arial" w:eastAsia="Arial" w:hAnsi="Arial"/>
          <w:sz w:val="16"/>
          <w:szCs w:val="16"/>
          <w:u w:val="single" w:color="auto"/>
          <w:color w:val="auto"/>
        </w:rPr>
        <w:t>Section 2.8(d)</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firstLine="1106"/>
        <w:spacing w:after="0" w:line="272" w:lineRule="auto"/>
        <w:tabs>
          <w:tab w:leader="none" w:pos="1667"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xml:space="preserve"> To the fullest extent permitted by applicable law, no Loan Party shall assert, and each Loan Party hereby waives, any claim against any Indemnitee, on any theory of liability, for special, indirect, consequential or punitive damages (as opposed to direct or actual damages) arising out of, in connection with, or as a result of, this Credit Agreement, any other Loan Document or any agreement or instrument contemplated hereby or thereby, the transactions contemplated hereby or thereby, any Loan or Letter of Credit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Credit Agreement or the other Loan Documents or the transactions contemplated hereby or thereby.</w:t>
      </w:r>
    </w:p>
    <w:p>
      <w:pPr>
        <w:spacing w:after="0" w:line="177" w:lineRule="exact"/>
        <w:rPr>
          <w:rFonts w:ascii="Arial" w:cs="Arial" w:eastAsia="Arial" w:hAnsi="Arial"/>
          <w:sz w:val="17"/>
          <w:szCs w:val="17"/>
          <w:color w:val="auto"/>
        </w:rPr>
      </w:pPr>
    </w:p>
    <w:p>
      <w:pPr>
        <w:ind w:left="460" w:right="200" w:firstLine="646"/>
        <w:spacing w:after="0" w:line="500" w:lineRule="auto"/>
        <w:tabs>
          <w:tab w:leader="none" w:pos="1667"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All amounts due under this Section shall be payable promptly and in no event later than 10 days after demand therefor. Section 10.4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 w:lineRule="exact"/>
        <w:rPr>
          <w:sz w:val="20"/>
          <w:szCs w:val="20"/>
          <w:color w:val="auto"/>
        </w:rPr>
      </w:pPr>
    </w:p>
    <w:p>
      <w:pPr>
        <w:jc w:val="both"/>
        <w:ind w:firstLine="1106"/>
        <w:spacing w:after="0" w:line="289" w:lineRule="auto"/>
        <w:tabs>
          <w:tab w:leader="none" w:pos="1725"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Credit Agreement shall be binding upon and inure to the benefit of the parties hereto and their respective successors and assigns permitted hereby, except that no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(e) of this Section (and any other attempted assignment or transfer by any party hereto shall be null and void). Nothing in this Credit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Credit Party) any legal or equitable right, remedy or claim under or by reason of this Credit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2" w:name="page173"/>
    <w:bookmarkEnd w:id="172"/>
    <w:p>
      <w:pPr>
        <w:jc w:val="both"/>
        <w:ind w:firstLine="1106"/>
        <w:spacing w:after="0" w:line="263" w:lineRule="auto"/>
        <w:tabs>
          <w:tab w:leader="none" w:pos="1694"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Credit Agreement (including all or a portion of its Commitments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183" w:lineRule="exact"/>
        <w:rPr>
          <w:rFonts w:ascii="Arial" w:cs="Arial" w:eastAsia="Arial" w:hAnsi="Arial"/>
          <w:sz w:val="18"/>
          <w:szCs w:val="18"/>
          <w:color w:val="auto"/>
        </w:rPr>
      </w:pPr>
    </w:p>
    <w:p>
      <w:pPr>
        <w:ind w:left="2160" w:hanging="568"/>
        <w:spacing w:after="0"/>
        <w:tabs>
          <w:tab w:leader="none" w:pos="2160"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240"/>
        <w:spacing w:after="0" w:line="279" w:lineRule="auto"/>
        <w:tabs>
          <w:tab w:leader="none" w:pos="2800" w:val="left"/>
        </w:tabs>
        <w:numPr>
          <w:ilvl w:val="2"/>
          <w:numId w:val="194"/>
        </w:numPr>
        <w:rPr>
          <w:rFonts w:ascii="Arial" w:cs="Arial" w:eastAsia="Arial" w:hAnsi="Arial"/>
          <w:sz w:val="17"/>
          <w:szCs w:val="17"/>
          <w:color w:val="auto"/>
        </w:rPr>
      </w:pPr>
      <w:r>
        <w:rPr>
          <w:rFonts w:ascii="Arial" w:cs="Arial" w:eastAsia="Arial" w:hAnsi="Arial"/>
          <w:sz w:val="17"/>
          <w:szCs w:val="17"/>
          <w:color w:val="auto"/>
        </w:rPr>
        <w:t>in the case of an assignment of the entire remaining amount of the assigning Lender’s Commitment and/or the Loans at the time owing to it (in each case with respect to any Credit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71" w:lineRule="exact"/>
        <w:rPr>
          <w:rFonts w:ascii="Arial" w:cs="Arial" w:eastAsia="Arial" w:hAnsi="Arial"/>
          <w:sz w:val="17"/>
          <w:szCs w:val="17"/>
          <w:color w:val="auto"/>
        </w:rPr>
      </w:pPr>
    </w:p>
    <w:p>
      <w:pPr>
        <w:jc w:val="both"/>
        <w:ind w:firstLine="2240"/>
        <w:spacing w:after="0" w:line="254" w:lineRule="auto"/>
        <w:tabs>
          <w:tab w:leader="none" w:pos="2794" w:val="left"/>
        </w:tabs>
        <w:numPr>
          <w:ilvl w:val="2"/>
          <w:numId w:val="194"/>
        </w:numPr>
        <w:rPr>
          <w:rFonts w:ascii="Arial" w:cs="Arial" w:eastAsia="Arial" w:hAnsi="Arial"/>
          <w:sz w:val="18"/>
          <w:szCs w:val="18"/>
          <w:color w:val="auto"/>
        </w:rPr>
      </w:pPr>
      <w:r>
        <w:rPr>
          <w:rFonts w:ascii="Arial" w:cs="Arial" w:eastAsia="Arial" w:hAnsi="Arial"/>
          <w:sz w:val="18"/>
          <w:szCs w:val="18"/>
          <w:color w:val="auto"/>
        </w:rPr>
        <w:t>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a Revolving Facility, or $5,000,000, in the case of any assignment in respect of a Term Facility, unless each of the Administrative Agent and, so long as no Event of Default has occurred and is continuing, the Borrower otherwise consents (each such consent not to be unreasonably withheld or delayed).</w:t>
      </w:r>
    </w:p>
    <w:p>
      <w:pPr>
        <w:spacing w:after="0" w:line="194" w:lineRule="exact"/>
        <w:rPr>
          <w:rFonts w:ascii="Arial" w:cs="Arial" w:eastAsia="Arial" w:hAnsi="Arial"/>
          <w:sz w:val="18"/>
          <w:szCs w:val="18"/>
          <w:color w:val="auto"/>
        </w:rPr>
      </w:pPr>
    </w:p>
    <w:p>
      <w:pPr>
        <w:jc w:val="both"/>
        <w:ind w:firstLine="1592"/>
        <w:spacing w:after="0" w:line="286" w:lineRule="auto"/>
        <w:tabs>
          <w:tab w:leader="none" w:pos="2204" w:val="left"/>
        </w:tabs>
        <w:numPr>
          <w:ilvl w:val="1"/>
          <w:numId w:val="194"/>
        </w:numPr>
        <w:rPr>
          <w:rFonts w:ascii="Arial" w:cs="Arial" w:eastAsia="Arial" w:hAnsi="Arial"/>
          <w:sz w:val="17"/>
          <w:szCs w:val="17"/>
          <w:color w:val="auto"/>
        </w:rPr>
      </w:pPr>
      <w:r>
        <w:rPr>
          <w:rFonts w:ascii="Arial" w:cs="Arial" w:eastAsia="Arial" w:hAnsi="Arial"/>
          <w:sz w:val="17"/>
          <w:szCs w:val="17"/>
          <w:u w:val="single" w:color="auto"/>
          <w:color w:val="auto"/>
        </w:rPr>
        <w:t>Proportionate Amounts</w:t>
      </w:r>
      <w:r>
        <w:rPr>
          <w:rFonts w:ascii="Arial" w:cs="Arial" w:eastAsia="Arial" w:hAnsi="Arial"/>
          <w:sz w:val="17"/>
          <w:szCs w:val="17"/>
          <w:color w:val="auto"/>
        </w:rPr>
        <w:t>. Each partial assignment shall be made as an assignment of a proportionate part of all the assigning Lender’s rights and obligations under this Credit Agreement with respect to the Loan or the Commitment assigned, except that this clause (ii) shall not prohibit any Lender from assigning all or a portion of its rights and obligations among separate Classes on a non-pro rata basis.</w:t>
      </w:r>
    </w:p>
    <w:p>
      <w:pPr>
        <w:spacing w:after="0" w:line="165" w:lineRule="exact"/>
        <w:rPr>
          <w:rFonts w:ascii="Arial" w:cs="Arial" w:eastAsia="Arial" w:hAnsi="Arial"/>
          <w:sz w:val="17"/>
          <w:szCs w:val="17"/>
          <w:color w:val="auto"/>
        </w:rPr>
      </w:pPr>
    </w:p>
    <w:p>
      <w:pPr>
        <w:ind w:left="2200" w:hanging="608"/>
        <w:spacing w:after="0"/>
        <w:tabs>
          <w:tab w:leader="none" w:pos="2200"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No consent shall be required for any assignment except to the extent required by paragraph (b)(i)(B)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Section and, in addition:</w:t>
      </w:r>
    </w:p>
    <w:p>
      <w:pPr>
        <w:spacing w:after="0" w:line="210" w:lineRule="exact"/>
        <w:rPr>
          <w:rFonts w:ascii="Arial" w:cs="Arial" w:eastAsia="Arial" w:hAnsi="Arial"/>
          <w:sz w:val="16"/>
          <w:szCs w:val="16"/>
          <w:color w:val="auto"/>
        </w:rPr>
      </w:pPr>
    </w:p>
    <w:p>
      <w:pPr>
        <w:jc w:val="both"/>
        <w:ind w:firstLine="2240"/>
        <w:spacing w:after="0" w:line="255" w:lineRule="auto"/>
        <w:tabs>
          <w:tab w:leader="none" w:pos="285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 xml:space="preserve">the consent of the Borrower (such consent not to be unreasonably withheld or delayed) shall be required unless (x) an Event of Default has occurred and is continuing at the time of such assignment or (y) such assignment is to a Lender (other than a Defaulting Lender), an Affiliate of a Lender (other than a Defaulting Lender) or an Approved 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deemed to have consented to any such assignment unless it shall object thereto by written notice to the Administrative Agent within five Business Days after written notice of such assignment shall have delivered to the Borrower;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Borrower’s consent shall not be required during the primary syndication of the Credit Facilities;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3" w:name="page174"/>
    <w:bookmarkEnd w:id="173"/>
    <w:p>
      <w:pPr>
        <w:jc w:val="both"/>
        <w:ind w:firstLine="2240"/>
        <w:spacing w:after="0" w:line="259" w:lineRule="auto"/>
        <w:tabs>
          <w:tab w:leader="none" w:pos="280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(i) the Revolving Facility or any unfunded Term Loan Commitment if such assignment is to a Person that is not a Lender with a Commitment in respect of such facility, an Affiliate of such Lender or an Approved Fund with respect to such Lender or (ii) a funded Term Facility to a Person who is not a Lender, an Affiliate of a Lender or an Approved Fund; and</w:t>
      </w:r>
    </w:p>
    <w:p>
      <w:pPr>
        <w:spacing w:after="0" w:line="186" w:lineRule="exact"/>
        <w:rPr>
          <w:rFonts w:ascii="Arial" w:cs="Arial" w:eastAsia="Arial" w:hAnsi="Arial"/>
          <w:sz w:val="18"/>
          <w:szCs w:val="18"/>
          <w:color w:val="auto"/>
        </w:rPr>
      </w:pPr>
    </w:p>
    <w:p>
      <w:pPr>
        <w:ind w:left="2960" w:hanging="720"/>
        <w:spacing w:after="0"/>
        <w:tabs>
          <w:tab w:leader="none" w:pos="296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the consent of the L/C Issuer and the Swingline Lender shall be required for any assignment in respect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Revolving Facility.</w:t>
      </w:r>
    </w:p>
    <w:p>
      <w:pPr>
        <w:spacing w:after="0" w:line="210" w:lineRule="exact"/>
        <w:rPr>
          <w:rFonts w:ascii="Arial" w:cs="Arial" w:eastAsia="Arial" w:hAnsi="Arial"/>
          <w:sz w:val="17"/>
          <w:szCs w:val="17"/>
          <w:color w:val="auto"/>
        </w:rPr>
      </w:pPr>
    </w:p>
    <w:p>
      <w:pPr>
        <w:jc w:val="both"/>
        <w:ind w:firstLine="1592"/>
        <w:spacing w:after="0" w:line="257" w:lineRule="auto"/>
        <w:tabs>
          <w:tab w:leader="none" w:pos="2307"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of $3,500 (which will not be required to be paid by the Borrower or its Subsidiaries), and the assignee, if it is not a Lender, shall deliver to the Administrative Agent an Administrative Questionnaire. In addition, each assignee shall, on or before the effective date of such assignment, deliver to the Borrower and the Administrative Agent certification as to exemption from deduction or withholding of any United States Taxes in accordance with </w:t>
      </w:r>
      <w:r>
        <w:rPr>
          <w:rFonts w:ascii="Arial" w:cs="Arial" w:eastAsia="Arial" w:hAnsi="Arial"/>
          <w:sz w:val="18"/>
          <w:szCs w:val="18"/>
          <w:u w:val="single" w:color="auto"/>
          <w:color w:val="auto"/>
        </w:rPr>
        <w:t>Section 3.6(g)</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1592"/>
        <w:spacing w:after="0" w:line="259" w:lineRule="auto"/>
        <w:tabs>
          <w:tab w:leader="none" w:pos="2342"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to (A) the Borrower or any of the Borrower’s Affiliates or Subsidiaries, (B) any Defaulting Lender or any of its Subsidiaries, or any Person who, upon becoming a Lender hereunder, would constitute a Defaulting Lender or a Subsidiary thereof or (C) a Person who, at the time of such assignment, is a Sanctioned Person if such assignment would violate applicable law.</w:t>
      </w:r>
    </w:p>
    <w:p>
      <w:pPr>
        <w:spacing w:after="0" w:line="186" w:lineRule="exact"/>
        <w:rPr>
          <w:rFonts w:ascii="Arial" w:cs="Arial" w:eastAsia="Arial" w:hAnsi="Arial"/>
          <w:sz w:val="18"/>
          <w:szCs w:val="18"/>
          <w:color w:val="auto"/>
        </w:rPr>
      </w:pPr>
    </w:p>
    <w:p>
      <w:pPr>
        <w:ind w:firstLine="1592"/>
        <w:spacing w:after="0" w:line="277" w:lineRule="auto"/>
        <w:tabs>
          <w:tab w:leader="none" w:pos="2159"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 (or a holding company, investment vehicle or trust for, or owned and operated for the primary benefit of, a natural person).</w:t>
      </w:r>
    </w:p>
    <w:p>
      <w:pPr>
        <w:spacing w:after="0" w:line="170" w:lineRule="exact"/>
        <w:rPr>
          <w:rFonts w:ascii="Arial" w:cs="Arial" w:eastAsia="Arial" w:hAnsi="Arial"/>
          <w:sz w:val="18"/>
          <w:szCs w:val="18"/>
          <w:color w:val="auto"/>
        </w:rPr>
      </w:pPr>
    </w:p>
    <w:p>
      <w:pPr>
        <w:jc w:val="both"/>
        <w:ind w:firstLine="1592"/>
        <w:spacing w:after="0" w:line="269" w:lineRule="auto"/>
        <w:tabs>
          <w:tab w:leader="none" w:pos="2339"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Certain Additional Payments</w:t>
      </w:r>
      <w:r>
        <w:rPr>
          <w:rFonts w:ascii="Arial" w:cs="Arial" w:eastAsia="Arial" w:hAnsi="Arial"/>
          <w:sz w:val="17"/>
          <w:szCs w:val="17"/>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prior written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Credit Agreement until such compliance occurs.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4" w:name="page175"/>
    <w:bookmarkEnd w:id="174"/>
    <w:p>
      <w:pPr>
        <w:jc w:val="both"/>
        <w:spacing w:after="0" w:line="270"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Credit Agreement and, to the extent of the interest assigned by such Assignment and Assumption, have the rights and obligations of a Lender under this Credit Agreement, and the assigning Lender thereunder shall, to the extent of the interest assigned by such Assignment and Assumption, be released from its obligations under this Credit Agreement (and, in the case of an Assignment and Assumption covering all of the assigning Lender’s rights and obligations under this Credit Agreement, such Lender shall cease to be a party hereto) but shall continue to be entitled to the benefits of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with respect to facts and circumstances occurring prior to the effective date of such assignment. Any assignment or transfer by a Lender of rights or obligations under this Credit Agreement that does not comply with this paragraph shall be treated for purposes of this Credit Agreement as a sale by such Lender of a participation in such rights and obligations in accordance with paragraph (d) of this Section.</w:t>
      </w:r>
    </w:p>
    <w:p>
      <w:pPr>
        <w:spacing w:after="0" w:line="181" w:lineRule="exact"/>
        <w:rPr>
          <w:sz w:val="20"/>
          <w:szCs w:val="20"/>
          <w:color w:val="auto"/>
        </w:rPr>
      </w:pPr>
    </w:p>
    <w:p>
      <w:pPr>
        <w:jc w:val="both"/>
        <w:ind w:firstLine="1106"/>
        <w:spacing w:after="0" w:line="273" w:lineRule="auto"/>
        <w:tabs>
          <w:tab w:leader="none" w:pos="1806"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acting solely for this purpose as an agent of the Borrower, shall maintain a copy of each Assignment and Assumption delivered to it and a register for the recordation of the names and addresses of the Lenders, and the Commitments of, and principal amounts of the Loans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and the Borrower, the Administrative Agent and the Lenders may treat each Person whose name is recorded in the Register pursuant to the terms hereof as a Lender hereunder for all purposes of this Credit Agreement, notwithstanding notice to the contrary. The Register shall be available for inspection by the Borrower and any Lender, at any reasonable time and from time to time upon reasonable prior notice.</w:t>
      </w:r>
    </w:p>
    <w:p>
      <w:pPr>
        <w:spacing w:after="0" w:line="177" w:lineRule="exact"/>
        <w:rPr>
          <w:rFonts w:ascii="Arial" w:cs="Arial" w:eastAsia="Arial" w:hAnsi="Arial"/>
          <w:sz w:val="17"/>
          <w:szCs w:val="17"/>
          <w:color w:val="auto"/>
        </w:rPr>
      </w:pPr>
    </w:p>
    <w:p>
      <w:pPr>
        <w:jc w:val="both"/>
        <w:ind w:firstLine="1106"/>
        <w:spacing w:after="0" w:line="290" w:lineRule="auto"/>
        <w:tabs>
          <w:tab w:leader="none" w:pos="1748"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the Borrower or the Administrative Agent, sell participations to any Person (other than (w) a natural person (or a holding company, investment vehicle or trust for, or owned and operated for the primary benefit of, a natural person), (x) the Borrower or any of the Borrower’s Affiliates or Subsidiaries, (y) any Defaulting Lender or any of its subsidiaries or (z) a Person who, at the time of such participation, is a Sanctioned Person if the sale of such participation would violate applicable law)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Credit Agreement (including all or a portion of its Revolving Commitment and/or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Credit Agreement shall remain unchanged, (ii) such Lender shall remain solely responsible to the other parties hereto for the performance of such obligations and (iii) the Borrower, the Administrative Agent and each Credit Party shall continue to deal solely and directly with such Lender in connection with such Lender’s rights and obligations under this Credit Agreement.</w:t>
      </w:r>
    </w:p>
    <w:p>
      <w:pPr>
        <w:spacing w:after="0" w:line="16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Credit Agreement and to approve any amendment, modification or waiver of any provision of this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6"/>
          <w:szCs w:val="16"/>
          <w:u w:val="single" w:color="auto"/>
          <w:color w:val="auto"/>
        </w:rPr>
        <w:t>Section 10.2(b)</w:t>
      </w:r>
      <w:r>
        <w:rPr>
          <w:rFonts w:ascii="Arial" w:cs="Arial" w:eastAsia="Arial" w:hAnsi="Arial"/>
          <w:sz w:val="16"/>
          <w:szCs w:val="16"/>
          <w:color w:val="auto"/>
        </w:rPr>
        <w:t xml:space="preserve"> that affects such Participant. The Borrower agrees that each Participant shall be entitled to the benefits of </w:t>
      </w:r>
      <w:r>
        <w:rPr>
          <w:rFonts w:ascii="Arial" w:cs="Arial" w:eastAsia="Arial" w:hAnsi="Arial"/>
          <w:sz w:val="16"/>
          <w:szCs w:val="16"/>
          <w:u w:val="single" w:color="auto"/>
          <w:color w:val="auto"/>
        </w:rPr>
        <w:t>Sections 3.4</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3.6</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3.6(g)</w:t>
      </w:r>
      <w:r>
        <w:rPr>
          <w:rFonts w:ascii="Arial" w:cs="Arial" w:eastAsia="Arial" w:hAnsi="Arial"/>
          <w:sz w:val="16"/>
          <w:szCs w:val="16"/>
          <w:color w:val="auto"/>
        </w:rPr>
        <w:t xml:space="preserve"> shall be delivered to the participating Lender)) to the same extent as if it were a Lender and had acquired its interest by assignment pursuant to paragraph (b)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w:t>
      </w:r>
      <w:r>
        <w:rPr>
          <w:rFonts w:ascii="Arial" w:cs="Arial" w:eastAsia="Arial" w:hAnsi="Arial"/>
          <w:sz w:val="16"/>
          <w:szCs w:val="16"/>
          <w:u w:val="single" w:color="auto"/>
          <w:color w:val="auto"/>
        </w:rPr>
        <w:t>Sections 3.7</w:t>
      </w:r>
      <w:r>
        <w:rPr>
          <w:rFonts w:ascii="Arial" w:cs="Arial" w:eastAsia="Arial" w:hAnsi="Arial"/>
          <w:sz w:val="16"/>
          <w:szCs w:val="16"/>
          <w:color w:val="auto"/>
        </w:rPr>
        <w:t xml:space="preserve"> as if it were an assignee under paragraph (b) of this Section; and (B) shall not be entitled to receive any greater payment under </w:t>
      </w:r>
      <w:r>
        <w:rPr>
          <w:rFonts w:ascii="Arial" w:cs="Arial" w:eastAsia="Arial" w:hAnsi="Arial"/>
          <w:sz w:val="16"/>
          <w:szCs w:val="16"/>
          <w:u w:val="single" w:color="auto"/>
          <w:color w:val="auto"/>
        </w:rPr>
        <w:t>Sections 3.5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3.6</w:t>
      </w:r>
      <w:r>
        <w:rPr>
          <w:rFonts w:ascii="Arial" w:cs="Arial" w:eastAsia="Arial" w:hAnsi="Arial"/>
          <w:sz w:val="16"/>
          <w:szCs w:val="16"/>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6"/>
          <w:szCs w:val="16"/>
          <w:u w:val="single" w:color="auto"/>
          <w:color w:val="auto"/>
        </w:rPr>
        <w:t>Section 3.7(b)</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Credit Agreement notwithstanding any notice to the contrary. For the avoidance of doubt, the Administrative Agent (in its capacity as Administrative Agent) shall have no responsibility for maintaining a Participant Register.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5" w:name="page176"/>
    <w:bookmarkEnd w:id="175"/>
    <w:p>
      <w:pPr>
        <w:jc w:val="both"/>
        <w:ind w:firstLine="1106"/>
        <w:spacing w:after="0" w:line="259" w:lineRule="auto"/>
        <w:tabs>
          <w:tab w:leader="none" w:pos="1684"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Credit Agreement and the Loan Documents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6" w:lineRule="exact"/>
        <w:rPr>
          <w:rFonts w:ascii="Arial" w:cs="Arial" w:eastAsia="Arial" w:hAnsi="Arial"/>
          <w:sz w:val="18"/>
          <w:szCs w:val="18"/>
          <w:color w:val="auto"/>
        </w:rPr>
      </w:pPr>
    </w:p>
    <w:p>
      <w:pPr>
        <w:jc w:val="both"/>
        <w:ind w:firstLine="1106"/>
        <w:spacing w:after="0" w:line="311" w:lineRule="auto"/>
        <w:tabs>
          <w:tab w:leader="none" w:pos="1786"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Cashless Settlement</w:t>
      </w:r>
      <w:r>
        <w:rPr>
          <w:rFonts w:ascii="Arial" w:cs="Arial" w:eastAsia="Arial" w:hAnsi="Arial"/>
          <w:sz w:val="16"/>
          <w:szCs w:val="16"/>
          <w:color w:val="auto"/>
        </w:rPr>
        <w:t>. Notwithstanding anything to the contrary contained in this Credit Agreement, any Lender may exchange, continue or rollover all or a portion of its Loans in connection with any refinancing, extension, loan modification or similar transaction permitted by the terms of this Credit Agreement, pursuant to a cashless settlement mechanism approved by the Borrower, the Administrative Agent and such Lender.</w:t>
      </w:r>
    </w:p>
    <w:p>
      <w:pPr>
        <w:spacing w:after="0" w:line="149" w:lineRule="exact"/>
        <w:rPr>
          <w:sz w:val="20"/>
          <w:szCs w:val="20"/>
          <w:color w:val="auto"/>
        </w:rPr>
      </w:pPr>
    </w:p>
    <w:p>
      <w:pPr>
        <w:jc w:val="both"/>
        <w:ind w:firstLine="450"/>
        <w:spacing w:after="0" w:line="270"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All covenants, agreements, representations and warranties made by the Borrower herein and in the certificates or other instruments prepared or delivered in connection with or pursuant to this Credit Agreement or any other Loan Document shall be considered to have been relied upon by the other parties hereto and shall survive the execution and delivery of any Loan Document and the making of any Loans and the issuance of any Letter of Credit, regardless of any investigation made by any such other party or on its behalf and notwithstanding that any Credit Party may have had notice or knowledge of any Default or incorrect representation or warranty at the time any credit is extended hereunder, and shall continue in full force and effect as long as the principal of or any accrued interest on any Loan or any L/C Obligation or any fee or any other amount payable under the Loan Documents is outstanding and unpaid or any Letter of Credit is outstanding and so long as the Commitments have not expired or terminated. The provisions of </w:t>
      </w:r>
      <w:r>
        <w:rPr>
          <w:rFonts w:ascii="Arial" w:cs="Arial" w:eastAsia="Arial" w:hAnsi="Arial"/>
          <w:sz w:val="17"/>
          <w:szCs w:val="17"/>
          <w:u w:val="single" w:color="auto"/>
          <w:color w:val="auto"/>
        </w:rPr>
        <w:t>Sections 3.4</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w:t>
      </w:r>
      <w:r>
        <w:rPr>
          <w:rFonts w:ascii="Arial" w:cs="Arial" w:eastAsia="Arial" w:hAnsi="Arial"/>
          <w:sz w:val="17"/>
          <w:szCs w:val="17"/>
          <w:u w:val="single" w:color="auto"/>
          <w:color w:val="auto"/>
        </w:rPr>
        <w:t>3.6</w:t>
      </w:r>
      <w:r>
        <w:rPr>
          <w:rFonts w:ascii="Arial" w:cs="Arial" w:eastAsia="Arial" w:hAnsi="Arial"/>
          <w:sz w:val="17"/>
          <w:szCs w:val="17"/>
          <w:color w:val="auto"/>
        </w:rPr>
        <w:t xml:space="preserve">, </w:t>
      </w:r>
      <w:r>
        <w:rPr>
          <w:rFonts w:ascii="Arial" w:cs="Arial" w:eastAsia="Arial" w:hAnsi="Arial"/>
          <w:sz w:val="17"/>
          <w:szCs w:val="17"/>
          <w:u w:val="single" w:color="auto"/>
          <w:color w:val="auto"/>
        </w:rPr>
        <w:t>10.3</w:t>
      </w:r>
      <w:r>
        <w:rPr>
          <w:rFonts w:ascii="Arial" w:cs="Arial" w:eastAsia="Arial" w:hAnsi="Arial"/>
          <w:sz w:val="17"/>
          <w:szCs w:val="17"/>
          <w:color w:val="auto"/>
        </w:rPr>
        <w:t xml:space="preserve">, </w:t>
      </w:r>
      <w:r>
        <w:rPr>
          <w:rFonts w:ascii="Arial" w:cs="Arial" w:eastAsia="Arial" w:hAnsi="Arial"/>
          <w:sz w:val="17"/>
          <w:szCs w:val="17"/>
          <w:u w:val="single" w:color="auto"/>
          <w:color w:val="auto"/>
        </w:rPr>
        <w:t>10.9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shall survive and remain in full force and effect regardless of the consummation of the transactions contemplated hereby or the Termination Date.</w:t>
      </w:r>
    </w:p>
    <w:p>
      <w:pPr>
        <w:spacing w:after="0" w:line="181"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Counterparts; Integration; Effectiveness; Electronic Execution</w:t>
      </w:r>
      <w:r>
        <w:rPr>
          <w:rFonts w:ascii="Arial" w:cs="Arial" w:eastAsia="Arial" w:hAnsi="Arial"/>
          <w:sz w:val="16"/>
          <w:szCs w:val="16"/>
          <w:color w:val="auto"/>
          <w:strike w:val="1"/>
        </w:rPr>
        <w:t>.</w:t>
      </w:r>
    </w:p>
    <w:p>
      <w:pPr>
        <w:spacing w:after="0" w:line="225" w:lineRule="exact"/>
        <w:rPr>
          <w:sz w:val="20"/>
          <w:szCs w:val="20"/>
          <w:color w:val="auto"/>
        </w:rPr>
      </w:pPr>
    </w:p>
    <w:p>
      <w:pPr>
        <w:jc w:val="both"/>
        <w:ind w:firstLine="1106"/>
        <w:spacing w:after="0" w:line="289" w:lineRule="auto"/>
        <w:tabs>
          <w:tab w:leader="none" w:pos="1765" w:val="left"/>
        </w:tabs>
        <w:numPr>
          <w:ilvl w:val="0"/>
          <w:numId w:val="199"/>
        </w:numPr>
        <w:rPr>
          <w:rFonts w:ascii="Arial" w:cs="Arial" w:eastAsia="Arial" w:hAnsi="Arial"/>
          <w:sz w:val="16"/>
          <w:szCs w:val="16"/>
          <w:color w:val="FF0000"/>
          <w:strike w:val="1"/>
        </w:rPr>
      </w:pPr>
      <w:r>
        <w:rPr>
          <w:rFonts w:ascii="Arial" w:cs="Arial" w:eastAsia="Arial" w:hAnsi="Arial"/>
          <w:sz w:val="16"/>
          <w:szCs w:val="16"/>
          <w:u w:val="single" w:color="auto"/>
          <w:color w:val="FF0000"/>
          <w:strike w:val="1"/>
        </w:rPr>
        <w:t>Counterparts; Integration; Effectiveness</w:t>
      </w:r>
      <w:r>
        <w:rPr>
          <w:rFonts w:ascii="Arial" w:cs="Arial" w:eastAsia="Arial" w:hAnsi="Arial"/>
          <w:sz w:val="16"/>
          <w:szCs w:val="16"/>
          <w:color w:val="000000"/>
        </w:rPr>
        <w:t>. This Credit Agreement may be executed in</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one or more</w:t>
      </w:r>
      <w:r>
        <w:rPr>
          <w:rFonts w:ascii="Arial" w:cs="Arial" w:eastAsia="Arial" w:hAnsi="Arial"/>
          <w:sz w:val="16"/>
          <w:szCs w:val="16"/>
          <w:color w:val="FF0000"/>
        </w:rPr>
        <w:t xml:space="preserve"> </w:t>
      </w:r>
      <w:r>
        <w:rPr>
          <w:rFonts w:ascii="Arial" w:cs="Arial" w:eastAsia="Arial" w:hAnsi="Arial"/>
          <w:sz w:val="16"/>
          <w:szCs w:val="16"/>
          <w:color w:val="000000"/>
        </w:rPr>
        <w:t>counterparts</w:t>
      </w:r>
      <w:r>
        <w:rPr>
          <w:rFonts w:ascii="Arial" w:cs="Arial" w:eastAsia="Arial" w:hAnsi="Arial"/>
          <w:sz w:val="16"/>
          <w:szCs w:val="16"/>
          <w:color w:val="FF0000"/>
        </w:rPr>
        <w:t xml:space="preserve"> (and by different </w:t>
      </w:r>
      <w:r>
        <w:rPr>
          <w:rFonts w:ascii="Arial" w:cs="Arial" w:eastAsia="Arial" w:hAnsi="Arial"/>
          <w:sz w:val="16"/>
          <w:szCs w:val="16"/>
          <w:color w:val="FF0000"/>
          <w:strike w:val="1"/>
        </w:rPr>
        <w:t>parties hereto in different counterparts)</w:t>
      </w:r>
      <w:r>
        <w:rPr>
          <w:rFonts w:ascii="Arial" w:cs="Arial" w:eastAsia="Arial" w:hAnsi="Arial"/>
          <w:sz w:val="16"/>
          <w:szCs w:val="16"/>
          <w:color w:val="000000"/>
        </w:rPr>
        <w:t>, each of which shall</w:t>
      </w:r>
      <w:r>
        <w:rPr>
          <w:rFonts w:ascii="Arial" w:cs="Arial" w:eastAsia="Arial" w:hAnsi="Arial"/>
          <w:sz w:val="16"/>
          <w:szCs w:val="16"/>
          <w:color w:val="FF0000"/>
        </w:rPr>
        <w:t xml:space="preserve"> </w:t>
      </w:r>
      <w:r>
        <w:rPr>
          <w:rFonts w:ascii="Arial" w:cs="Arial" w:eastAsia="Arial" w:hAnsi="Arial"/>
          <w:sz w:val="16"/>
          <w:szCs w:val="16"/>
          <w:color w:val="FF0000"/>
          <w:strike w:val="1"/>
        </w:rPr>
        <w:t>constitute</w:t>
      </w:r>
      <w:r>
        <w:rPr>
          <w:rFonts w:ascii="Arial" w:cs="Arial" w:eastAsia="Arial" w:hAnsi="Arial"/>
          <w:sz w:val="16"/>
          <w:szCs w:val="16"/>
          <w:u w:val="single" w:color="auto"/>
          <w:color w:val="0000FF"/>
        </w:rPr>
        <w:t>be deemed</w:t>
      </w:r>
      <w:r>
        <w:rPr>
          <w:rFonts w:ascii="Arial" w:cs="Arial" w:eastAsia="Arial" w:hAnsi="Arial"/>
          <w:sz w:val="16"/>
          <w:szCs w:val="16"/>
          <w:color w:val="FF0000"/>
        </w:rPr>
        <w:t xml:space="preserve"> </w:t>
      </w:r>
      <w:r>
        <w:rPr>
          <w:rFonts w:ascii="Arial" w:cs="Arial" w:eastAsia="Arial" w:hAnsi="Arial"/>
          <w:sz w:val="16"/>
          <w:szCs w:val="16"/>
          <w:color w:val="000000"/>
        </w:rPr>
        <w:t>an original, but all of which</w:t>
      </w:r>
      <w:r>
        <w:rPr>
          <w:rFonts w:ascii="Arial" w:cs="Arial" w:eastAsia="Arial" w:hAnsi="Arial"/>
          <w:sz w:val="16"/>
          <w:szCs w:val="16"/>
          <w:color w:val="FF0000"/>
        </w:rPr>
        <w:t xml:space="preserve"> </w:t>
      </w:r>
      <w:r>
        <w:rPr>
          <w:rFonts w:ascii="Arial" w:cs="Arial" w:eastAsia="Arial" w:hAnsi="Arial"/>
          <w:sz w:val="16"/>
          <w:szCs w:val="16"/>
          <w:color w:val="FF0000"/>
          <w:strike w:val="1"/>
        </w:rPr>
        <w:t>when taken</w:t>
      </w:r>
      <w:r>
        <w:rPr>
          <w:rFonts w:ascii="Arial" w:cs="Arial" w:eastAsia="Arial" w:hAnsi="Arial"/>
          <w:sz w:val="16"/>
          <w:szCs w:val="16"/>
          <w:color w:val="FF0000"/>
        </w:rPr>
        <w:t xml:space="preserve"> </w:t>
      </w:r>
      <w:r>
        <w:rPr>
          <w:rFonts w:ascii="Arial" w:cs="Arial" w:eastAsia="Arial" w:hAnsi="Arial"/>
          <w:sz w:val="16"/>
          <w:szCs w:val="16"/>
          <w:color w:val="000000"/>
        </w:rPr>
        <w:t>together shall constitute</w:t>
      </w:r>
      <w:r>
        <w:rPr>
          <w:rFonts w:ascii="Arial" w:cs="Arial" w:eastAsia="Arial" w:hAnsi="Arial"/>
          <w:sz w:val="16"/>
          <w:szCs w:val="16"/>
          <w:color w:val="FF0000"/>
        </w:rPr>
        <w:t xml:space="preserve"> </w:t>
      </w:r>
      <w:r>
        <w:rPr>
          <w:rFonts w:ascii="Arial" w:cs="Arial" w:eastAsia="Arial" w:hAnsi="Arial"/>
          <w:sz w:val="16"/>
          <w:szCs w:val="16"/>
          <w:color w:val="FF0000"/>
          <w:strike w:val="1"/>
        </w:rPr>
        <w:t>a single</w:t>
      </w:r>
      <w:r>
        <w:rPr>
          <w:rFonts w:ascii="Arial" w:cs="Arial" w:eastAsia="Arial" w:hAnsi="Arial"/>
          <w:sz w:val="16"/>
          <w:szCs w:val="16"/>
          <w:color w:val="FF0000"/>
        </w:rPr>
        <w:t xml:space="preserve"> </w:t>
      </w:r>
      <w:r>
        <w:rPr>
          <w:rFonts w:ascii="Arial" w:cs="Arial" w:eastAsia="Arial" w:hAnsi="Arial"/>
          <w:sz w:val="16"/>
          <w:szCs w:val="16"/>
          <w:color w:val="FF0000"/>
          <w:strike w:val="1"/>
        </w:rPr>
        <w:t>contract.</w:t>
      </w:r>
      <w:r>
        <w:rPr>
          <w:rFonts w:ascii="Arial" w:cs="Arial" w:eastAsia="Arial" w:hAnsi="Arial"/>
          <w:sz w:val="16"/>
          <w:szCs w:val="16"/>
          <w:color w:val="FF0000"/>
        </w:rPr>
        <w:t xml:space="preserve"> This Credit Agreement and the other Loan Documents, and any separate letter agreements with respect to fees payable to the Administrative </w:t>
      </w:r>
      <w:r>
        <w:rPr>
          <w:rFonts w:ascii="Arial" w:cs="Arial" w:eastAsia="Arial" w:hAnsi="Arial"/>
          <w:sz w:val="16"/>
          <w:szCs w:val="16"/>
          <w:color w:val="FF0000"/>
          <w:strike w:val="1"/>
        </w:rPr>
        <w:t>Agent, constitute the entire contract among the parties relating to the subject matter hereof and supersede any and all previous agreements and understandings, oral or written, relating to the subject matter hereof</w:t>
      </w:r>
      <w:r>
        <w:rPr>
          <w:rFonts w:ascii="Arial" w:cs="Arial" w:eastAsia="Arial" w:hAnsi="Arial"/>
          <w:sz w:val="16"/>
          <w:szCs w:val="16"/>
          <w:u w:val="single" w:color="auto"/>
          <w:color w:val="0000FF"/>
          <w:strike w:val="1"/>
        </w:rPr>
        <w:t>one and the same instrument</w:t>
      </w:r>
      <w:r>
        <w:rPr>
          <w:rFonts w:ascii="Arial" w:cs="Arial" w:eastAsia="Arial" w:hAnsi="Arial"/>
          <w:sz w:val="16"/>
          <w:szCs w:val="16"/>
          <w:color w:val="000000"/>
          <w:strike w:val="1"/>
        </w:rPr>
        <w:t>. Except as provided in</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00"/>
          <w:strike w:val="1"/>
        </w:rPr>
        <w:t>Section 4.1</w:t>
      </w:r>
      <w:r>
        <w:rPr>
          <w:rFonts w:ascii="Arial" w:cs="Arial" w:eastAsia="Arial" w:hAnsi="Arial"/>
          <w:sz w:val="16"/>
          <w:szCs w:val="16"/>
          <w:color w:val="000000"/>
          <w:strike w:val="1"/>
        </w:rPr>
        <w:t>, this Credit Agreement</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shall become effective when it shall have been executed by the Administrative Agent and when the Administrative Agent shall have received counterparts hereof that, when taken together, bear the signatures of each of the other parties hereto. Delivery of an executed </w:t>
      </w:r>
      <w:r>
        <w:rPr>
          <w:rFonts w:ascii="Arial" w:cs="Arial" w:eastAsia="Arial" w:hAnsi="Arial"/>
          <w:sz w:val="16"/>
          <w:szCs w:val="16"/>
          <w:color w:val="FF0000"/>
          <w:strike w:val="1"/>
        </w:rPr>
        <w:t>counterpart of a</w:t>
      </w:r>
      <w:r>
        <w:rPr>
          <w:rFonts w:ascii="Arial" w:cs="Arial" w:eastAsia="Arial" w:hAnsi="Arial"/>
          <w:sz w:val="16"/>
          <w:szCs w:val="16"/>
          <w:color w:val="000000"/>
          <w:strike w:val="1"/>
        </w:rPr>
        <w:t xml:space="preserve"> signature page </w:t>
      </w:r>
      <w:r>
        <w:rPr>
          <w:rFonts w:ascii="Arial" w:cs="Arial" w:eastAsia="Arial" w:hAnsi="Arial"/>
          <w:sz w:val="16"/>
          <w:szCs w:val="16"/>
          <w:color w:val="FF0000"/>
          <w:strike w:val="1"/>
        </w:rPr>
        <w:t>of this</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Credit Agreement by facsimile or in</w:t>
      </w:r>
      <w:r>
        <w:rPr>
          <w:rFonts w:ascii="Arial" w:cs="Arial" w:eastAsia="Arial" w:hAnsi="Arial"/>
          <w:sz w:val="16"/>
          <w:szCs w:val="16"/>
          <w:u w:val="single" w:color="auto"/>
          <w:color w:val="0000FF"/>
          <w:strike w:val="1"/>
        </w:rPr>
        <w:t>counterpart hereof by telecopy, emailed .pdf or any other</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electronic</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FF0000"/>
          <w:strike w:val="1"/>
        </w:rPr>
        <w:t>e.g.</w:t>
      </w:r>
      <w:r>
        <w:rPr>
          <w:rFonts w:ascii="Arial" w:cs="Arial" w:eastAsia="Arial" w:hAnsi="Arial"/>
          <w:sz w:val="16"/>
          <w:szCs w:val="16"/>
          <w:color w:val="FF0000"/>
          <w:strike w:val="1"/>
        </w:rPr>
        <w:t>, “pdf” or “tif”) format</w:t>
      </w:r>
      <w:r>
        <w:rPr>
          <w:rFonts w:ascii="Arial" w:cs="Arial" w:eastAsia="Arial" w:hAnsi="Arial"/>
          <w:sz w:val="16"/>
          <w:szCs w:val="16"/>
          <w:u w:val="single" w:color="auto"/>
          <w:color w:val="0000FF"/>
          <w:strike w:val="1"/>
        </w:rPr>
        <w:t>means that reproduces</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an image of the actual executed signature page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shall be effective as delivery of a manually executed counterpart</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of this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-1127760</wp:posOffset>
            </wp:positionV>
            <wp:extent cx="60833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-1196340</wp:posOffset>
            </wp:positionV>
            <wp:extent cx="82867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867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-990600</wp:posOffset>
            </wp:positionV>
            <wp:extent cx="48895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-922020</wp:posOffset>
            </wp:positionV>
            <wp:extent cx="669544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69544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-579120</wp:posOffset>
            </wp:positionV>
            <wp:extent cx="131127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31127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-167640</wp:posOffset>
            </wp:positionV>
            <wp:extent cx="263144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63144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-167640</wp:posOffset>
            </wp:positionV>
            <wp:extent cx="102870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213423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6" w:name="page177"/>
    <w:bookmarkEnd w:id="176"/>
    <w:p>
      <w:pPr>
        <w:jc w:val="both"/>
        <w:ind w:firstLine="1098"/>
        <w:spacing w:after="0" w:line="284" w:lineRule="auto"/>
        <w:rPr>
          <w:sz w:val="20"/>
          <w:szCs w:val="20"/>
          <w:color w:val="auto"/>
        </w:rPr>
      </w:pPr>
      <w:r>
        <w:rPr>
          <w:rFonts w:ascii="Arial" w:cs="Arial" w:eastAsia="Arial" w:hAnsi="Arial"/>
          <w:sz w:val="16"/>
          <w:szCs w:val="16"/>
          <w:u w:val="single" w:color="auto"/>
          <w:color w:val="0000FF"/>
        </w:rPr>
        <w:t>hereof.</w:t>
      </w:r>
      <w:r>
        <w:rPr>
          <w:rFonts w:ascii="Arial" w:cs="Arial" w:eastAsia="Arial" w:hAnsi="Arial"/>
          <w:sz w:val="16"/>
          <w:szCs w:val="16"/>
          <w:color w:val="0000FF"/>
        </w:rPr>
        <w:t xml:space="preserve"> </w:t>
      </w:r>
      <w:r>
        <w:rPr>
          <w:rFonts w:ascii="Arial" w:cs="Arial" w:eastAsia="Arial" w:hAnsi="Arial"/>
          <w:sz w:val="16"/>
          <w:szCs w:val="16"/>
          <w:color w:val="FF0000"/>
          <w:strike w:val="1"/>
        </w:rPr>
        <w:t>(b)</w:t>
      </w:r>
      <w:r>
        <w:rPr>
          <w:rFonts w:ascii="Arial" w:cs="Arial" w:eastAsia="Arial" w:hAnsi="Arial"/>
          <w:sz w:val="16"/>
          <w:szCs w:val="16"/>
          <w:color w:val="0000FF"/>
        </w:rPr>
        <w:t xml:space="preserve"> </w:t>
      </w:r>
      <w:r>
        <w:rPr>
          <w:rFonts w:ascii="Arial" w:cs="Arial" w:eastAsia="Arial" w:hAnsi="Arial"/>
          <w:sz w:val="16"/>
          <w:szCs w:val="16"/>
          <w:u w:val="single" w:color="auto"/>
          <w:color w:val="FF0000"/>
          <w:strike w:val="1"/>
        </w:rPr>
        <w:t>Electronic Execution of Assignments</w:t>
      </w:r>
      <w:r>
        <w:rPr>
          <w:rFonts w:ascii="Arial" w:cs="Arial" w:eastAsia="Arial" w:hAnsi="Arial"/>
          <w:sz w:val="16"/>
          <w:szCs w:val="16"/>
          <w:color w:val="FF0000"/>
          <w:strike w:val="1"/>
        </w:rPr>
        <w:t>.</w:t>
      </w:r>
      <w:r>
        <w:rPr>
          <w:rFonts w:ascii="Arial" w:cs="Arial" w:eastAsia="Arial" w:hAnsi="Arial"/>
          <w:sz w:val="16"/>
          <w:szCs w:val="16"/>
          <w:color w:val="0000FF"/>
        </w:rPr>
        <w:t xml:space="preserve"> </w:t>
      </w:r>
      <w:r>
        <w:rPr>
          <w:rFonts w:ascii="Arial" w:cs="Arial" w:eastAsia="Arial" w:hAnsi="Arial"/>
          <w:sz w:val="16"/>
          <w:szCs w:val="16"/>
          <w:color w:val="000000"/>
        </w:rPr>
        <w:t>The words “execution,” “signed,” “signature,”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“delivery,”</w:t>
      </w:r>
      <w:r>
        <w:rPr>
          <w:rFonts w:ascii="Arial" w:cs="Arial" w:eastAsia="Arial" w:hAnsi="Arial"/>
          <w:sz w:val="16"/>
          <w:szCs w:val="16"/>
          <w:color w:val="0000FF"/>
        </w:rPr>
        <w:t xml:space="preserve"> </w:t>
      </w:r>
      <w:r>
        <w:rPr>
          <w:rFonts w:ascii="Arial" w:cs="Arial" w:eastAsia="Arial" w:hAnsi="Arial"/>
          <w:sz w:val="16"/>
          <w:szCs w:val="16"/>
          <w:color w:val="000000"/>
        </w:rPr>
        <w:t>and words of like import in</w:t>
      </w:r>
      <w:r>
        <w:rPr>
          <w:rFonts w:ascii="Arial" w:cs="Arial" w:eastAsia="Arial" w:hAnsi="Arial"/>
          <w:sz w:val="16"/>
          <w:szCs w:val="16"/>
          <w:color w:val="0000FF"/>
        </w:rPr>
        <w:t xml:space="preserve"> </w:t>
      </w:r>
      <w:r>
        <w:rPr>
          <w:rFonts w:ascii="Arial" w:cs="Arial" w:eastAsia="Arial" w:hAnsi="Arial"/>
          <w:sz w:val="16"/>
          <w:szCs w:val="16"/>
          <w:color w:val="FF0000"/>
          <w:strike w:val="1"/>
        </w:rPr>
        <w:t>any Assignment and Assumption</w:t>
      </w:r>
      <w:r>
        <w:rPr>
          <w:rFonts w:ascii="Arial" w:cs="Arial" w:eastAsia="Arial" w:hAnsi="Arial"/>
          <w:sz w:val="16"/>
          <w:szCs w:val="16"/>
          <w:u w:val="single" w:color="auto"/>
          <w:color w:val="0000FF"/>
          <w:strike w:val="1"/>
        </w:rPr>
        <w:t>or relating to any document to be signed in connection with this Credit Agreement and the transactions contemplated</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hereby</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shall be deemed to include electronic signatures</w:t>
      </w:r>
      <w:r>
        <w:rPr>
          <w:rFonts w:ascii="Arial" w:cs="Arial" w:eastAsia="Arial" w:hAnsi="Arial"/>
          <w:sz w:val="16"/>
          <w:szCs w:val="16"/>
          <w:u w:val="single" w:color="auto"/>
          <w:color w:val="000000"/>
          <w:strike w:val="1"/>
        </w:rPr>
        <w:t>,</w:t>
      </w:r>
      <w:r>
        <w:rPr>
          <w:rFonts w:ascii="Arial" w:cs="Arial" w:eastAsia="Arial" w:hAnsi="Arial"/>
          <w:sz w:val="16"/>
          <w:szCs w:val="16"/>
          <w:color w:val="0000FF"/>
          <w:strike w:val="1"/>
        </w:rPr>
        <w:t xml:space="preserve"> the electronic association of signatures and records on electronic platforms, deliveries </w:t>
      </w:r>
      <w:r>
        <w:rPr>
          <w:rFonts w:ascii="Arial" w:cs="Arial" w:eastAsia="Arial" w:hAnsi="Arial"/>
          <w:sz w:val="16"/>
          <w:szCs w:val="16"/>
          <w:color w:val="000000"/>
          <w:strike w:val="1"/>
        </w:rPr>
        <w:t>or the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keeping of records in electronic form, each of which shall be of the same legal effect, validity or enforceability as a manually executed signature</w:t>
      </w:r>
      <w:r>
        <w:rPr>
          <w:rFonts w:ascii="Arial" w:cs="Arial" w:eastAsia="Arial" w:hAnsi="Arial"/>
          <w:sz w:val="16"/>
          <w:szCs w:val="16"/>
          <w:u w:val="single" w:color="auto"/>
          <w:color w:val="0000FF"/>
          <w:strike w:val="1"/>
        </w:rPr>
        <w:t>, physical</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delivery thereof</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or the use of a paper-based recordkeeping system, as the case may be, to the extent and as provided for in any applicable law, including the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Federal Electronic Signatures in Global and National Commerce Act, the New York State Electronic Signatures and Records Act, </w:t>
      </w:r>
      <w:r>
        <w:rPr>
          <w:rFonts w:ascii="Arial" w:cs="Arial" w:eastAsia="Arial" w:hAnsi="Arial"/>
          <w:sz w:val="16"/>
          <w:szCs w:val="16"/>
          <w:color w:val="FF0000"/>
          <w:strike w:val="1"/>
        </w:rPr>
        <w:t>or</w:t>
      </w:r>
      <w:r>
        <w:rPr>
          <w:rFonts w:ascii="Arial" w:cs="Arial" w:eastAsia="Arial" w:hAnsi="Arial"/>
          <w:sz w:val="16"/>
          <w:szCs w:val="16"/>
          <w:color w:val="000000"/>
          <w:strike w:val="1"/>
        </w:rPr>
        <w:t xml:space="preserve"> any other similar state laws based on the Uniform Electronic Transactions Act</w:t>
      </w:r>
      <w:r>
        <w:rPr>
          <w:rFonts w:ascii="Arial" w:cs="Arial" w:eastAsia="Arial" w:hAnsi="Arial"/>
          <w:sz w:val="16"/>
          <w:szCs w:val="16"/>
          <w:color w:val="FF0000"/>
          <w:strike w:val="1"/>
        </w:rPr>
        <w:t>.</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or the Uniform Commercial Code, each as amended, and the parties hereto hereby waive any</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objection to the contrary, provided that (x) nothing herein shall require Administrative Agent to accept electronic signature counterparts in any form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-967740</wp:posOffset>
            </wp:positionV>
            <wp:extent cx="35179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-967740</wp:posOffset>
            </wp:positionV>
            <wp:extent cx="52260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-830580</wp:posOffset>
            </wp:positionV>
            <wp:extent cx="557212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5572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30861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-693420</wp:posOffset>
            </wp:positionV>
            <wp:extent cx="414020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414020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2673350</wp:posOffset>
            </wp:positionH>
            <wp:positionV relativeFrom="paragraph">
              <wp:posOffset>-710565</wp:posOffset>
            </wp:positionV>
            <wp:extent cx="413512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4135120"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-556260</wp:posOffset>
            </wp:positionV>
            <wp:extent cx="44577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2834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-144780</wp:posOffset>
            </wp:positionV>
            <wp:extent cx="444881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44488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right="20"/>
        <w:spacing w:after="0" w:line="253" w:lineRule="auto"/>
        <w:rPr>
          <w:sz w:val="20"/>
          <w:szCs w:val="20"/>
          <w:color w:val="auto"/>
        </w:rPr>
      </w:pPr>
      <w:r>
        <w:rPr>
          <w:rFonts w:ascii="Arial" w:cs="Arial" w:eastAsia="Arial" w:hAnsi="Arial"/>
          <w:sz w:val="18"/>
          <w:szCs w:val="18"/>
          <w:u w:val="single" w:color="auto"/>
          <w:color w:val="0000FF"/>
        </w:rPr>
        <w:t>format and (y) Administrative Agent reserves the right to require, at any time and at its sole discretion, the delivery of manually executed counterpart signature pages to any Loan Document and the parties hereto agree to promptly deliver such manually executed counterpart signature pages. This Credit Agreement and the other Loan Documents, and any separate letter agreements with respect to fees payable to Administrative Agent or any Lender, constitute the entire contract among the parties relating to the subject matter hereof and supersede any and all previous agreements and understandings, oral or written, relating to the subject matter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2343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12343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2343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2343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216027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71" w:lineRule="exact"/>
        <w:rPr>
          <w:sz w:val="20"/>
          <w:szCs w:val="20"/>
          <w:color w:val="auto"/>
        </w:rPr>
      </w:pPr>
    </w:p>
    <w:p>
      <w:pPr>
        <w:jc w:val="both"/>
        <w:ind w:firstLine="450"/>
        <w:spacing w:after="0" w:line="275"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any one or more of the provisions contained in this Credit Agreement should be held invalid, illegal or unenforceable in any respect, the validity, legality and enforceability of the remaining provisions contained 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176"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Setoff</w:t>
      </w:r>
      <w:r>
        <w:rPr>
          <w:rFonts w:ascii="Arial" w:cs="Arial" w:eastAsia="Arial" w:hAnsi="Arial"/>
          <w:sz w:val="17"/>
          <w:szCs w:val="17"/>
          <w:color w:val="auto"/>
        </w:rPr>
        <w:t xml:space="preserve">. If an Event of Default shall have occurred and be continuing, each Credit Party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Credit Party or any such Affiliate to or for the credit or the account of any Loan Party or any of its Subsidiaries against any and all of the obligations of such Loan Party or such Subsidiary now or hereafter existing under this Credit Agreement or any other Loan Document to such Credit Party or Affiliate, irrespective of whether or not such Credit Party shall have made any demand under this Credit Agreement or any other Loan Document and although such obligations of such Loan Party or Subsidiary may be contingent or unmatured or are owed to a branch or office of such Credit Party different from the branch or office holding such deposit or obligated on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Secured Obligations owing to such Defaulting Lender as to which it exercised such right of setoff. The rights of each Credit Party and its Affiliates under this Section are in addition to other rights and remedies (including other rights of setoff) that such Credit Party and its Affiliates may have. Each Credit Party agrees to notify the Borrower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7" w:name="page178"/>
    <w:bookmarkEnd w:id="177"/>
    <w:p>
      <w:pPr>
        <w:ind w:left="460"/>
        <w:spacing w:after="0"/>
        <w:tabs>
          <w:tab w:leader="none" w:pos="156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w:t>
      </w:r>
    </w:p>
    <w:p>
      <w:pPr>
        <w:spacing w:after="0" w:line="225" w:lineRule="exact"/>
        <w:rPr>
          <w:sz w:val="20"/>
          <w:szCs w:val="20"/>
          <w:color w:val="auto"/>
        </w:rPr>
      </w:pPr>
    </w:p>
    <w:p>
      <w:pPr>
        <w:ind w:left="1660" w:hanging="554"/>
        <w:spacing w:after="0"/>
        <w:tabs>
          <w:tab w:leader="none" w:pos="1660"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Credit Agreement shall be governed by, and construed in accordance with, the laws of the State of New York.</w:t>
      </w:r>
    </w:p>
    <w:p>
      <w:pPr>
        <w:spacing w:after="0" w:line="248" w:lineRule="exact"/>
        <w:rPr>
          <w:rFonts w:ascii="Arial" w:cs="Arial" w:eastAsia="Arial" w:hAnsi="Arial"/>
          <w:sz w:val="16"/>
          <w:szCs w:val="16"/>
          <w:color w:val="auto"/>
        </w:rPr>
      </w:pPr>
    </w:p>
    <w:p>
      <w:pPr>
        <w:jc w:val="both"/>
        <w:ind w:firstLine="1106"/>
        <w:spacing w:after="0" w:line="270" w:lineRule="auto"/>
        <w:tabs>
          <w:tab w:leader="none" w:pos="1775"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of the parties hereto irrevocably and unconditionally submits, for itself and its property, to the exclusive jurisdiction of the courts of the State of New York sitting in New York County and of the United States District Court for the Southern District of New York and any appellate court from any thereof, in any action or proceeding arising out of or relating to this Credit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Credit Agreement or in any other Loan Document shall affect any right that any Credit Party may otherwise have to bring any action or proceeding relating to this Credit Agreement or any other Loan Document against the Borrower or any other Loan Party or its properties in the courts of any jurisdiction.</w:t>
      </w:r>
    </w:p>
    <w:p>
      <w:pPr>
        <w:spacing w:after="0" w:line="180" w:lineRule="exact"/>
        <w:rPr>
          <w:rFonts w:ascii="Arial" w:cs="Arial" w:eastAsia="Arial" w:hAnsi="Arial"/>
          <w:sz w:val="17"/>
          <w:szCs w:val="17"/>
          <w:color w:val="auto"/>
        </w:rPr>
      </w:pPr>
    </w:p>
    <w:p>
      <w:pPr>
        <w:jc w:val="both"/>
        <w:ind w:firstLine="1106"/>
        <w:spacing w:after="0" w:line="301" w:lineRule="auto"/>
        <w:tabs>
          <w:tab w:leader="none" w:pos="1684"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Waiver of Objection to Venue</w:t>
      </w:r>
      <w:r>
        <w:rPr>
          <w:rFonts w:ascii="Arial" w:cs="Arial" w:eastAsia="Arial" w:hAnsi="Arial"/>
          <w:sz w:val="16"/>
          <w:szCs w:val="16"/>
          <w:color w:val="auto"/>
        </w:rPr>
        <w:t>. Each of the parties hereto irrevocably and unconditionally waives, to the fullest extent permitted by applicable law, any objection that it may now or hereafter have to the laying of venue of any action or proceeding arising out of or relating to this Credit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57" w:lineRule="exact"/>
        <w:rPr>
          <w:rFonts w:ascii="Arial" w:cs="Arial" w:eastAsia="Arial" w:hAnsi="Arial"/>
          <w:sz w:val="16"/>
          <w:szCs w:val="16"/>
          <w:color w:val="auto"/>
        </w:rPr>
      </w:pPr>
    </w:p>
    <w:p>
      <w:pPr>
        <w:jc w:val="both"/>
        <w:ind w:firstLine="1106"/>
        <w:spacing w:after="0" w:line="263" w:lineRule="auto"/>
        <w:tabs>
          <w:tab w:leader="none" w:pos="1802"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of the parties hereto irrevocably consents to service of process in the manner provided for notices in </w:t>
      </w:r>
      <w:r>
        <w:rPr>
          <w:rFonts w:ascii="Arial" w:cs="Arial" w:eastAsia="Arial" w:hAnsi="Arial"/>
          <w:sz w:val="18"/>
          <w:szCs w:val="18"/>
          <w:u w:val="single" w:color="auto"/>
          <w:color w:val="auto"/>
        </w:rPr>
        <w:t>Section 10.1</w:t>
      </w:r>
      <w:r>
        <w:rPr>
          <w:rFonts w:ascii="Arial" w:cs="Arial" w:eastAsia="Arial" w:hAnsi="Arial"/>
          <w:sz w:val="18"/>
          <w:szCs w:val="18"/>
          <w:color w:val="auto"/>
        </w:rPr>
        <w:t>. Nothing in this Credit Agreement will affect the right of any party to this Credit Agreement to serve process in any other manner permitted by law.</w:t>
      </w:r>
    </w:p>
    <w:p>
      <w:pPr>
        <w:spacing w:after="0" w:line="184" w:lineRule="exact"/>
        <w:rPr>
          <w:sz w:val="20"/>
          <w:szCs w:val="20"/>
          <w:color w:val="auto"/>
        </w:rPr>
      </w:pPr>
    </w:p>
    <w:p>
      <w:pPr>
        <w:jc w:val="both"/>
        <w:ind w:firstLine="450"/>
        <w:spacing w:after="0" w:line="253"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IRREVOCABLY WAIVES, TO THE FULLEST EXTENT PERMITTED BY APPLICABLE LAW, ANY RIGHT IT MAY HAVE TO A TRIAL BY JURY IN ANY LEGAL PROCEEDING DIRECTLY OR INDIRECTLY ARISING OUT OF OR RELATING TO THIS CREDIT AGREEMENT OR ANY OTHER LOAN DOCUMENT OR THE TRANSACTIONS CONTEMPLATED HEREBY OR THEREBY (WHETHER BASED ON CONTRACT, TORT OR ANY OTHER THEORY). EACH PARTY HERETO HEREBY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CREDIT AGREEMENT AND THE OTHER LOAN DOCUMENTS BY, AMONG OTHER THINGS, THE MUTUAL WAIVERS AND CERTIFICATIONS IN THIS SECTION.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8" w:name="page179"/>
    <w:bookmarkEnd w:id="178"/>
    <w:p>
      <w:pPr>
        <w:jc w:val="both"/>
        <w:ind w:firstLine="450"/>
        <w:spacing w:after="0" w:line="290"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u w:val="single" w:color="auto"/>
          <w:color w:val="auto"/>
        </w:rPr>
        <w:t>Payments Set Aside</w:t>
      </w:r>
      <w:r>
        <w:rPr>
          <w:rFonts w:ascii="Arial" w:cs="Arial" w:eastAsia="Arial" w:hAnsi="Arial"/>
          <w:sz w:val="16"/>
          <w:szCs w:val="16"/>
          <w:color w:val="auto"/>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Fraudulent Transfer Law,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the Administrative Agent,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interest thereon from the date of such demand to the date such payment is made at a rate per annum equal to the Federal Funds Effective Rate.</w:t>
      </w:r>
    </w:p>
    <w:p>
      <w:pPr>
        <w:spacing w:after="0" w:line="16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Credit Agreement and shall not affect the construction of, or be taken into consideration in interpreting, this Credit Agreement.</w:t>
      </w:r>
    </w:p>
    <w:p>
      <w:pPr>
        <w:spacing w:after="0" w:line="170" w:lineRule="exact"/>
        <w:rPr>
          <w:sz w:val="20"/>
          <w:szCs w:val="20"/>
          <w:color w:val="auto"/>
        </w:rPr>
      </w:pPr>
    </w:p>
    <w:p>
      <w:pPr>
        <w:jc w:val="both"/>
        <w:ind w:firstLine="450"/>
        <w:spacing w:after="0" w:line="270"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 Loan or L/C Obligation, together with all fees, charges and other amounts that are treated as interest thereon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that may be contracted for, charged, taken, received or reserved by the Lender holding an interest in such Loan or L/C Obligation in accordance with applicable law, the rate of interest payable in respect of such Loan or L/C Obligation hereunder, together with all of the charges payable in respect thereof, shall be limited to the maximum rate and, to the extent lawful, the interest and the charges that would have been payable in respect of such Loan or L/C Obligation but were not payable as a result of the operation of this Section shall be cumulated, and the interest and the charges payable to such Lender in respect of other Loans or L/C Obligations or periods shall be increased (but not above the maximum rate therefor) until such cumulated amount, together with interest thereon at the Federal Funds Effective Rate to the date of repayment, shall have been received by such Lender.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Confidentiality; Treatment of Certain Information</w:t>
      </w:r>
      <w:r>
        <w:rPr>
          <w:rFonts w:ascii="Arial" w:cs="Arial" w:eastAsia="Arial" w:hAnsi="Arial"/>
          <w:sz w:val="18"/>
          <w:szCs w:val="18"/>
          <w:color w:val="auto"/>
        </w:rPr>
        <w:t>.</w:t>
      </w:r>
    </w:p>
    <w:p>
      <w:pPr>
        <w:spacing w:after="0" w:line="225" w:lineRule="exact"/>
        <w:rPr>
          <w:sz w:val="20"/>
          <w:szCs w:val="20"/>
          <w:color w:val="auto"/>
        </w:rPr>
      </w:pPr>
    </w:p>
    <w:p>
      <w:pPr>
        <w:jc w:val="both"/>
        <w:ind w:firstLine="1106"/>
        <w:spacing w:after="0" w:line="283" w:lineRule="auto"/>
        <w:tabs>
          <w:tab w:leader="none" w:pos="1803" w:val="left"/>
        </w:tabs>
        <w:numPr>
          <w:ilvl w:val="1"/>
          <w:numId w:val="201"/>
        </w:numPr>
        <w:rPr>
          <w:rFonts w:ascii="Arial" w:cs="Arial" w:eastAsia="Arial" w:hAnsi="Arial"/>
          <w:sz w:val="16"/>
          <w:szCs w:val="16"/>
          <w:color w:val="auto"/>
        </w:rPr>
      </w:pPr>
      <w:r>
        <w:rPr>
          <w:rFonts w:ascii="Arial" w:cs="Arial" w:eastAsia="Arial" w:hAnsi="Arial"/>
          <w:sz w:val="16"/>
          <w:szCs w:val="16"/>
          <w:color w:val="auto"/>
        </w:rPr>
        <w:t>Each Credit Party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Credit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or obligations under this Credit Agreement or (B) any actual or prospective party (or its Related Parties) to any swap, derivative or other transaction under which payments are to be made by reference to the Borrower and its obligations, this Credit Agreement or payments hereunder, (vii) on a confidential basis to (A) any rating agency in connection with rating the Borrower, its Subsidiaries or the Credit Facilities or (B) the CUSIP Service Bureau or any similar agency in connection with the issuance and monitoring of CUSIP numbers with respect to the Credit Facilities, (viii) with the consent of the Borrower or (ix) to the extent such Information (A) becomes publicly available other than as a result of a breach of this Section or</w:t>
      </w:r>
    </w:p>
    <w:p>
      <w:pPr>
        <w:spacing w:after="0" w:line="1" w:lineRule="exact"/>
        <w:rPr>
          <w:rFonts w:ascii="Arial" w:cs="Arial" w:eastAsia="Arial" w:hAnsi="Arial"/>
          <w:sz w:val="16"/>
          <w:szCs w:val="16"/>
          <w:color w:val="auto"/>
        </w:rPr>
      </w:pPr>
    </w:p>
    <w:p>
      <w:pPr>
        <w:jc w:val="both"/>
        <w:ind w:firstLine="8"/>
        <w:spacing w:after="0" w:line="271" w:lineRule="auto"/>
        <w:tabs>
          <w:tab w:leader="none" w:pos="297" w:val="left"/>
        </w:tabs>
        <w:numPr>
          <w:ilvl w:val="0"/>
          <w:numId w:val="202"/>
        </w:numPr>
        <w:rPr>
          <w:rFonts w:ascii="Arial" w:cs="Arial" w:eastAsia="Arial" w:hAnsi="Arial"/>
          <w:sz w:val="17"/>
          <w:szCs w:val="17"/>
          <w:color w:val="auto"/>
        </w:rPr>
      </w:pPr>
      <w:r>
        <w:rPr>
          <w:rFonts w:ascii="Arial" w:cs="Arial" w:eastAsia="Arial" w:hAnsi="Arial"/>
          <w:sz w:val="17"/>
          <w:szCs w:val="17"/>
          <w:color w:val="auto"/>
        </w:rPr>
        <w:t>becomes available to the Administrative Agent, any Credit Party or any of their respective Affiliates on a non-confidential basis from a source other than the Borrower or (C) is independently generated by the Administrative Agent, any Credit Party or any of their respective Affiliates. In addition, the Administrative Agent and the Lenders may disclose the existence of this Credit Agreement and information about this Credit Agreement to (i) market data collectors, league table providers and other similar service providers to the lending industry and (ii) service providers to the Administrative Agent or any Lender in connection with the administration of this Credit Agreement, the other Loan Documents, and the Commitments.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9" w:name="page180"/>
    <w:bookmarkEnd w:id="179"/>
    <w:p>
      <w:pPr>
        <w:jc w:val="both"/>
        <w:ind w:firstLine="1106"/>
        <w:spacing w:after="0" w:line="287" w:lineRule="auto"/>
        <w:tabs>
          <w:tab w:leader="none" w:pos="166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any Loan Party or any of its Subsidiaries relating to any Loan Party or any of its Subsidiaries or any of their respective businesses, other than any such information that is available to the Administrative Agent or any other Credit Party on a non-confidential basis prior to disclosure by any Loan Party or any Subsidiary or that is independently prepared by the Administrative Agent or any other Credit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any Loan Party or any of its Subsidiaries after the Agreement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Notwithstanding anything herein to the contrary, “Information” shall not include, and each Credit Party (and their Affiliates and respective partners, directors, officers, employees, agents, advisors and representatives) may disclose to any and all persons, without limitation of any kind, any information with respect to the U.S. federal income tax treatment and U.S. federal income tax structure of the transactions contemplated hereby and all materials of any kind (including opinions or other tax analyses) that are provided to such Credit Party relating to such tax treatment and tax structure.</w:t>
      </w:r>
    </w:p>
    <w:p>
      <w:pPr>
        <w:spacing w:after="0" w:line="171" w:lineRule="exact"/>
        <w:rPr>
          <w:rFonts w:ascii="Arial" w:cs="Arial" w:eastAsia="Arial" w:hAnsi="Arial"/>
          <w:sz w:val="16"/>
          <w:szCs w:val="16"/>
          <w:color w:val="auto"/>
        </w:rPr>
      </w:pPr>
    </w:p>
    <w:p>
      <w:pPr>
        <w:jc w:val="both"/>
        <w:ind w:firstLine="1106"/>
        <w:spacing w:after="0" w:line="255" w:lineRule="auto"/>
        <w:tabs>
          <w:tab w:leader="none" w:pos="168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Loan Parties agree, on behalf of themselves and their Affiliates, that they will not in the future issue any press releases or other public disclosure using the name of the Administrative Agent or any Lender or their respective Affiliates or referring to this Credit Agreement or any of the other Loan Documents without the prior written consent of such Person, unless (and only to the extent that) the Loan Parties or such Affiliate is required to do so under law and then, in any event, the Loan Parties or such Affiliate will consult with such Person before issuing such press release or other public disclosure (provided, for the avoidance of doubt, the Loan Parties shall not have any obligation to consult with the Administrative Agent prior to making filings with the SEC as required by law).</w:t>
      </w:r>
    </w:p>
    <w:p>
      <w:pPr>
        <w:spacing w:after="0" w:line="192" w:lineRule="exact"/>
        <w:rPr>
          <w:rFonts w:ascii="Arial" w:cs="Arial" w:eastAsia="Arial" w:hAnsi="Arial"/>
          <w:sz w:val="18"/>
          <w:szCs w:val="18"/>
          <w:color w:val="auto"/>
        </w:rPr>
      </w:pPr>
    </w:p>
    <w:p>
      <w:pPr>
        <w:ind w:firstLine="1106"/>
        <w:spacing w:after="0" w:line="342" w:lineRule="auto"/>
        <w:tabs>
          <w:tab w:leader="none" w:pos="167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Loan Parties consent to the publication by the Administrative Agent or any Lender of customary advertising material relating to the Transactions (including, without limitation amount and type of facility) using the name, product photographs, logo or trademark of the Loan Parties.</w:t>
      </w:r>
    </w:p>
    <w:p>
      <w:pPr>
        <w:spacing w:after="0" w:line="124" w:lineRule="exact"/>
        <w:rPr>
          <w:sz w:val="20"/>
          <w:szCs w:val="20"/>
          <w:color w:val="auto"/>
        </w:rPr>
      </w:pPr>
    </w:p>
    <w:p>
      <w:pPr>
        <w:jc w:val="both"/>
        <w:ind w:firstLine="450"/>
        <w:spacing w:after="0" w:line="293" w:lineRule="auto"/>
        <w:rPr>
          <w:sz w:val="20"/>
          <w:szCs w:val="20"/>
          <w:color w:val="auto"/>
        </w:rPr>
      </w:pPr>
      <w:r>
        <w:rPr>
          <w:rFonts w:ascii="Arial" w:cs="Arial" w:eastAsia="Arial" w:hAnsi="Arial"/>
          <w:sz w:val="16"/>
          <w:szCs w:val="16"/>
          <w:color w:val="auto"/>
        </w:rPr>
        <w:t xml:space="preserve">Section 10.15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The Borrower shall, and shall cause each Subsidiary to, provide such information and take such actions as are reasonably requested by the Administrative Agent or any Lender in order to assist the Administrative Agent and the Lenders in maintaining compliance with the USA PATRIOT Act.</w:t>
      </w:r>
    </w:p>
    <w:p>
      <w:pPr>
        <w:spacing w:after="0" w:line="164"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No Fiduciary Duty</w:t>
      </w:r>
      <w:r>
        <w:rPr>
          <w:rFonts w:ascii="Arial" w:cs="Arial" w:eastAsia="Arial" w:hAnsi="Arial"/>
          <w:sz w:val="18"/>
          <w:szCs w:val="18"/>
          <w:color w:val="auto"/>
        </w:rPr>
        <w:t>. Each Loan Party agrees that in connection with all aspects of the transactions contemplated hereby and any communications in connection therewith, such Loan Party and its Affiliates, on the one hand, and the Administrative Agent, the Lead Arrangers, the Documentation Agent, the Syndication Agent, the other Credit Parties and their respective Affiliates, on the other hand, will have a business relationship that does not create, by implication or otherwise, any fiduciary duty on the part of the Administrative Agent, the Lead Arrangers, the Documentation Agent, the Syndication Agent, the other Credit Parties or their respective Affiliates and no such duty will be deemed to have arisen in connection with any such transactions or communications.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0" w:name="page181"/>
    <w:bookmarkEnd w:id="180"/>
    <w:p>
      <w:pPr>
        <w:jc w:val="both"/>
        <w:ind w:firstLine="450"/>
        <w:spacing w:after="0" w:line="279"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u w:val="single" w:color="auto"/>
          <w:color w:val="auto"/>
        </w:rPr>
        <w:t>Acknowledgement and Consent to Bail-In of</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EEA</w:t>
      </w:r>
      <w:r>
        <w:rPr>
          <w:rFonts w:ascii="Arial" w:cs="Arial" w:eastAsia="Arial" w:hAnsi="Arial"/>
          <w:sz w:val="17"/>
          <w:szCs w:val="17"/>
          <w:u w:val="single" w:color="auto"/>
          <w:color w:val="0000FF"/>
        </w:rPr>
        <w:t>Affected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Financial Institutions</w:t>
      </w:r>
      <w:r>
        <w:rPr>
          <w:rFonts w:ascii="Arial" w:cs="Arial" w:eastAsia="Arial" w:hAnsi="Arial"/>
          <w:sz w:val="17"/>
          <w:szCs w:val="17"/>
          <w:color w:val="auto"/>
        </w:rPr>
        <w:t xml:space="preserve">. Notwithstanding anything to the contrary in any Loan Document or in any other agreement, arrangement or understanding among any such parties, each party hereto acknowledges that any liability of any </w:t>
      </w:r>
      <w:r>
        <w:rPr>
          <w:rFonts w:ascii="Arial" w:cs="Arial" w:eastAsia="Arial" w:hAnsi="Arial"/>
          <w:sz w:val="17"/>
          <w:szCs w:val="17"/>
          <w:color w:val="FF0000"/>
          <w:strike w:val="1"/>
        </w:rPr>
        <w:t>EEA</w:t>
      </w:r>
      <w:r>
        <w:rPr>
          <w:rFonts w:ascii="Arial" w:cs="Arial" w:eastAsia="Arial" w:hAnsi="Arial"/>
          <w:sz w:val="17"/>
          <w:szCs w:val="17"/>
          <w:u w:val="single" w:color="auto"/>
          <w:color w:val="0000FF"/>
        </w:rPr>
        <w:t>Affected</w:t>
      </w:r>
      <w:r>
        <w:rPr>
          <w:rFonts w:ascii="Arial" w:cs="Arial" w:eastAsia="Arial" w:hAnsi="Arial"/>
          <w:sz w:val="17"/>
          <w:szCs w:val="17"/>
          <w:color w:val="FF0000"/>
        </w:rPr>
        <w:t xml:space="preserve"> </w:t>
      </w:r>
      <w:r>
        <w:rPr>
          <w:rFonts w:ascii="Arial" w:cs="Arial" w:eastAsia="Arial" w:hAnsi="Arial"/>
          <w:sz w:val="17"/>
          <w:szCs w:val="17"/>
          <w:color w:val="000000"/>
        </w:rPr>
        <w:t>Financial Institution arising under any Loan Document, to the extent such liability is unsecured, may be subject to the Write-Down and</w:t>
      </w:r>
      <w:r>
        <w:rPr>
          <w:rFonts w:ascii="Arial" w:cs="Arial" w:eastAsia="Arial" w:hAnsi="Arial"/>
          <w:sz w:val="17"/>
          <w:szCs w:val="17"/>
          <w:color w:val="FF0000"/>
        </w:rPr>
        <w:t xml:space="preserve"> </w:t>
      </w:r>
      <w:r>
        <w:rPr>
          <w:rFonts w:ascii="Arial" w:cs="Arial" w:eastAsia="Arial" w:hAnsi="Arial"/>
          <w:sz w:val="17"/>
          <w:szCs w:val="17"/>
          <w:color w:val="000000"/>
        </w:rPr>
        <w:t xml:space="preserve">Conversion Powers of </w:t>
      </w:r>
      <w:r>
        <w:rPr>
          <w:rFonts w:ascii="Arial" w:cs="Arial" w:eastAsia="Arial" w:hAnsi="Arial"/>
          <w:sz w:val="17"/>
          <w:szCs w:val="17"/>
          <w:color w:val="FF0000"/>
          <w:strike w:val="1"/>
        </w:rPr>
        <w:t>an EEA</w:t>
      </w:r>
      <w:r>
        <w:rPr>
          <w:rFonts w:ascii="Arial" w:cs="Arial" w:eastAsia="Arial" w:hAnsi="Arial"/>
          <w:sz w:val="17"/>
          <w:szCs w:val="17"/>
          <w:u w:val="single" w:color="auto"/>
          <w:color w:val="0000FF"/>
        </w:rPr>
        <w:t>the applicable</w:t>
      </w:r>
      <w:r>
        <w:rPr>
          <w:rFonts w:ascii="Arial" w:cs="Arial" w:eastAsia="Arial" w:hAnsi="Arial"/>
          <w:sz w:val="17"/>
          <w:szCs w:val="17"/>
          <w:color w:val="000000"/>
        </w:rPr>
        <w:t xml:space="preserve"> Resolution Authority and agrees and consents to, and acknowledges and agrees to be bound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-438785</wp:posOffset>
            </wp:positionV>
            <wp:extent cx="40322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40322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-164465</wp:posOffset>
            </wp:positionV>
            <wp:extent cx="39433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-27305</wp:posOffset>
            </wp:positionV>
            <wp:extent cx="63436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51" w:lineRule="exact"/>
        <w:rPr>
          <w:sz w:val="20"/>
          <w:szCs w:val="20"/>
          <w:color w:val="auto"/>
        </w:rPr>
      </w:pPr>
    </w:p>
    <w:p>
      <w:pPr>
        <w:ind w:right="20" w:firstLine="1106"/>
        <w:spacing w:after="0" w:line="277" w:lineRule="auto"/>
        <w:tabs>
          <w:tab w:leader="none" w:pos="175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the application of any Write-Down and Conversion Powers by </w:t>
      </w:r>
      <w:r>
        <w:rPr>
          <w:rFonts w:ascii="Arial" w:cs="Arial" w:eastAsia="Arial" w:hAnsi="Arial"/>
          <w:sz w:val="18"/>
          <w:szCs w:val="18"/>
          <w:color w:val="FF0000"/>
          <w:strike w:val="1"/>
        </w:rPr>
        <w:t>an EEA</w:t>
      </w:r>
      <w:r>
        <w:rPr>
          <w:rFonts w:ascii="Arial" w:cs="Arial" w:eastAsia="Arial" w:hAnsi="Arial"/>
          <w:sz w:val="18"/>
          <w:szCs w:val="18"/>
          <w:u w:val="single" w:color="auto"/>
          <w:color w:val="0000FF"/>
        </w:rPr>
        <w:t>the applicable</w:t>
      </w:r>
      <w:r>
        <w:rPr>
          <w:rFonts w:ascii="Arial" w:cs="Arial" w:eastAsia="Arial" w:hAnsi="Arial"/>
          <w:sz w:val="18"/>
          <w:szCs w:val="18"/>
          <w:color w:val="auto"/>
        </w:rPr>
        <w:t xml:space="preserve"> Resolution Authority to any such liabilities arising hereunder which may be payable to it by any party hereto that is an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Financial Institution; and</w:t>
      </w:r>
    </w:p>
    <w:p>
      <w:pPr>
        <w:spacing w:after="0" w:line="170" w:lineRule="exact"/>
        <w:rPr>
          <w:rFonts w:ascii="Arial" w:cs="Arial" w:eastAsia="Arial" w:hAnsi="Arial"/>
          <w:sz w:val="18"/>
          <w:szCs w:val="18"/>
          <w:color w:val="auto"/>
        </w:rPr>
      </w:pPr>
    </w:p>
    <w:p>
      <w:pPr>
        <w:ind w:left="1680" w:hanging="574"/>
        <w:spacing w:after="0"/>
        <w:tabs>
          <w:tab w:leader="none" w:pos="16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the effects of any </w:t>
      </w:r>
      <w:r>
        <w:rPr>
          <w:rFonts w:ascii="Arial" w:cs="Arial" w:eastAsia="Arial" w:hAnsi="Arial"/>
          <w:sz w:val="18"/>
          <w:szCs w:val="18"/>
          <w:color w:val="FF0000"/>
          <w:strike w:val="1"/>
        </w:rPr>
        <w:t>Bail-in</w:t>
      </w:r>
      <w:r>
        <w:rPr>
          <w:rFonts w:ascii="Arial" w:cs="Arial" w:eastAsia="Arial" w:hAnsi="Arial"/>
          <w:sz w:val="18"/>
          <w:szCs w:val="18"/>
          <w:u w:val="single" w:color="auto"/>
          <w:color w:val="0000FF"/>
        </w:rPr>
        <w:t>Bail-In</w:t>
      </w:r>
      <w:r>
        <w:rPr>
          <w:rFonts w:ascii="Arial" w:cs="Arial" w:eastAsia="Arial" w:hAnsi="Arial"/>
          <w:sz w:val="18"/>
          <w:szCs w:val="18"/>
          <w:color w:val="auto"/>
        </w:rPr>
        <w:t xml:space="preserve"> Action on any such liability, including, if applicable:</w:t>
      </w:r>
    </w:p>
    <w:p>
      <w:pPr>
        <w:spacing w:after="0" w:line="225" w:lineRule="exact"/>
        <w:rPr>
          <w:rFonts w:ascii="Arial" w:cs="Arial" w:eastAsia="Arial" w:hAnsi="Arial"/>
          <w:sz w:val="18"/>
          <w:szCs w:val="18"/>
          <w:color w:val="auto"/>
        </w:rPr>
      </w:pPr>
    </w:p>
    <w:p>
      <w:pPr>
        <w:ind w:left="2160" w:hanging="568"/>
        <w:spacing w:after="0"/>
        <w:tabs>
          <w:tab w:leader="none" w:pos="21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firstLine="1592"/>
        <w:spacing w:after="0" w:line="259" w:lineRule="auto"/>
        <w:tabs>
          <w:tab w:leader="none" w:pos="237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a conversion of all, or a portion of, such liability into shares or other instruments of ownership in such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Financial Institution, its parent undertaking, or a bridge institution that may be issued to it or otherwise conferred on it, and that such shares or other instruments of ownership will be accepted by it in lieu of any rights with respect to any such liability under this Credit Agreement or any other Loan Document; or</w:t>
      </w:r>
    </w:p>
    <w:p>
      <w:pPr>
        <w:spacing w:after="0" w:line="186" w:lineRule="exact"/>
        <w:rPr>
          <w:rFonts w:ascii="Arial" w:cs="Arial" w:eastAsia="Arial" w:hAnsi="Arial"/>
          <w:sz w:val="18"/>
          <w:szCs w:val="18"/>
          <w:color w:val="auto"/>
        </w:rPr>
      </w:pPr>
    </w:p>
    <w:p>
      <w:pPr>
        <w:ind w:firstLine="1592"/>
        <w:spacing w:after="0" w:line="277" w:lineRule="auto"/>
        <w:tabs>
          <w:tab w:leader="none" w:pos="2204"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the variation of the terms of such liability in connection with the exercise of the Write-Down and Conversion Powers of any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applicable</w:t>
      </w:r>
      <w:r>
        <w:rPr>
          <w:rFonts w:ascii="Arial" w:cs="Arial" w:eastAsia="Arial" w:hAnsi="Arial"/>
          <w:sz w:val="18"/>
          <w:szCs w:val="18"/>
          <w:color w:val="FF0000"/>
        </w:rPr>
        <w:t xml:space="preserve"> </w:t>
      </w:r>
      <w:r>
        <w:rPr>
          <w:rFonts w:ascii="Arial" w:cs="Arial" w:eastAsia="Arial" w:hAnsi="Arial"/>
          <w:sz w:val="18"/>
          <w:szCs w:val="18"/>
          <w:color w:val="000000"/>
        </w:rPr>
        <w:t>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-1811020</wp:posOffset>
            </wp:positionV>
            <wp:extent cx="64262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64262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-1673860</wp:posOffset>
            </wp:positionV>
            <wp:extent cx="40322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403225"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-1399540</wp:posOffset>
            </wp:positionV>
            <wp:extent cx="3257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-850900</wp:posOffset>
            </wp:positionV>
            <wp:extent cx="39433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-27940</wp:posOffset>
            </wp:positionV>
            <wp:extent cx="47117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25" w:lineRule="exact"/>
        <w:rPr>
          <w:sz w:val="20"/>
          <w:szCs w:val="20"/>
          <w:color w:val="auto"/>
        </w:rPr>
      </w:pPr>
    </w:p>
    <w:p>
      <w:pPr>
        <w:jc w:val="both"/>
        <w:ind w:firstLine="1106"/>
        <w:spacing w:after="0" w:line="259" w:lineRule="auto"/>
        <w:tabs>
          <w:tab w:leader="none" w:pos="171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Lead Arrangers and their respective Affiliates, and not, for the avoidance of doubt, to or for the benefit of the Borrower or any other Loan Party, that at least one of the following is and will be true:</w:t>
      </w:r>
    </w:p>
    <w:p>
      <w:pPr>
        <w:spacing w:after="0" w:line="186" w:lineRule="exact"/>
        <w:rPr>
          <w:rFonts w:ascii="Arial" w:cs="Arial" w:eastAsia="Arial" w:hAnsi="Arial"/>
          <w:sz w:val="18"/>
          <w:szCs w:val="18"/>
          <w:color w:val="auto"/>
        </w:rPr>
      </w:pPr>
    </w:p>
    <w:p>
      <w:pPr>
        <w:ind w:firstLine="1592"/>
        <w:spacing w:after="0" w:line="277" w:lineRule="auto"/>
        <w:tabs>
          <w:tab w:leader="none" w:pos="216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29 CFR § 2510.3-101, as modified by Section 3(42) of ERISA) of one or more Benefit Plans in connection with the Loans, the Letters of Credit or the Commitments,</w:t>
      </w:r>
    </w:p>
    <w:p>
      <w:pPr>
        <w:spacing w:after="0" w:line="170" w:lineRule="exact"/>
        <w:rPr>
          <w:rFonts w:ascii="Arial" w:cs="Arial" w:eastAsia="Arial" w:hAnsi="Arial"/>
          <w:sz w:val="18"/>
          <w:szCs w:val="18"/>
          <w:color w:val="auto"/>
        </w:rPr>
      </w:pPr>
    </w:p>
    <w:p>
      <w:pPr>
        <w:jc w:val="both"/>
        <w:ind w:firstLine="1592"/>
        <w:spacing w:after="0" w:line="255" w:lineRule="auto"/>
        <w:tabs>
          <w:tab w:leader="none" w:pos="231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Credit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1" w:name="page182"/>
    <w:bookmarkEnd w:id="181"/>
    <w:p>
      <w:pPr>
        <w:jc w:val="both"/>
        <w:ind w:firstLine="1592"/>
        <w:spacing w:after="0" w:line="286" w:lineRule="auto"/>
        <w:tabs>
          <w:tab w:leader="none" w:pos="218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Credit Agreement, (C) the entrance into, participation in, administration of and performance of the Loans, the Letters of Credit, the Commitments and this Credit Agreement satisfies the requirements of sub-sections (b) through</w:t>
      </w:r>
    </w:p>
    <w:p>
      <w:pPr>
        <w:spacing w:after="0" w:line="1" w:lineRule="exact"/>
        <w:rPr>
          <w:rFonts w:ascii="Arial" w:cs="Arial" w:eastAsia="Arial" w:hAnsi="Arial"/>
          <w:sz w:val="16"/>
          <w:szCs w:val="16"/>
          <w:color w:val="auto"/>
        </w:rPr>
      </w:pPr>
    </w:p>
    <w:p>
      <w:pPr>
        <w:jc w:val="both"/>
        <w:ind w:firstLine="8"/>
        <w:spacing w:after="0" w:line="255" w:lineRule="auto"/>
        <w:tabs>
          <w:tab w:leader="none" w:pos="25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Credit Agreement, or</w:t>
      </w:r>
    </w:p>
    <w:p>
      <w:pPr>
        <w:spacing w:after="0" w:line="190" w:lineRule="exact"/>
        <w:rPr>
          <w:sz w:val="20"/>
          <w:szCs w:val="20"/>
          <w:color w:val="auto"/>
        </w:rPr>
      </w:pPr>
    </w:p>
    <w:p>
      <w:pPr>
        <w:ind w:left="2220" w:hanging="628"/>
        <w:spacing w:after="0"/>
        <w:tabs>
          <w:tab w:leader="none" w:pos="222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such other representation, warranty and covenant as may be agreed in writing between the Administrative Agent, in its sole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discretion, and such Lender.</w:t>
      </w:r>
    </w:p>
    <w:p>
      <w:pPr>
        <w:spacing w:after="0" w:line="210" w:lineRule="exact"/>
        <w:rPr>
          <w:rFonts w:ascii="Arial" w:cs="Arial" w:eastAsia="Arial" w:hAnsi="Arial"/>
          <w:sz w:val="16"/>
          <w:szCs w:val="16"/>
          <w:color w:val="auto"/>
        </w:rPr>
      </w:pPr>
    </w:p>
    <w:p>
      <w:pPr>
        <w:jc w:val="both"/>
        <w:ind w:firstLine="1106"/>
        <w:spacing w:after="0" w:line="291" w:lineRule="auto"/>
        <w:tabs>
          <w:tab w:leader="none" w:pos="176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Lead Arrangers and their respective Affiliates, and not, for the avoidance of doubt, to or for the benefit of the Borrower or any other Loan Party, that none of the Administrative Agent or the Lead Arrangers or any of their respective Affiliates is a fiduciary with respect to the assets of such Lender (including in connection with the reservation or exercise of any rights by the Administrative Agent under this Credit Agreement, any Loan Document or any documents related to hereto or thereto).</w:t>
      </w:r>
    </w:p>
    <w:p>
      <w:pPr>
        <w:spacing w:after="0" w:line="166"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 xml:space="preserve">Section 10.19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To the extent that the Loan Documents provide support, through a guarantee or otherwise, for Swap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5" w:lineRule="exact"/>
        <w:rPr>
          <w:sz w:val="20"/>
          <w:szCs w:val="20"/>
          <w:color w:val="auto"/>
        </w:rPr>
      </w:pPr>
    </w:p>
    <w:p>
      <w:pPr>
        <w:jc w:val="both"/>
        <w:ind w:firstLine="1106"/>
        <w:spacing w:after="0" w:line="287" w:lineRule="auto"/>
        <w:tabs>
          <w:tab w:leader="none" w:pos="170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2" w:name="page183"/>
    <w:bookmarkEnd w:id="182"/>
    <w:p>
      <w:pPr>
        <w:ind w:left="1680" w:hanging="574"/>
        <w:spacing w:after="0"/>
        <w:tabs>
          <w:tab w:leader="none" w:pos="16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10.19</w:t>
      </w:r>
      <w:r>
        <w:rPr>
          <w:rFonts w:ascii="Arial" w:cs="Arial" w:eastAsia="Arial" w:hAnsi="Arial"/>
          <w:sz w:val="18"/>
          <w:szCs w:val="18"/>
          <w:color w:val="auto"/>
        </w:rPr>
        <w:t>, the following terms have the following meanings: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such party.</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2160" w:hanging="568"/>
        <w:spacing w:after="0"/>
        <w:tabs>
          <w:tab w:leader="none" w:pos="2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2180" w:hanging="588"/>
        <w:spacing w:after="0"/>
        <w:tabs>
          <w:tab w:leader="none" w:pos="21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2180" w:hanging="588"/>
        <w:spacing w:after="0"/>
        <w:tabs>
          <w:tab w:leader="none" w:pos="21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 382.1,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(8)(D).</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xml:space="preserve">[Signature pages </w:t>
      </w:r>
      <w:r>
        <w:rPr>
          <w:rFonts w:ascii="Arial" w:cs="Arial" w:eastAsia="Arial" w:hAnsi="Arial"/>
          <w:sz w:val="18"/>
          <w:szCs w:val="18"/>
          <w:color w:val="FF0000"/>
          <w:strike w:val="1"/>
        </w:rPr>
        <w:t>follow</w:t>
      </w:r>
      <w:r>
        <w:rPr>
          <w:rFonts w:ascii="Arial" w:cs="Arial" w:eastAsia="Arial" w:hAnsi="Arial"/>
          <w:sz w:val="18"/>
          <w:szCs w:val="18"/>
          <w:u w:val="single" w:color="auto"/>
          <w:color w:val="0000FF"/>
        </w:rPr>
        <w:t>intentionally omitted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6350</wp:posOffset>
            </wp:positionV>
            <wp:extent cx="95123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3" w:name="page184"/>
    <w:bookmarkEnd w:id="183"/>
    <w:p>
      <w:pPr>
        <w:ind w:firstLine="450"/>
        <w:spacing w:after="0" w:line="277" w:lineRule="auto"/>
        <w:rPr>
          <w:sz w:val="20"/>
          <w:szCs w:val="20"/>
          <w:color w:val="auto"/>
        </w:rPr>
      </w:pPr>
      <w:r>
        <w:rPr>
          <w:rFonts w:ascii="Arial" w:cs="Arial" w:eastAsia="Arial" w:hAnsi="Arial"/>
          <w:sz w:val="18"/>
          <w:szCs w:val="18"/>
          <w:color w:val="FF0000"/>
          <w:strike w:val="1"/>
        </w:rPr>
        <w:t>IN WITNESS WHEREOF, the parties hereto have caused this Credit Agreement to be duly executed by their respective authorized officers as of the day and year first above written.</w:t>
      </w:r>
    </w:p>
    <w:p>
      <w:pPr>
        <w:spacing w:after="0" w:line="200" w:lineRule="exact"/>
        <w:rPr>
          <w:sz w:val="20"/>
          <w:szCs w:val="20"/>
          <w:color w:val="auto"/>
        </w:rPr>
      </w:pPr>
    </w:p>
    <w:p>
      <w:pPr>
        <w:spacing w:after="0" w:line="213" w:lineRule="exact"/>
        <w:rPr>
          <w:sz w:val="20"/>
          <w:szCs w:val="20"/>
          <w:color w:val="auto"/>
        </w:rPr>
      </w:pPr>
    </w:p>
    <w:p>
      <w:pPr>
        <w:ind w:left="5640"/>
        <w:spacing w:after="0"/>
        <w:rPr>
          <w:sz w:val="20"/>
          <w:szCs w:val="20"/>
          <w:color w:val="auto"/>
        </w:rPr>
      </w:pPr>
      <w:r>
        <w:rPr>
          <w:rFonts w:ascii="Arial" w:cs="Arial" w:eastAsia="Arial" w:hAnsi="Arial"/>
          <w:sz w:val="18"/>
          <w:szCs w:val="18"/>
          <w:color w:val="FF0000"/>
          <w:strike w:val="1"/>
        </w:rPr>
        <w:t>HARVARD BIOSCIENCE, INC.</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FF0000"/>
          <w:strike w:val="1"/>
        </w:rPr>
        <w:t>Name: Michael A. Rossi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FF0000"/>
          <w:strike w:val="1"/>
        </w:rPr>
        <w:t>Title:</w:t>
      </w:r>
      <w:r>
        <w:rPr>
          <w:sz w:val="20"/>
          <w:szCs w:val="20"/>
          <w:color w:val="auto"/>
        </w:rPr>
        <w:tab/>
      </w:r>
      <w:r>
        <w:rPr>
          <w:rFonts w:ascii="Arial" w:cs="Arial" w:eastAsia="Arial" w:hAnsi="Arial"/>
          <w:sz w:val="17"/>
          <w:szCs w:val="17"/>
          <w:color w:val="FF0000"/>
          <w:strike w:val="1"/>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2286000</wp:posOffset>
            </wp:positionV>
            <wp:extent cx="7132320" cy="171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4" w:name="page185"/>
    <w:bookmarkEnd w:id="184"/>
    <w:p>
      <w:pPr>
        <w:ind w:left="4520"/>
        <w:spacing w:after="0" w:line="277" w:lineRule="auto"/>
        <w:rPr>
          <w:sz w:val="20"/>
          <w:szCs w:val="20"/>
          <w:color w:val="auto"/>
        </w:rPr>
      </w:pPr>
      <w:r>
        <w:rPr>
          <w:rFonts w:ascii="Arial" w:cs="Arial" w:eastAsia="Arial" w:hAnsi="Arial"/>
          <w:sz w:val="18"/>
          <w:szCs w:val="18"/>
          <w:color w:val="FF0000"/>
          <w:strike w:val="1"/>
        </w:rPr>
        <w:t>CITIZENS BANK, N.A. as the Administrative Agent, the L/C Issuer, the Swingline Lender, Joint Lead Arranger and a Lender</w:t>
      </w:r>
    </w:p>
    <w:p>
      <w:pPr>
        <w:spacing w:after="0" w:line="386"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22225</wp:posOffset>
            </wp:positionV>
            <wp:extent cx="328295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30" w:lineRule="exact"/>
        <w:rPr>
          <w:sz w:val="20"/>
          <w:szCs w:val="20"/>
          <w:color w:val="auto"/>
        </w:rPr>
      </w:pPr>
    </w:p>
    <w:p>
      <w:pPr>
        <w:ind w:left="4940"/>
        <w:spacing w:after="0"/>
        <w:rPr>
          <w:sz w:val="20"/>
          <w:szCs w:val="20"/>
          <w:color w:val="auto"/>
        </w:rPr>
      </w:pPr>
      <w:r>
        <w:rPr>
          <w:rFonts w:ascii="Arial" w:cs="Arial" w:eastAsia="Arial" w:hAnsi="Arial"/>
          <w:sz w:val="18"/>
          <w:szCs w:val="18"/>
          <w:color w:val="FF0000"/>
          <w:strike w:val="1"/>
        </w:rPr>
        <w:t>Name: Jason Upham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40"/>
        <w:spacing w:after="0"/>
        <w:tabs>
          <w:tab w:leader="none" w:pos="5500" w:val="left"/>
        </w:tabs>
        <w:rPr>
          <w:sz w:val="20"/>
          <w:szCs w:val="20"/>
          <w:color w:val="auto"/>
        </w:rPr>
      </w:pPr>
      <w:r>
        <w:rPr>
          <w:rFonts w:ascii="Arial" w:cs="Arial" w:eastAsia="Arial" w:hAnsi="Arial"/>
          <w:sz w:val="18"/>
          <w:szCs w:val="18"/>
          <w:color w:val="FF0000"/>
          <w:strike w:val="1"/>
        </w:rPr>
        <w:t>Title:</w:t>
      </w:r>
      <w:r>
        <w:rPr>
          <w:sz w:val="20"/>
          <w:szCs w:val="20"/>
          <w:color w:val="auto"/>
        </w:rPr>
        <w:tab/>
      </w:r>
      <w:r>
        <w:rPr>
          <w:rFonts w:ascii="Arial" w:cs="Arial" w:eastAsia="Arial" w:hAnsi="Arial"/>
          <w:sz w:val="16"/>
          <w:szCs w:val="16"/>
          <w:color w:val="FF0000"/>
          <w:strike w:val="1"/>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2132330</wp:posOffset>
            </wp:positionV>
            <wp:extent cx="7132320" cy="171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00"/>
          </w:cols>
          <w:pgMar w:left="1440" w:top="584" w:right="659" w:bottom="1440" w:gutter="0" w:footer="0" w:header="0"/>
        </w:sectPr>
      </w:pPr>
    </w:p>
    <w:bookmarkStart w:id="185" w:name="page186"/>
    <w:bookmarkEnd w:id="185"/>
    <w:p>
      <w:pPr>
        <w:ind w:left="4520"/>
        <w:spacing w:after="0"/>
        <w:rPr>
          <w:sz w:val="20"/>
          <w:szCs w:val="20"/>
          <w:color w:val="auto"/>
        </w:rPr>
      </w:pPr>
      <w:r>
        <w:rPr>
          <w:rFonts w:ascii="Arial" w:cs="Arial" w:eastAsia="Arial" w:hAnsi="Arial"/>
          <w:sz w:val="22"/>
          <w:szCs w:val="22"/>
          <w:color w:val="FF0000"/>
          <w:strike w:val="1"/>
        </w:rPr>
        <w:t>WELLS FARGO BANK, NATIONAL ASSOCIATION, as Joint Lead Arranger, Joint Bookrunner, Co-Syndication Agent and a Lender</w:t>
      </w:r>
    </w:p>
    <w:p>
      <w:pPr>
        <w:spacing w:after="0" w:line="200" w:lineRule="exact"/>
        <w:rPr>
          <w:sz w:val="20"/>
          <w:szCs w:val="20"/>
          <w:color w:val="auto"/>
        </w:rPr>
      </w:pPr>
    </w:p>
    <w:p>
      <w:pPr>
        <w:spacing w:after="0" w:line="256" w:lineRule="exact"/>
        <w:rPr>
          <w:sz w:val="20"/>
          <w:szCs w:val="20"/>
          <w:color w:val="auto"/>
        </w:rPr>
      </w:pPr>
    </w:p>
    <w:p>
      <w:pPr>
        <w:ind w:left="4520"/>
        <w:spacing w:after="0"/>
        <w:rPr>
          <w:sz w:val="20"/>
          <w:szCs w:val="20"/>
          <w:color w:val="auto"/>
        </w:rPr>
      </w:pPr>
      <w:r>
        <w:rPr>
          <w:rFonts w:ascii="Arial" w:cs="Arial" w:eastAsia="Arial" w:hAnsi="Arial"/>
          <w:sz w:val="22"/>
          <w:szCs w:val="22"/>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6985</wp:posOffset>
            </wp:positionV>
            <wp:extent cx="328295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FF0000"/>
          <w:strike w:val="1"/>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0000"/>
          <w:strike w:val="1"/>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1626235</wp:posOffset>
            </wp:positionV>
            <wp:extent cx="7132320" cy="171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577" w:right="359" w:bottom="1440" w:gutter="0" w:footer="0" w:header="0"/>
        </w:sectPr>
      </w:pPr>
    </w:p>
    <w:bookmarkStart w:id="186" w:name="page187"/>
    <w:bookmarkEnd w:id="186"/>
    <w:p>
      <w:pPr>
        <w:ind w:left="4520"/>
        <w:spacing w:after="0" w:line="277" w:lineRule="auto"/>
        <w:rPr>
          <w:sz w:val="20"/>
          <w:szCs w:val="20"/>
          <w:color w:val="auto"/>
        </w:rPr>
      </w:pPr>
      <w:r>
        <w:rPr>
          <w:rFonts w:ascii="Arial" w:cs="Arial" w:eastAsia="Arial" w:hAnsi="Arial"/>
          <w:sz w:val="18"/>
          <w:szCs w:val="18"/>
          <w:color w:val="FF0000"/>
          <w:strike w:val="1"/>
        </w:rPr>
        <w:t>SILICON VALLEY BANK, as Joint Lead Arranger, Joint Bookrunner, Co-Syndication Agent and a Lender</w:t>
      </w:r>
    </w:p>
    <w:p>
      <w:pPr>
        <w:spacing w:after="0" w:line="386" w:lineRule="exact"/>
        <w:rPr>
          <w:sz w:val="20"/>
          <w:szCs w:val="20"/>
          <w:color w:val="auto"/>
        </w:rPr>
      </w:pPr>
    </w:p>
    <w:p>
      <w:pPr>
        <w:ind w:left="452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328295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FF0000"/>
          <w:strike w:val="1"/>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FF0000"/>
          <w:strike w:val="1"/>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2132330</wp:posOffset>
            </wp:positionV>
            <wp:extent cx="7132320" cy="171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40"/>
          </w:cols>
          <w:pgMar w:left="1440" w:top="584" w:right="519" w:bottom="1440" w:gutter="0" w:footer="0" w:header="0"/>
        </w:sectPr>
      </w:pPr>
    </w:p>
    <w:bookmarkStart w:id="187" w:name="page188"/>
    <w:bookmarkEnd w:id="187"/>
    <w:p>
      <w:pPr>
        <w:jc w:val="center"/>
        <w:ind w:right="-139"/>
        <w:spacing w:after="0"/>
        <w:rPr>
          <w:sz w:val="20"/>
          <w:szCs w:val="20"/>
          <w:color w:val="auto"/>
        </w:rPr>
      </w:pPr>
      <w:r>
        <w:rPr>
          <w:rFonts w:ascii="Arial" w:cs="Arial" w:eastAsia="Arial" w:hAnsi="Arial"/>
          <w:sz w:val="18"/>
          <w:szCs w:val="18"/>
          <w:b w:val="1"/>
          <w:bCs w:val="1"/>
          <w:color w:val="auto"/>
        </w:rPr>
        <w:t>EXHIBIT B-1</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FORM OF COMMITTED LOAN NOTICE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Citizens Bank, N.A.,</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28 State Street</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Attention: Harriette Batson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Email: Harriette.M.Batson@citizensbank.com</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left="140" w:firstLine="486"/>
        <w:spacing w:after="0" w:line="259" w:lineRule="auto"/>
        <w:rPr>
          <w:sz w:val="20"/>
          <w:szCs w:val="20"/>
          <w:color w:val="auto"/>
        </w:rPr>
      </w:pPr>
      <w:r>
        <w:rPr>
          <w:rFonts w:ascii="Arial" w:cs="Arial" w:eastAsia="Arial" w:hAnsi="Arial"/>
          <w:sz w:val="18"/>
          <w:szCs w:val="18"/>
          <w:color w:val="auto"/>
        </w:rPr>
        <w:t>Reference is made to the Credit Agreement, dated as of December 22, 2020, among Harvard Bioscience, Inc., a Delaware corporation, the Lenders party thereto and Citizens Bank, N.A., as Administrative Agent (as the same may be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herein and not defined herein, and the term “</w:t>
      </w:r>
      <w:r>
        <w:rPr>
          <w:rFonts w:ascii="Arial" w:cs="Arial" w:eastAsia="Arial" w:hAnsi="Arial"/>
          <w:sz w:val="18"/>
          <w:szCs w:val="18"/>
          <w:u w:val="single" w:color="auto"/>
          <w:color w:val="auto"/>
        </w:rPr>
        <w:t>subsidiary</w:t>
      </w:r>
      <w:r>
        <w:rPr>
          <w:rFonts w:ascii="Arial" w:cs="Arial" w:eastAsia="Arial" w:hAnsi="Arial"/>
          <w:sz w:val="18"/>
          <w:szCs w:val="18"/>
          <w:color w:val="auto"/>
        </w:rPr>
        <w:t>”, shall have the meanings assigned to such terms in the Credit Agreement.</w:t>
      </w:r>
    </w:p>
    <w:p>
      <w:pPr>
        <w:spacing w:after="0" w:line="183" w:lineRule="exact"/>
        <w:rPr>
          <w:sz w:val="20"/>
          <w:szCs w:val="20"/>
          <w:color w:val="auto"/>
        </w:rPr>
      </w:pPr>
    </w:p>
    <w:p>
      <w:pPr>
        <w:jc w:val="both"/>
        <w:ind w:left="860" w:right="40" w:hanging="319"/>
        <w:spacing w:after="0" w:line="213" w:lineRule="auto"/>
        <w:tabs>
          <w:tab w:leader="none" w:pos="86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Borrowings</w:t>
      </w:r>
      <w:r>
        <w:rPr>
          <w:rFonts w:ascii="Arial" w:cs="Arial" w:eastAsia="Arial" w:hAnsi="Arial"/>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Credit Agreement, the Borrower hereby irrevocably requests the following Borrowing</w:t>
      </w:r>
      <w:r>
        <w:rPr>
          <w:rFonts w:ascii="Arial" w:cs="Arial" w:eastAsia="Arial" w:hAnsi="Arial"/>
          <w:sz w:val="18"/>
          <w:szCs w:val="18"/>
          <w:b w:val="1"/>
          <w:bCs w:val="1"/>
          <w:color w:val="auto"/>
        </w:rPr>
        <w:t>[s]</w:t>
      </w:r>
      <w:r>
        <w:rPr>
          <w:rFonts w:ascii="Arial" w:cs="Arial" w:eastAsia="Arial" w:hAnsi="Arial"/>
          <w:sz w:val="18"/>
          <w:szCs w:val="18"/>
          <w:color w:val="auto"/>
        </w:rPr>
        <w:t xml:space="preserve"> under the Credit Agreement and sets forth below the information relating to such Borrowing</w:t>
      </w:r>
      <w:r>
        <w:rPr>
          <w:rFonts w:ascii="Arial" w:cs="Arial" w:eastAsia="Arial" w:hAnsi="Arial"/>
          <w:sz w:val="18"/>
          <w:szCs w:val="18"/>
          <w:b w:val="1"/>
          <w:bCs w:val="1"/>
          <w:color w:val="auto"/>
        </w:rPr>
        <w:t>[s]</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Proposed Borrowing</w:t>
      </w:r>
      <w:r>
        <w:rPr>
          <w:rFonts w:ascii="Arial" w:cs="Arial" w:eastAsia="Arial" w:hAnsi="Arial"/>
          <w:sz w:val="18"/>
          <w:szCs w:val="18"/>
          <w:color w:val="auto"/>
        </w:rPr>
        <w:t xml:space="preserve">”) as required by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Credit Agreement:</w:t>
      </w:r>
    </w:p>
    <w:p>
      <w:pPr>
        <w:spacing w:after="0" w:line="200" w:lineRule="exact"/>
        <w:rPr>
          <w:rFonts w:ascii="Arial" w:cs="Arial" w:eastAsia="Arial" w:hAnsi="Arial"/>
          <w:sz w:val="18"/>
          <w:szCs w:val="18"/>
          <w:color w:val="auto"/>
        </w:rPr>
      </w:pPr>
    </w:p>
    <w:p>
      <w:pPr>
        <w:ind w:left="1520" w:hanging="317"/>
        <w:spacing w:after="0"/>
        <w:tabs>
          <w:tab w:leader="none" w:pos="15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 xml:space="preserve">The Business Day of the Proposed Borrowing is </w:t>
      </w:r>
      <w:r>
        <w:rPr>
          <w:rFonts w:ascii="Arial" w:cs="Arial" w:eastAsia="Arial" w:hAnsi="Arial"/>
          <w:sz w:val="18"/>
          <w:szCs w:val="18"/>
          <w:b w:val="1"/>
          <w:bCs w:val="1"/>
          <w:color w:val="auto"/>
        </w:rPr>
        <w:t>[________ __]</w:t>
      </w:r>
      <w:r>
        <w:rPr>
          <w:rFonts w:ascii="Arial" w:cs="Arial" w:eastAsia="Arial" w:hAnsi="Arial"/>
          <w:sz w:val="18"/>
          <w:szCs w:val="18"/>
          <w:color w:val="auto"/>
        </w:rPr>
        <w:t>, 20</w:t>
      </w:r>
      <w:r>
        <w:rPr>
          <w:rFonts w:ascii="Arial" w:cs="Arial" w:eastAsia="Arial" w:hAnsi="Arial"/>
          <w:sz w:val="18"/>
          <w:szCs w:val="18"/>
          <w:b w:val="1"/>
          <w:bCs w:val="1"/>
          <w:color w:val="auto"/>
        </w:rPr>
        <w:t>[__]</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520" w:right="540" w:hanging="331"/>
        <w:spacing w:after="0" w:line="277" w:lineRule="auto"/>
        <w:tabs>
          <w:tab w:leader="none" w:pos="15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Class, Type and amount of the Loans comprising the Proposed Borrowing and, in the case of SOFR Borrowings, the initial Interest Period applicable thereto,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114935</wp:posOffset>
            </wp:positionV>
            <wp:extent cx="7136130" cy="7073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36130" cy="7073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180" w:type="dxa"/>
            <w:vAlign w:val="bottom"/>
            <w:shd w:val="clear" w:color="auto" w:fill="EEEEEE"/>
          </w:tcPr>
          <w:p>
            <w:pPr>
              <w:ind w:left="280"/>
              <w:spacing w:after="0"/>
              <w:rPr>
                <w:sz w:val="20"/>
                <w:szCs w:val="20"/>
                <w:color w:val="auto"/>
              </w:rPr>
            </w:pPr>
            <w:r>
              <w:rPr>
                <w:rFonts w:ascii="Arial" w:cs="Arial" w:eastAsia="Arial" w:hAnsi="Arial"/>
                <w:sz w:val="18"/>
                <w:szCs w:val="18"/>
                <w:b w:val="1"/>
                <w:bCs w:val="1"/>
                <w:color w:val="auto"/>
                <w:w w:val="95"/>
              </w:rPr>
              <w:t>Class of Borrowings (Revolving, Term or Incremental Term)</w:t>
            </w:r>
          </w:p>
        </w:tc>
        <w:tc>
          <w:tcPr>
            <w:tcW w:w="3140" w:type="dxa"/>
            <w:vAlign w:val="bottom"/>
            <w:shd w:val="clear" w:color="auto" w:fill="EEEEEE"/>
          </w:tcPr>
          <w:p>
            <w:pPr>
              <w:ind w:left="240"/>
              <w:spacing w:after="0"/>
              <w:rPr>
                <w:sz w:val="20"/>
                <w:szCs w:val="20"/>
                <w:color w:val="auto"/>
              </w:rPr>
            </w:pPr>
            <w:r>
              <w:rPr>
                <w:rFonts w:ascii="Arial" w:cs="Arial" w:eastAsia="Arial" w:hAnsi="Arial"/>
                <w:sz w:val="18"/>
                <w:szCs w:val="18"/>
                <w:b w:val="1"/>
                <w:bCs w:val="1"/>
                <w:color w:val="auto"/>
                <w:w w:val="98"/>
              </w:rPr>
              <w:t>Type of Borrowing (ABR or SOFR)</w:t>
            </w:r>
          </w:p>
        </w:tc>
        <w:tc>
          <w:tcPr>
            <w:tcW w:w="2880" w:type="dxa"/>
            <w:vAlign w:val="bottom"/>
            <w:shd w:val="clear" w:color="auto" w:fill="EEEEEE"/>
          </w:tcPr>
          <w:p>
            <w:pPr>
              <w:ind w:left="160"/>
              <w:spacing w:after="0"/>
              <w:rPr>
                <w:sz w:val="20"/>
                <w:szCs w:val="20"/>
                <w:color w:val="auto"/>
              </w:rPr>
            </w:pPr>
            <w:r>
              <w:rPr>
                <w:rFonts w:ascii="Arial" w:cs="Arial" w:eastAsia="Arial" w:hAnsi="Arial"/>
                <w:sz w:val="18"/>
                <w:szCs w:val="18"/>
                <w:b w:val="1"/>
                <w:bCs w:val="1"/>
                <w:color w:val="auto"/>
              </w:rPr>
              <w:t>Amount   Initial Interest Period</w:t>
            </w:r>
          </w:p>
        </w:tc>
      </w:tr>
      <w:tr>
        <w:trPr>
          <w:trHeight w:val="81"/>
        </w:trPr>
        <w:tc>
          <w:tcPr>
            <w:tcW w:w="5180" w:type="dxa"/>
            <w:vAlign w:val="bottom"/>
            <w:shd w:val="clear" w:color="auto" w:fill="EEEEEE"/>
          </w:tcPr>
          <w:p>
            <w:pPr>
              <w:spacing w:after="0"/>
              <w:rPr>
                <w:sz w:val="7"/>
                <w:szCs w:val="7"/>
                <w:color w:val="auto"/>
              </w:rPr>
            </w:pPr>
          </w:p>
        </w:tc>
        <w:tc>
          <w:tcPr>
            <w:tcW w:w="3140" w:type="dxa"/>
            <w:vAlign w:val="bottom"/>
            <w:shd w:val="clear" w:color="auto" w:fill="EEEEEE"/>
          </w:tcPr>
          <w:p>
            <w:pPr>
              <w:spacing w:after="0"/>
              <w:rPr>
                <w:sz w:val="7"/>
                <w:szCs w:val="7"/>
                <w:color w:val="auto"/>
              </w:rPr>
            </w:pPr>
          </w:p>
        </w:tc>
        <w:tc>
          <w:tcPr>
            <w:tcW w:w="2880" w:type="dxa"/>
            <w:vAlign w:val="bottom"/>
            <w:shd w:val="clear" w:color="auto" w:fill="EEEEEE"/>
          </w:tcPr>
          <w:p>
            <w:pPr>
              <w:spacing w:after="0"/>
              <w:rPr>
                <w:sz w:val="7"/>
                <w:szCs w:val="7"/>
                <w:color w:val="auto"/>
              </w:rPr>
            </w:pPr>
          </w:p>
        </w:tc>
      </w:tr>
    </w:tbl>
    <w:p>
      <w:pPr>
        <w:spacing w:after="0" w:line="53" w:lineRule="exact"/>
        <w:rPr>
          <w:sz w:val="20"/>
          <w:szCs w:val="20"/>
          <w:color w:val="auto"/>
        </w:rPr>
      </w:pPr>
    </w:p>
    <w:p>
      <w:pPr>
        <w:ind w:left="9280"/>
        <w:spacing w:after="0"/>
        <w:rPr>
          <w:sz w:val="20"/>
          <w:szCs w:val="20"/>
          <w:color w:val="auto"/>
        </w:rPr>
      </w:pPr>
      <w:r>
        <w:rPr>
          <w:rFonts w:ascii="Arial" w:cs="Arial" w:eastAsia="Arial" w:hAnsi="Arial"/>
          <w:sz w:val="18"/>
          <w:szCs w:val="18"/>
          <w:color w:val="auto"/>
        </w:rPr>
        <w:t>__ months</w:t>
      </w:r>
    </w:p>
    <w:p>
      <w:pPr>
        <w:spacing w:after="0" w:line="158" w:lineRule="exact"/>
        <w:rPr>
          <w:sz w:val="20"/>
          <w:szCs w:val="20"/>
          <w:color w:val="auto"/>
        </w:rPr>
      </w:pPr>
    </w:p>
    <w:p>
      <w:pPr>
        <w:ind w:left="9280"/>
        <w:spacing w:after="0"/>
        <w:rPr>
          <w:sz w:val="20"/>
          <w:szCs w:val="20"/>
          <w:color w:val="auto"/>
        </w:rPr>
      </w:pPr>
      <w:r>
        <w:rPr>
          <w:rFonts w:ascii="Arial" w:cs="Arial" w:eastAsia="Arial" w:hAnsi="Arial"/>
          <w:sz w:val="18"/>
          <w:szCs w:val="18"/>
          <w:color w:val="auto"/>
        </w:rPr>
        <w:t>__ months</w:t>
      </w:r>
    </w:p>
    <w:p>
      <w:pPr>
        <w:spacing w:after="0" w:line="306" w:lineRule="exact"/>
        <w:rPr>
          <w:sz w:val="20"/>
          <w:szCs w:val="20"/>
          <w:color w:val="auto"/>
        </w:rPr>
      </w:pPr>
    </w:p>
    <w:p>
      <w:pPr>
        <w:ind w:left="1520" w:hanging="317"/>
        <w:spacing w:after="0"/>
        <w:tabs>
          <w:tab w:leader="none" w:pos="15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location and number of the Borrower’s account to which funds are to be disbursed is: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1104900</wp:posOffset>
            </wp:positionH>
            <wp:positionV relativeFrom="paragraph">
              <wp:posOffset>-10160</wp:posOffset>
            </wp:positionV>
            <wp:extent cx="139827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398270" cy="8890"/>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1190625</wp:posOffset>
            </wp:positionH>
            <wp:positionV relativeFrom="paragraph">
              <wp:posOffset>-19050</wp:posOffset>
            </wp:positionV>
            <wp:extent cx="134112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1336675</wp:posOffset>
            </wp:positionH>
            <wp:positionV relativeFrom="paragraph">
              <wp:posOffset>-19050</wp:posOffset>
            </wp:positionV>
            <wp:extent cx="116967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-19050</wp:posOffset>
            </wp:positionV>
            <wp:extent cx="998855"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998855" cy="8890"/>
                    </a:xfrm>
                    <a:prstGeom prst="rect">
                      <a:avLst/>
                    </a:prstGeom>
                    <a:noFill/>
                  </pic:spPr>
                </pic:pic>
              </a:graphicData>
            </a:graphic>
          </wp:anchor>
        </w:drawing>
      </w:r>
    </w:p>
    <w:p>
      <w:pPr>
        <w:spacing w:after="0" w:line="191" w:lineRule="exact"/>
        <w:rPr>
          <w:sz w:val="20"/>
          <w:szCs w:val="20"/>
          <w:color w:val="auto"/>
        </w:rPr>
      </w:pPr>
    </w:p>
    <w:p>
      <w:pPr>
        <w:ind w:left="860" w:hanging="319"/>
        <w:spacing w:after="0" w:line="245" w:lineRule="auto"/>
        <w:tabs>
          <w:tab w:leader="none" w:pos="860"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Certifications with respect to all Borrowings</w:t>
      </w:r>
      <w:r>
        <w:rPr>
          <w:rFonts w:ascii="Arial" w:cs="Arial" w:eastAsia="Arial" w:hAnsi="Arial"/>
          <w:sz w:val="17"/>
          <w:szCs w:val="17"/>
          <w:color w:val="auto"/>
        </w:rPr>
        <w:t>.</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The Borrower hereby certifies that on the date hereof as well as on the date of the Proposed Borrowing (a) each of the representations and warranties of the Loan Parties set forth in the Loan Documents are true and correct in all material respects, in each case on and as of the date hereof as if made on and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representation and warranty that is qualified as to “materiality”, “Material Adverse Effect” or similar language shall be true and correct (after giving effect to any qualification therein) in all respects on such respective dates and (b) no Default exists or would result from such Proposed Borrowing or from the application of the proceeds therefrom.</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________________________________</w:t>
      </w:r>
    </w:p>
    <w:p>
      <w:pPr>
        <w:ind w:left="380" w:hanging="248"/>
        <w:spacing w:after="0" w:line="185" w:lineRule="auto"/>
        <w:tabs>
          <w:tab w:leader="none" w:pos="380" w:val="left"/>
        </w:tabs>
        <w:numPr>
          <w:ilvl w:val="0"/>
          <w:numId w:val="216"/>
        </w:numPr>
        <w:rPr>
          <w:rFonts w:ascii="Arial" w:cs="Arial" w:eastAsia="Arial" w:hAnsi="Arial"/>
          <w:sz w:val="27"/>
          <w:szCs w:val="27"/>
          <w:color w:val="auto"/>
          <w:vertAlign w:val="superscript"/>
        </w:rPr>
      </w:pPr>
      <w:r>
        <w:rPr>
          <w:rFonts w:ascii="Arial" w:cs="Arial" w:eastAsia="Arial" w:hAnsi="Arial"/>
          <w:sz w:val="16"/>
          <w:szCs w:val="16"/>
          <w:color w:val="auto"/>
        </w:rPr>
        <w:t>NTD: Include this Section if Borrowings are being requested. Delete inapplicable bracketed terms.</w:t>
      </w:r>
    </w:p>
    <w:p>
      <w:pPr>
        <w:ind w:left="380" w:hanging="248"/>
        <w:spacing w:after="0" w:line="180" w:lineRule="auto"/>
        <w:tabs>
          <w:tab w:leader="none" w:pos="380" w:val="left"/>
        </w:tabs>
        <w:numPr>
          <w:ilvl w:val="0"/>
          <w:numId w:val="217"/>
        </w:numPr>
        <w:rPr>
          <w:rFonts w:ascii="Arial" w:cs="Arial" w:eastAsia="Arial" w:hAnsi="Arial"/>
          <w:sz w:val="25"/>
          <w:szCs w:val="25"/>
          <w:color w:val="auto"/>
          <w:vertAlign w:val="superscript"/>
        </w:rPr>
      </w:pPr>
      <w:r>
        <w:rPr>
          <w:rFonts w:ascii="Arial" w:cs="Arial" w:eastAsia="Arial" w:hAnsi="Arial"/>
          <w:sz w:val="15"/>
          <w:szCs w:val="15"/>
          <w:color w:val="auto"/>
        </w:rPr>
        <w:t>NTD: Include this Section if Borrowings are being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360045</wp:posOffset>
            </wp:positionV>
            <wp:extent cx="7132320" cy="171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188" w:name="page189"/>
    <w:bookmarkEnd w:id="188"/>
    <w:p>
      <w:pPr>
        <w:jc w:val="both"/>
        <w:ind w:left="820" w:right="240" w:hanging="319"/>
        <w:spacing w:after="0" w:line="212" w:lineRule="auto"/>
        <w:tabs>
          <w:tab w:leader="none" w:pos="82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Conversions and Continuations</w:t>
      </w:r>
      <w:r>
        <w:rPr>
          <w:rFonts w:ascii="Arial" w:cs="Arial" w:eastAsia="Arial" w:hAnsi="Arial"/>
          <w:sz w:val="18"/>
          <w:szCs w:val="18"/>
          <w:color w:val="auto"/>
        </w:rPr>
        <w:t>.</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Credit Agreement, the Borrower hereby irrevocably requests a [conversion] [continuation] under the Credit Agreement and sets forth below the information relating to such [conversion] [continuation] (the “</w:t>
      </w:r>
      <w:r>
        <w:rPr>
          <w:rFonts w:ascii="Arial" w:cs="Arial" w:eastAsia="Arial" w:hAnsi="Arial"/>
          <w:sz w:val="18"/>
          <w:szCs w:val="18"/>
          <w:u w:val="single" w:color="auto"/>
          <w:color w:val="auto"/>
        </w:rPr>
        <w:t>Proposed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[Conversion] [Continuation]</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ind w:left="1480" w:hanging="317"/>
        <w:spacing w:after="0"/>
        <w:tabs>
          <w:tab w:leader="none" w:pos="14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Business Day of the Proposed [Conversion] [Continuation] is [________ __], 20[__].</w:t>
      </w:r>
    </w:p>
    <w:p>
      <w:pPr>
        <w:spacing w:after="0" w:line="225" w:lineRule="exact"/>
        <w:rPr>
          <w:rFonts w:ascii="Arial" w:cs="Arial" w:eastAsia="Arial" w:hAnsi="Arial"/>
          <w:sz w:val="18"/>
          <w:szCs w:val="18"/>
          <w:color w:val="auto"/>
        </w:rPr>
      </w:pPr>
    </w:p>
    <w:p>
      <w:pPr>
        <w:ind w:left="1480" w:right="220" w:hanging="331"/>
        <w:spacing w:after="0" w:line="277" w:lineRule="auto"/>
        <w:tabs>
          <w:tab w:leader="none" w:pos="14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Class, Type and amount of the Proposed [Conversion] [Continuation] and, in the case of SOFR Borrowings, the initial Interest Period are as follows: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3820" w:type="dxa"/>
            <w:vAlign w:val="bottom"/>
            <w:tcBorders>
              <w:top w:val="single" w:sz="8" w:color="auto"/>
              <w:left w:val="single" w:sz="8" w:color="auto"/>
              <w:right w:val="single" w:sz="8" w:color="auto"/>
            </w:tcBorders>
            <w:shd w:val="clear" w:color="auto" w:fill="EEEEEE"/>
          </w:tcPr>
          <w:p>
            <w:pPr>
              <w:jc w:val="center"/>
              <w:spacing w:after="0"/>
              <w:rPr>
                <w:sz w:val="20"/>
                <w:szCs w:val="20"/>
                <w:color w:val="auto"/>
              </w:rPr>
            </w:pPr>
            <w:r>
              <w:rPr>
                <w:rFonts w:ascii="Arial" w:cs="Arial" w:eastAsia="Arial" w:hAnsi="Arial"/>
                <w:sz w:val="18"/>
                <w:szCs w:val="18"/>
                <w:b w:val="1"/>
                <w:bCs w:val="1"/>
                <w:color w:val="auto"/>
                <w:w w:val="89"/>
              </w:rPr>
              <w:t>Class of Borrowings (Revolving, Term or</w:t>
            </w:r>
          </w:p>
        </w:tc>
        <w:tc>
          <w:tcPr>
            <w:tcW w:w="3160" w:type="dxa"/>
            <w:vAlign w:val="bottom"/>
            <w:tcBorders>
              <w:top w:val="single" w:sz="8" w:color="auto"/>
              <w:right w:val="single" w:sz="8" w:color="auto"/>
            </w:tcBorders>
            <w:vMerge w:val="restart"/>
            <w:shd w:val="clear" w:color="auto" w:fill="EEEEEE"/>
          </w:tcPr>
          <w:p>
            <w:pPr>
              <w:jc w:val="center"/>
              <w:spacing w:after="0"/>
              <w:rPr>
                <w:sz w:val="20"/>
                <w:szCs w:val="20"/>
                <w:color w:val="auto"/>
              </w:rPr>
            </w:pPr>
            <w:r>
              <w:rPr>
                <w:rFonts w:ascii="Arial" w:cs="Arial" w:eastAsia="Arial" w:hAnsi="Arial"/>
                <w:sz w:val="18"/>
                <w:szCs w:val="18"/>
                <w:b w:val="1"/>
                <w:bCs w:val="1"/>
                <w:color w:val="auto"/>
                <w:w w:val="92"/>
              </w:rPr>
              <w:t>Type of Borrowing (ABR or SOFR)</w:t>
            </w:r>
          </w:p>
        </w:tc>
        <w:tc>
          <w:tcPr>
            <w:tcW w:w="2320" w:type="dxa"/>
            <w:vAlign w:val="bottom"/>
            <w:tcBorders>
              <w:top w:val="single" w:sz="8" w:color="auto"/>
              <w:right w:val="single" w:sz="8" w:color="auto"/>
            </w:tcBorders>
            <w:shd w:val="clear" w:color="auto" w:fill="EEEEEE"/>
          </w:tcPr>
          <w:p>
            <w:pPr>
              <w:spacing w:after="0"/>
              <w:rPr>
                <w:sz w:val="24"/>
                <w:szCs w:val="24"/>
                <w:color w:val="auto"/>
              </w:rPr>
            </w:pPr>
          </w:p>
        </w:tc>
        <w:tc>
          <w:tcPr>
            <w:tcW w:w="1820" w:type="dxa"/>
            <w:vAlign w:val="bottom"/>
            <w:tcBorders>
              <w:top w:val="single" w:sz="8" w:color="auto"/>
              <w:right w:val="single" w:sz="8" w:color="auto"/>
            </w:tcBorders>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820" w:type="dxa"/>
            <w:vAlign w:val="bottom"/>
            <w:tcBorders>
              <w:left w:val="single" w:sz="8" w:color="auto"/>
              <w:right w:val="single" w:sz="8" w:color="auto"/>
            </w:tcBorders>
            <w:vMerge w:val="restart"/>
            <w:shd w:val="clear" w:color="auto" w:fill="EEEEEE"/>
          </w:tcPr>
          <w:p>
            <w:pPr>
              <w:jc w:val="center"/>
              <w:spacing w:after="0"/>
              <w:rPr>
                <w:sz w:val="20"/>
                <w:szCs w:val="20"/>
                <w:color w:val="auto"/>
              </w:rPr>
            </w:pPr>
            <w:r>
              <w:rPr>
                <w:rFonts w:ascii="Arial" w:cs="Arial" w:eastAsia="Arial" w:hAnsi="Arial"/>
                <w:sz w:val="18"/>
                <w:szCs w:val="18"/>
                <w:b w:val="1"/>
                <w:bCs w:val="1"/>
                <w:color w:val="auto"/>
                <w:w w:val="92"/>
              </w:rPr>
              <w:t>Incremental Term) being [Converted]</w:t>
            </w:r>
          </w:p>
        </w:tc>
        <w:tc>
          <w:tcPr>
            <w:tcW w:w="3160" w:type="dxa"/>
            <w:vAlign w:val="bottom"/>
            <w:tcBorders>
              <w:right w:val="single" w:sz="8" w:color="auto"/>
            </w:tcBorders>
            <w:vMerge w:val="continue"/>
            <w:shd w:val="clear" w:color="auto" w:fill="EEEEEE"/>
          </w:tcPr>
          <w:p>
            <w:pPr>
              <w:spacing w:after="0"/>
              <w:rPr>
                <w:sz w:val="9"/>
                <w:szCs w:val="9"/>
                <w:color w:val="auto"/>
              </w:rPr>
            </w:pPr>
          </w:p>
        </w:tc>
        <w:tc>
          <w:tcPr>
            <w:tcW w:w="2320" w:type="dxa"/>
            <w:vAlign w:val="bottom"/>
            <w:tcBorders>
              <w:right w:val="single" w:sz="8" w:color="auto"/>
            </w:tcBorders>
            <w:vMerge w:val="restart"/>
            <w:shd w:val="clear" w:color="auto" w:fill="EEEEEE"/>
          </w:tcPr>
          <w:p>
            <w:pPr>
              <w:ind w:left="800"/>
              <w:spacing w:after="0" w:line="216" w:lineRule="exact"/>
              <w:rPr>
                <w:sz w:val="20"/>
                <w:szCs w:val="20"/>
                <w:color w:val="auto"/>
              </w:rPr>
            </w:pPr>
            <w:r>
              <w:rPr>
                <w:rFonts w:ascii="Arial" w:cs="Arial" w:eastAsia="Arial" w:hAnsi="Arial"/>
                <w:sz w:val="16"/>
                <w:szCs w:val="16"/>
                <w:b w:val="1"/>
                <w:bCs w:val="1"/>
                <w:color w:val="auto"/>
              </w:rPr>
              <w:t>Amount</w:t>
            </w:r>
            <w:r>
              <w:rPr>
                <w:rFonts w:ascii="Arial" w:cs="Arial" w:eastAsia="Arial" w:hAnsi="Arial"/>
                <w:sz w:val="25"/>
                <w:szCs w:val="25"/>
                <w:color w:val="auto"/>
                <w:vertAlign w:val="superscript"/>
              </w:rPr>
              <w:t>4</w:t>
            </w:r>
          </w:p>
        </w:tc>
        <w:tc>
          <w:tcPr>
            <w:tcW w:w="1820" w:type="dxa"/>
            <w:vAlign w:val="bottom"/>
            <w:tcBorders>
              <w:right w:val="single" w:sz="8" w:color="auto"/>
            </w:tcBorders>
            <w:vMerge w:val="restart"/>
            <w:shd w:val="clear" w:color="auto" w:fill="EEEEEE"/>
          </w:tcPr>
          <w:p>
            <w:pPr>
              <w:ind w:left="320"/>
              <w:spacing w:after="0"/>
              <w:rPr>
                <w:sz w:val="20"/>
                <w:szCs w:val="20"/>
                <w:color w:val="auto"/>
              </w:rPr>
            </w:pPr>
            <w:r>
              <w:rPr>
                <w:rFonts w:ascii="Arial" w:cs="Arial" w:eastAsia="Arial" w:hAnsi="Arial"/>
                <w:sz w:val="18"/>
                <w:szCs w:val="18"/>
                <w:b w:val="1"/>
                <w:bCs w:val="1"/>
                <w:color w:val="auto"/>
              </w:rPr>
              <w:t>Interest Period</w:t>
            </w:r>
          </w:p>
        </w:tc>
        <w:tc>
          <w:tcPr>
            <w:tcW w:w="0" w:type="dxa"/>
            <w:vAlign w:val="bottom"/>
          </w:tcPr>
          <w:p>
            <w:pPr>
              <w:spacing w:after="0"/>
              <w:rPr>
                <w:sz w:val="1"/>
                <w:szCs w:val="1"/>
                <w:color w:val="auto"/>
              </w:rPr>
            </w:pPr>
          </w:p>
        </w:tc>
      </w:tr>
      <w:tr>
        <w:trPr>
          <w:trHeight w:val="108"/>
        </w:trPr>
        <w:tc>
          <w:tcPr>
            <w:tcW w:w="3820" w:type="dxa"/>
            <w:vAlign w:val="bottom"/>
            <w:tcBorders>
              <w:left w:val="single" w:sz="8" w:color="auto"/>
              <w:right w:val="single" w:sz="8" w:color="auto"/>
            </w:tcBorders>
            <w:vMerge w:val="continue"/>
            <w:shd w:val="clear" w:color="auto" w:fill="EEEEEE"/>
          </w:tcPr>
          <w:p>
            <w:pPr>
              <w:spacing w:after="0"/>
              <w:rPr>
                <w:sz w:val="9"/>
                <w:szCs w:val="9"/>
                <w:color w:val="auto"/>
              </w:rPr>
            </w:pPr>
          </w:p>
        </w:tc>
        <w:tc>
          <w:tcPr>
            <w:tcW w:w="3160" w:type="dxa"/>
            <w:vAlign w:val="bottom"/>
            <w:tcBorders>
              <w:right w:val="single" w:sz="8" w:color="auto"/>
            </w:tcBorders>
            <w:vMerge w:val="restart"/>
            <w:shd w:val="clear" w:color="auto" w:fill="EEEEEE"/>
          </w:tcPr>
          <w:p>
            <w:pPr>
              <w:jc w:val="center"/>
              <w:spacing w:after="0"/>
              <w:rPr>
                <w:sz w:val="20"/>
                <w:szCs w:val="20"/>
                <w:color w:val="auto"/>
              </w:rPr>
            </w:pPr>
            <w:r>
              <w:rPr>
                <w:rFonts w:ascii="Arial" w:cs="Arial" w:eastAsia="Arial" w:hAnsi="Arial"/>
                <w:sz w:val="18"/>
                <w:szCs w:val="18"/>
                <w:b w:val="1"/>
                <w:bCs w:val="1"/>
                <w:color w:val="auto"/>
                <w:w w:val="90"/>
              </w:rPr>
              <w:t>being [Converted] [Continued]</w:t>
            </w:r>
          </w:p>
        </w:tc>
        <w:tc>
          <w:tcPr>
            <w:tcW w:w="2320" w:type="dxa"/>
            <w:vAlign w:val="bottom"/>
            <w:tcBorders>
              <w:right w:val="single" w:sz="8" w:color="auto"/>
            </w:tcBorders>
            <w:vMerge w:val="continue"/>
            <w:shd w:val="clear" w:color="auto" w:fill="EEEEEE"/>
          </w:tcPr>
          <w:p>
            <w:pPr>
              <w:spacing w:after="0"/>
              <w:rPr>
                <w:sz w:val="9"/>
                <w:szCs w:val="9"/>
                <w:color w:val="auto"/>
              </w:rPr>
            </w:pPr>
          </w:p>
        </w:tc>
        <w:tc>
          <w:tcPr>
            <w:tcW w:w="1820" w:type="dxa"/>
            <w:vAlign w:val="bottom"/>
            <w:tcBorders>
              <w:right w:val="single" w:sz="8" w:color="auto"/>
            </w:tcBorders>
            <w:vMerge w:val="continue"/>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820" w:type="dxa"/>
            <w:vAlign w:val="bottom"/>
            <w:tcBorders>
              <w:left w:val="single" w:sz="8" w:color="auto"/>
              <w:right w:val="single" w:sz="8" w:color="auto"/>
            </w:tcBorders>
            <w:vMerge w:val="restart"/>
            <w:shd w:val="clear" w:color="auto" w:fill="EEEEEE"/>
          </w:tcPr>
          <w:p>
            <w:pPr>
              <w:jc w:val="center"/>
              <w:spacing w:after="0"/>
              <w:rPr>
                <w:sz w:val="20"/>
                <w:szCs w:val="20"/>
                <w:color w:val="auto"/>
              </w:rPr>
            </w:pPr>
            <w:r>
              <w:rPr>
                <w:rFonts w:ascii="Arial" w:cs="Arial" w:eastAsia="Arial" w:hAnsi="Arial"/>
                <w:sz w:val="18"/>
                <w:szCs w:val="18"/>
                <w:b w:val="1"/>
                <w:bCs w:val="1"/>
                <w:color w:val="auto"/>
                <w:w w:val="93"/>
              </w:rPr>
              <w:t>[Continued]</w:t>
            </w:r>
          </w:p>
        </w:tc>
        <w:tc>
          <w:tcPr>
            <w:tcW w:w="3160" w:type="dxa"/>
            <w:vAlign w:val="bottom"/>
            <w:tcBorders>
              <w:right w:val="single" w:sz="8" w:color="auto"/>
            </w:tcBorders>
            <w:vMerge w:val="continue"/>
            <w:shd w:val="clear" w:color="auto" w:fill="EEEEEE"/>
          </w:tcPr>
          <w:p>
            <w:pPr>
              <w:spacing w:after="0"/>
              <w:rPr>
                <w:sz w:val="10"/>
                <w:szCs w:val="10"/>
                <w:color w:val="auto"/>
              </w:rPr>
            </w:pPr>
          </w:p>
        </w:tc>
        <w:tc>
          <w:tcPr>
            <w:tcW w:w="2320" w:type="dxa"/>
            <w:vAlign w:val="bottom"/>
            <w:tcBorders>
              <w:right w:val="single" w:sz="8" w:color="auto"/>
            </w:tcBorders>
            <w:shd w:val="clear" w:color="auto" w:fill="EEEEEE"/>
          </w:tcPr>
          <w:p>
            <w:pPr>
              <w:spacing w:after="0"/>
              <w:rPr>
                <w:sz w:val="10"/>
                <w:szCs w:val="10"/>
                <w:color w:val="auto"/>
              </w:rPr>
            </w:pPr>
          </w:p>
        </w:tc>
        <w:tc>
          <w:tcPr>
            <w:tcW w:w="1820" w:type="dxa"/>
            <w:vAlign w:val="bottom"/>
            <w:tcBorders>
              <w:right w:val="single" w:sz="8" w:color="auto"/>
            </w:tcBorders>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Borders>
              <w:left w:val="single" w:sz="8" w:color="auto"/>
              <w:right w:val="single" w:sz="8" w:color="auto"/>
            </w:tcBorders>
            <w:vMerge w:val="continue"/>
            <w:shd w:val="clear" w:color="auto" w:fill="EEEEEE"/>
          </w:tcPr>
          <w:p>
            <w:pPr>
              <w:spacing w:after="0"/>
              <w:rPr>
                <w:sz w:val="9"/>
                <w:szCs w:val="9"/>
                <w:color w:val="auto"/>
              </w:rPr>
            </w:pPr>
          </w:p>
        </w:tc>
        <w:tc>
          <w:tcPr>
            <w:tcW w:w="3160" w:type="dxa"/>
            <w:vAlign w:val="bottom"/>
            <w:tcBorders>
              <w:right w:val="single" w:sz="8" w:color="auto"/>
            </w:tcBorders>
            <w:shd w:val="clear" w:color="auto" w:fill="EEEEEE"/>
          </w:tcPr>
          <w:p>
            <w:pPr>
              <w:spacing w:after="0"/>
              <w:rPr>
                <w:sz w:val="9"/>
                <w:szCs w:val="9"/>
                <w:color w:val="auto"/>
              </w:rPr>
            </w:pPr>
          </w:p>
        </w:tc>
        <w:tc>
          <w:tcPr>
            <w:tcW w:w="2320" w:type="dxa"/>
            <w:vAlign w:val="bottom"/>
            <w:tcBorders>
              <w:right w:val="single" w:sz="8" w:color="auto"/>
            </w:tcBorders>
            <w:shd w:val="clear" w:color="auto" w:fill="EEEEEE"/>
          </w:tcPr>
          <w:p>
            <w:pPr>
              <w:spacing w:after="0"/>
              <w:rPr>
                <w:sz w:val="9"/>
                <w:szCs w:val="9"/>
                <w:color w:val="auto"/>
              </w:rPr>
            </w:pPr>
          </w:p>
        </w:tc>
        <w:tc>
          <w:tcPr>
            <w:tcW w:w="1820" w:type="dxa"/>
            <w:vAlign w:val="bottom"/>
            <w:tcBorders>
              <w:right w:val="single" w:sz="8" w:color="auto"/>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820" w:type="dxa"/>
            <w:vAlign w:val="bottom"/>
            <w:tcBorders>
              <w:left w:val="single" w:sz="8" w:color="auto"/>
              <w:bottom w:val="single" w:sz="8" w:color="auto"/>
              <w:right w:val="single" w:sz="8" w:color="auto"/>
            </w:tcBorders>
            <w:shd w:val="clear" w:color="auto" w:fill="EEEEEE"/>
          </w:tcPr>
          <w:p>
            <w:pPr>
              <w:spacing w:after="0"/>
              <w:rPr>
                <w:sz w:val="5"/>
                <w:szCs w:val="5"/>
                <w:color w:val="auto"/>
              </w:rPr>
            </w:pPr>
          </w:p>
        </w:tc>
        <w:tc>
          <w:tcPr>
            <w:tcW w:w="3160" w:type="dxa"/>
            <w:vAlign w:val="bottom"/>
            <w:tcBorders>
              <w:bottom w:val="single" w:sz="8" w:color="auto"/>
              <w:right w:val="single" w:sz="8" w:color="auto"/>
            </w:tcBorders>
            <w:shd w:val="clear" w:color="auto" w:fill="EEEEEE"/>
          </w:tcPr>
          <w:p>
            <w:pPr>
              <w:spacing w:after="0"/>
              <w:rPr>
                <w:sz w:val="5"/>
                <w:szCs w:val="5"/>
                <w:color w:val="auto"/>
              </w:rPr>
            </w:pPr>
          </w:p>
        </w:tc>
        <w:tc>
          <w:tcPr>
            <w:tcW w:w="2320" w:type="dxa"/>
            <w:vAlign w:val="bottom"/>
            <w:tcBorders>
              <w:bottom w:val="single" w:sz="8" w:color="auto"/>
              <w:right w:val="single" w:sz="8" w:color="auto"/>
            </w:tcBorders>
            <w:shd w:val="clear" w:color="auto" w:fill="EEEEEE"/>
          </w:tcPr>
          <w:p>
            <w:pPr>
              <w:spacing w:after="0"/>
              <w:rPr>
                <w:sz w:val="5"/>
                <w:szCs w:val="5"/>
                <w:color w:val="auto"/>
              </w:rPr>
            </w:pPr>
          </w:p>
        </w:tc>
        <w:tc>
          <w:tcPr>
            <w:tcW w:w="1820" w:type="dxa"/>
            <w:vAlign w:val="bottom"/>
            <w:tcBorders>
              <w:bottom w:val="single" w:sz="8" w:color="auto"/>
              <w:right w:val="single" w:sz="8" w:color="auto"/>
            </w:tcBorders>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820" w:type="dxa"/>
            <w:vAlign w:val="bottom"/>
            <w:tcBorders>
              <w:left w:val="single" w:sz="8" w:color="auto"/>
              <w:right w:val="single" w:sz="8" w:color="auto"/>
            </w:tcBorders>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__ months</w:t>
            </w:r>
          </w:p>
        </w:tc>
        <w:tc>
          <w:tcPr>
            <w:tcW w:w="0" w:type="dxa"/>
            <w:vAlign w:val="bottom"/>
          </w:tcPr>
          <w:p>
            <w:pPr>
              <w:spacing w:after="0"/>
              <w:rPr>
                <w:sz w:val="1"/>
                <w:szCs w:val="1"/>
                <w:color w:val="auto"/>
              </w:rPr>
            </w:pPr>
          </w:p>
        </w:tc>
      </w:tr>
      <w:tr>
        <w:trPr>
          <w:trHeight w:val="68"/>
        </w:trPr>
        <w:tc>
          <w:tcPr>
            <w:tcW w:w="3820" w:type="dxa"/>
            <w:vAlign w:val="bottom"/>
            <w:tcBorders>
              <w:left w:val="single" w:sz="8" w:color="auto"/>
              <w:bottom w:val="single" w:sz="8" w:color="auto"/>
              <w:right w:val="single" w:sz="8" w:color="auto"/>
            </w:tcBorders>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820" w:type="dxa"/>
            <w:vAlign w:val="bottom"/>
            <w:tcBorders>
              <w:left w:val="single" w:sz="8" w:color="auto"/>
              <w:right w:val="single" w:sz="8" w:color="auto"/>
            </w:tcBorders>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__ months</w:t>
            </w:r>
          </w:p>
        </w:tc>
        <w:tc>
          <w:tcPr>
            <w:tcW w:w="0" w:type="dxa"/>
            <w:vAlign w:val="bottom"/>
          </w:tcPr>
          <w:p>
            <w:pPr>
              <w:spacing w:after="0"/>
              <w:rPr>
                <w:sz w:val="1"/>
                <w:szCs w:val="1"/>
                <w:color w:val="auto"/>
              </w:rPr>
            </w:pPr>
          </w:p>
        </w:tc>
      </w:tr>
      <w:tr>
        <w:trPr>
          <w:trHeight w:val="64"/>
        </w:trPr>
        <w:tc>
          <w:tcPr>
            <w:tcW w:w="3820" w:type="dxa"/>
            <w:vAlign w:val="bottom"/>
            <w:tcBorders>
              <w:left w:val="single" w:sz="8" w:color="auto"/>
              <w:bottom w:val="single" w:sz="8" w:color="auto"/>
              <w:right w:val="single" w:sz="8" w:color="auto"/>
            </w:tcBorders>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0" w:right="160" w:firstLine="486"/>
        <w:spacing w:after="0" w:line="258" w:lineRule="auto"/>
        <w:rPr>
          <w:sz w:val="20"/>
          <w:szCs w:val="20"/>
          <w:color w:val="auto"/>
        </w:rPr>
      </w:pPr>
      <w:r>
        <w:rPr>
          <w:rFonts w:ascii="Arial" w:cs="Arial" w:eastAsia="Arial" w:hAnsi="Arial"/>
          <w:sz w:val="18"/>
          <w:szCs w:val="18"/>
          <w:color w:val="auto"/>
        </w:rPr>
        <w:t>Delivery of an executed counterpart of this Committed Loan Notice by facsimile or other electronic method of transmission shall be effective as delivery of an original executed counterpart of this Committed Loan Notice.</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___________________________</w:t>
      </w:r>
    </w:p>
    <w:p>
      <w:pPr>
        <w:ind w:left="340" w:hanging="248"/>
        <w:spacing w:after="0" w:line="185" w:lineRule="auto"/>
        <w:tabs>
          <w:tab w:leader="none" w:pos="340" w:val="left"/>
        </w:tabs>
        <w:numPr>
          <w:ilvl w:val="0"/>
          <w:numId w:val="219"/>
        </w:numPr>
        <w:rPr>
          <w:rFonts w:ascii="Arial" w:cs="Arial" w:eastAsia="Arial" w:hAnsi="Arial"/>
          <w:sz w:val="27"/>
          <w:szCs w:val="27"/>
          <w:color w:val="auto"/>
          <w:vertAlign w:val="superscript"/>
        </w:rPr>
      </w:pPr>
      <w:r>
        <w:rPr>
          <w:rFonts w:ascii="Arial" w:cs="Arial" w:eastAsia="Arial" w:hAnsi="Arial"/>
          <w:sz w:val="16"/>
          <w:szCs w:val="16"/>
          <w:color w:val="auto"/>
        </w:rPr>
        <w:t>NTD: Include this Section if conversions or continuations are being requested. Delete inapplicable bracketed terms.</w:t>
      </w:r>
    </w:p>
    <w:p>
      <w:pPr>
        <w:ind w:left="380" w:hanging="288"/>
        <w:spacing w:after="0" w:line="180" w:lineRule="auto"/>
        <w:tabs>
          <w:tab w:leader="none" w:pos="380" w:val="left"/>
        </w:tabs>
        <w:numPr>
          <w:ilvl w:val="0"/>
          <w:numId w:val="220"/>
        </w:numPr>
        <w:rPr>
          <w:rFonts w:ascii="Arial" w:cs="Arial" w:eastAsia="Arial" w:hAnsi="Arial"/>
          <w:sz w:val="25"/>
          <w:szCs w:val="25"/>
          <w:color w:val="auto"/>
          <w:vertAlign w:val="superscript"/>
        </w:rPr>
      </w:pPr>
      <w:r>
        <w:rPr>
          <w:rFonts w:ascii="Arial" w:cs="Arial" w:eastAsia="Arial" w:hAnsi="Arial"/>
          <w:sz w:val="15"/>
          <w:szCs w:val="15"/>
          <w:color w:val="auto"/>
        </w:rPr>
        <w:t>NTD: Must be a minimum of the Borrowing Minimum or a whole multiple of the Borrowing Multiple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360045</wp:posOffset>
            </wp:positionV>
            <wp:extent cx="7132320" cy="171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584" w:right="399" w:bottom="1440" w:gutter="0" w:footer="0" w:header="0"/>
        </w:sectPr>
      </w:pPr>
    </w:p>
    <w:bookmarkStart w:id="189" w:name="page190"/>
    <w:bookmarkEnd w:id="189"/>
    <w:p>
      <w:pPr>
        <w:spacing w:after="0"/>
        <w:rPr>
          <w:sz w:val="20"/>
          <w:szCs w:val="20"/>
          <w:color w:val="auto"/>
        </w:rPr>
      </w:pPr>
      <w:r>
        <w:rPr>
          <w:rFonts w:ascii="Arial" w:cs="Arial" w:eastAsia="Arial" w:hAnsi="Arial"/>
          <w:sz w:val="16"/>
          <w:szCs w:val="16"/>
          <w:color w:val="auto"/>
        </w:rPr>
        <w:t>IN WITNESS WHEREOF, the Borrower has caused this Committed Loan Notice to be executed as of the date and year first written above.</w:t>
      </w:r>
    </w:p>
    <w:p>
      <w:pPr>
        <w:sectPr>
          <w:pgSz w:w="11900" w:h="16838" w:orient="portrait"/>
          <w:cols w:equalWidth="0" w:num="1">
            <w:col w:w="10020"/>
          </w:cols>
          <w:pgMar w:left="960" w:top="800"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HARVARD BIOSCIENCE,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3449955</wp:posOffset>
            </wp:positionH>
            <wp:positionV relativeFrom="paragraph">
              <wp:posOffset>-10160</wp:posOffset>
            </wp:positionV>
            <wp:extent cx="1626235"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626235"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-19050</wp:posOffset>
            </wp:positionV>
            <wp:extent cx="1511935"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511935" cy="889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-19050</wp:posOffset>
            </wp:positionV>
            <wp:extent cx="156908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ectPr>
          <w:pgSz w:w="11900" w:h="16838" w:orient="portrait"/>
          <w:cols w:equalWidth="0" w:num="1">
            <w:col w:w="10020"/>
          </w:cols>
          <w:pgMar w:left="960" w:top="800" w:right="919" w:bottom="1440" w:gutter="0" w:footer="0" w:header="0"/>
          <w:type w:val="continuous"/>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A. Rossi, certify that:</w:t>
      </w:r>
    </w:p>
    <w:p>
      <w:pPr>
        <w:spacing w:after="0" w:line="225" w:lineRule="exact"/>
        <w:rPr>
          <w:sz w:val="20"/>
          <w:szCs w:val="20"/>
          <w:color w:val="auto"/>
        </w:rPr>
      </w:pPr>
    </w:p>
    <w:p>
      <w:pPr>
        <w:ind w:left="580" w:hanging="235"/>
        <w:spacing w:after="0"/>
        <w:tabs>
          <w:tab w:leader="none" w:pos="5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jc w:val="both"/>
        <w:ind w:left="580" w:right="200" w:hanging="235"/>
        <w:spacing w:after="0" w:line="263" w:lineRule="auto"/>
        <w:tabs>
          <w:tab w:leader="none" w:pos="5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60" w:hanging="235"/>
        <w:spacing w:after="0" w:line="308" w:lineRule="auto"/>
        <w:tabs>
          <w:tab w:leader="none" w:pos="58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140" w:hanging="235"/>
        <w:spacing w:after="0" w:line="263" w:lineRule="auto"/>
        <w:tabs>
          <w:tab w:leader="none" w:pos="5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800" w:right="220" w:hanging="225"/>
        <w:spacing w:after="0" w:line="263" w:lineRule="auto"/>
        <w:tabs>
          <w:tab w:leader="none" w:pos="8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800" w:right="540" w:hanging="225"/>
        <w:spacing w:after="0" w:line="263" w:lineRule="auto"/>
        <w:tabs>
          <w:tab w:leader="none" w:pos="8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800" w:right="720" w:hanging="225"/>
        <w:spacing w:after="0" w:line="342" w:lineRule="auto"/>
        <w:tabs>
          <w:tab w:leader="none" w:pos="80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00" w:right="220" w:hanging="225"/>
        <w:spacing w:after="0" w:line="263" w:lineRule="auto"/>
        <w:tabs>
          <w:tab w:leader="none" w:pos="8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235"/>
        <w:spacing w:after="0" w:line="342" w:lineRule="auto"/>
        <w:tabs>
          <w:tab w:leader="none" w:pos="5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00" w:right="120" w:hanging="225"/>
        <w:spacing w:after="0" w:line="277" w:lineRule="auto"/>
        <w:tabs>
          <w:tab w:leader="none" w:pos="8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00" w:right="80" w:hanging="225"/>
        <w:spacing w:after="0" w:line="277" w:lineRule="auto"/>
        <w:tabs>
          <w:tab w:leader="none" w:pos="8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7"/>
          <w:szCs w:val="17"/>
          <w:color w:val="auto"/>
        </w:rPr>
        <w:t>/s/ MICHAEL A. ROSSI</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A. Rossi</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Green, certify that:</w:t>
      </w:r>
    </w:p>
    <w:p>
      <w:pPr>
        <w:spacing w:after="0" w:line="225" w:lineRule="exact"/>
        <w:rPr>
          <w:sz w:val="20"/>
          <w:szCs w:val="20"/>
          <w:color w:val="auto"/>
        </w:rPr>
      </w:pPr>
    </w:p>
    <w:p>
      <w:pPr>
        <w:ind w:left="580" w:hanging="235"/>
        <w:spacing w:after="0"/>
        <w:tabs>
          <w:tab w:leader="none" w:pos="5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jc w:val="both"/>
        <w:ind w:left="580" w:right="200" w:hanging="235"/>
        <w:spacing w:after="0" w:line="263" w:lineRule="auto"/>
        <w:tabs>
          <w:tab w:leader="none" w:pos="5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60" w:hanging="235"/>
        <w:spacing w:after="0" w:line="308" w:lineRule="auto"/>
        <w:tabs>
          <w:tab w:leader="none" w:pos="58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140" w:hanging="235"/>
        <w:spacing w:after="0" w:line="263" w:lineRule="auto"/>
        <w:tabs>
          <w:tab w:leader="none" w:pos="5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800" w:right="220" w:hanging="225"/>
        <w:spacing w:after="0" w:line="263" w:lineRule="auto"/>
        <w:tabs>
          <w:tab w:leader="none" w:pos="8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800" w:right="540" w:hanging="225"/>
        <w:spacing w:after="0" w:line="263" w:lineRule="auto"/>
        <w:tabs>
          <w:tab w:leader="none" w:pos="8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800" w:right="720" w:hanging="225"/>
        <w:spacing w:after="0" w:line="342" w:lineRule="auto"/>
        <w:tabs>
          <w:tab w:leader="none" w:pos="80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00" w:right="220" w:hanging="225"/>
        <w:spacing w:after="0" w:line="263" w:lineRule="auto"/>
        <w:tabs>
          <w:tab w:leader="none" w:pos="8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235"/>
        <w:spacing w:after="0" w:line="342" w:lineRule="auto"/>
        <w:tabs>
          <w:tab w:leader="none" w:pos="58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00" w:right="120" w:hanging="225"/>
        <w:spacing w:after="0" w:line="277" w:lineRule="auto"/>
        <w:tabs>
          <w:tab w:leader="none" w:pos="8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00" w:right="80" w:hanging="225"/>
        <w:spacing w:after="0" w:line="277" w:lineRule="auto"/>
        <w:tabs>
          <w:tab w:leader="none" w:pos="8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6"/>
          <w:szCs w:val="16"/>
          <w:color w:val="auto"/>
        </w:rPr>
        <w:t>/s/ JAMES GREEN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James Green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 PURSUANT TO 18 U.S.C. SECTION 1350</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undersigned officer of Harvard Bioscience, Inc. (the “Company”) hereby certifies to his knowledge that the Company’s Quarterly Report on Form 10-Q for the quarterly period ended September 30, 2022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 (32)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8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7"/>
          <w:szCs w:val="17"/>
          <w:color w:val="auto"/>
        </w:rPr>
        <w:t>/s/ MICHAEL A. ROSSI</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Michael A. Rossi</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21"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 PURSUANT TO 18 U.S.C. SECTION 1350</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undersigned officer of Harvard Bioscience, Inc. (the “Company”) hereby certifies to his knowledge that the Company’s Quarterly Report on Form 10-Q for the quarterly period ended September 30, 2022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8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6"/>
          <w:szCs w:val="16"/>
          <w:color w:val="auto"/>
        </w:rPr>
        <w:t>/s/ JAMES GREEN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James Green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5E286C"/>
    <w:multiLevelType w:val="hybridMultilevel"/>
    <w:lvl w:ilvl="0">
      <w:lvlJc w:val="left"/>
      <w:lvlText w:val="☒"/>
      <w:numFmt w:val="bullet"/>
      <w:start w:val="1"/>
    </w:lvl>
  </w:abstractNum>
  <w:abstractNum w:abstractNumId="1">
    <w:nsid w:val="7C58FD05"/>
    <w:multiLevelType w:val="hybridMultilevel"/>
    <w:lvl w:ilvl="0">
      <w:lvlJc w:val="left"/>
      <w:lvlText w:val="☐"/>
      <w:numFmt w:val="bullet"/>
      <w:start w:val="1"/>
    </w:lvl>
  </w:abstractNum>
  <w:abstractNum w:abstractNumId="2">
    <w:nsid w:val="23D86AAC"/>
    <w:multiLevelType w:val="hybridMultilevel"/>
    <w:lvl w:ilvl="0">
      <w:lvlJc w:val="left"/>
      <w:lvlText w:val="%1."/>
      <w:numFmt w:val="decimal"/>
      <w:start w:val="2"/>
    </w:lvl>
  </w:abstractNum>
  <w:abstractNum w:abstractNumId="3">
    <w:nsid w:val="45E6D486"/>
    <w:multiLevelType w:val="hybridMultilevel"/>
    <w:lvl w:ilvl="0">
      <w:lvlJc w:val="left"/>
      <w:lvlText w:val="%1."/>
      <w:numFmt w:val="decimal"/>
      <w:start w:val="3"/>
    </w:lvl>
  </w:abstractNum>
  <w:abstractNum w:abstractNumId="4">
    <w:nsid w:val="5C10FE21"/>
    <w:multiLevelType w:val="hybridMultilevel"/>
    <w:lvl w:ilvl="0">
      <w:lvlJc w:val="left"/>
      <w:lvlText w:val="%1."/>
      <w:numFmt w:val="decimal"/>
      <w:start w:val="8"/>
    </w:lvl>
  </w:abstractNum>
  <w:abstractNum w:abstractNumId="5">
    <w:nsid w:val="E7FFA2B"/>
    <w:multiLevelType w:val="hybridMultilevel"/>
    <w:lvl w:ilvl="0">
      <w:lvlJc w:val="left"/>
      <w:lvlText w:val="%1"/>
      <w:numFmt w:val="decimal"/>
      <w:start w:val="103"/>
    </w:lvl>
    <w:lvl w:ilvl="1">
      <w:lvlJc w:val="left"/>
      <w:lvlText w:val="(%2)"/>
      <w:numFmt w:val="decimal"/>
      <w:start w:val="60"/>
    </w:lvl>
  </w:abstractNum>
  <w:abstractNum w:abstractNumId="6">
    <w:nsid w:val="3C5991AA"/>
    <w:multiLevelType w:val="hybridMultilevel"/>
    <w:lvl w:ilvl="0">
      <w:lvlJc w:val="left"/>
      <w:lvlText w:val="●"/>
      <w:numFmt w:val="bullet"/>
      <w:start w:val="1"/>
    </w:lvl>
  </w:abstractNum>
  <w:abstractNum w:abstractNumId="7">
    <w:nsid w:val="4BD8591A"/>
    <w:multiLevelType w:val="hybridMultilevel"/>
    <w:lvl w:ilvl="0">
      <w:lvlJc w:val="left"/>
      <w:lvlText w:val="*"/>
      <w:numFmt w:val="bullet"/>
      <w:start w:val="1"/>
    </w:lvl>
  </w:abstractNum>
  <w:abstractNum w:abstractNumId="8">
    <w:nsid w:val="78DF6A55"/>
    <w:multiLevelType w:val="hybridMultilevel"/>
    <w:lvl w:ilvl="0">
      <w:lvlJc w:val="left"/>
      <w:lvlText w:val="(%1)"/>
      <w:numFmt w:val="lowerLetter"/>
      <w:start w:val="1"/>
    </w:lvl>
  </w:abstractNum>
  <w:abstractNum w:abstractNumId="9">
    <w:nsid w:val="39B7AAA2"/>
    <w:multiLevelType w:val="hybridMultilevel"/>
    <w:lvl w:ilvl="0">
      <w:lvlJc w:val="left"/>
      <w:lvlText w:val="(%1)"/>
      <w:numFmt w:val="lowerLetter"/>
      <w:start w:val="1"/>
    </w:lvl>
  </w:abstractNum>
  <w:abstractNum w:abstractNumId="10">
    <w:nsid w:val="2B0D8DBE"/>
    <w:multiLevelType w:val="hybridMultilevel"/>
    <w:lvl w:ilvl="0">
      <w:lvlJc w:val="left"/>
      <w:lvlText w:val="(%1)"/>
      <w:numFmt w:val="lowerLetter"/>
      <w:start w:val="2"/>
    </w:lvl>
  </w:abstractNum>
  <w:abstractNum w:abstractNumId="11">
    <w:nsid w:val="6C80EC70"/>
    <w:multiLevelType w:val="hybridMultilevel"/>
    <w:lvl w:ilvl="0">
      <w:lvlJc w:val="left"/>
      <w:lvlText w:val="(%1)"/>
      <w:numFmt w:val="lowerLetter"/>
      <w:start w:val="1"/>
    </w:lvl>
  </w:abstractNum>
  <w:abstractNum w:abstractNumId="12">
    <w:nsid w:val="379E21B5"/>
    <w:multiLevelType w:val="hybridMultilevel"/>
    <w:lvl w:ilvl="0">
      <w:lvlJc w:val="left"/>
      <w:lvlText w:val="(%1)"/>
      <w:numFmt w:val="lowerLetter"/>
      <w:start w:val="1"/>
    </w:lvl>
  </w:abstractNum>
  <w:abstractNum w:abstractNumId="13">
    <w:nsid w:val="69E373"/>
    <w:multiLevelType w:val="hybridMultilevel"/>
    <w:lvl w:ilvl="0">
      <w:lvlJc w:val="left"/>
      <w:lvlText w:val="(%1)"/>
      <w:numFmt w:val="lowerLetter"/>
      <w:start w:val="1"/>
    </w:lvl>
  </w:abstractNum>
  <w:abstractNum w:abstractNumId="14">
    <w:nsid w:val="2C27173B"/>
    <w:multiLevelType w:val="hybridMultilevel"/>
    <w:lvl w:ilvl="0">
      <w:lvlJc w:val="left"/>
      <w:lvlText w:val="(%1)"/>
      <w:numFmt w:val="lowerLetter"/>
      <w:start w:val="2"/>
    </w:lvl>
  </w:abstractNum>
  <w:abstractNum w:abstractNumId="15">
    <w:nsid w:val="4C9B0904"/>
    <w:multiLevelType w:val="hybridMultilevel"/>
    <w:lvl w:ilvl="0">
      <w:lvlJc w:val="left"/>
      <w:lvlText w:val="%1"/>
      <w:numFmt w:val="lowerLetter"/>
      <w:start w:val="1"/>
    </w:lvl>
    <w:lvl w:ilvl="1">
      <w:lvlJc w:val="left"/>
      <w:lvlText w:val="(%2)"/>
      <w:numFmt w:val="lowerLetter"/>
      <w:start w:val="1"/>
    </w:lvl>
  </w:abstractNum>
  <w:abstractNum w:abstractNumId="16">
    <w:nsid w:val="6AA7B75C"/>
    <w:multiLevelType w:val="hybridMultilevel"/>
    <w:lvl w:ilvl="0">
      <w:lvlJc w:val="left"/>
      <w:lvlText w:val="(%1)"/>
      <w:numFmt w:val="lowerLetter"/>
      <w:start w:val="2"/>
    </w:lvl>
    <w:lvl w:ilvl="1">
      <w:lvlJc w:val="left"/>
      <w:lvlText w:val="%2"/>
      <w:numFmt w:val="lowerLetter"/>
      <w:start w:val="1"/>
    </w:lvl>
  </w:abstractNum>
  <w:abstractNum w:abstractNumId="17">
    <w:nsid w:val="1DF029D3"/>
    <w:multiLevelType w:val="hybridMultilevel"/>
    <w:lvl w:ilvl="0">
      <w:lvlJc w:val="left"/>
      <w:lvlText w:val="(%1)"/>
      <w:numFmt w:val="lowerLetter"/>
      <w:start w:val="4"/>
    </w:lvl>
  </w:abstractNum>
  <w:abstractNum w:abstractNumId="18">
    <w:nsid w:val="5675FF36"/>
    <w:multiLevelType w:val="hybridMultilevel"/>
    <w:lvl w:ilvl="0">
      <w:lvlJc w:val="left"/>
      <w:lvlText w:val="*"/>
      <w:numFmt w:val="bullet"/>
      <w:start w:val="1"/>
    </w:lvl>
  </w:abstractNum>
  <w:abstractNum w:abstractNumId="19">
    <w:nsid w:val="3DD15094"/>
    <w:multiLevelType w:val="hybridMultilevel"/>
    <w:lvl w:ilvl="0">
      <w:lvlJc w:val="left"/>
      <w:lvlText w:val="%1."/>
      <w:numFmt w:val="upperLetter"/>
      <w:start w:val="1"/>
    </w:lvl>
  </w:abstractNum>
  <w:abstractNum w:abstractNumId="20">
    <w:nsid w:val="3DB012B3"/>
    <w:multiLevelType w:val="hybridMultilevel"/>
    <w:lvl w:ilvl="0">
      <w:lvlJc w:val="left"/>
      <w:lvlText w:val="(%1)"/>
      <w:numFmt w:val="lowerLetter"/>
      <w:start w:val="1"/>
    </w:lvl>
  </w:abstractNum>
  <w:abstractNum w:abstractNumId="21">
    <w:nsid w:val="2708C9AF"/>
    <w:multiLevelType w:val="hybridMultilevel"/>
    <w:lvl w:ilvl="0">
      <w:lvlJc w:val="left"/>
      <w:lvlText w:val="(%1)"/>
      <w:numFmt w:val="decimal"/>
      <w:start w:val="2"/>
    </w:lvl>
    <w:lvl w:ilvl="1">
      <w:lvlJc w:val="left"/>
      <w:lvlText w:val="(%2)"/>
      <w:numFmt w:val="lowerLetter"/>
      <w:start w:val="2"/>
    </w:lvl>
  </w:abstractNum>
  <w:abstractNum w:abstractNumId="22">
    <w:nsid w:val="5B25ACE2"/>
    <w:multiLevelType w:val="hybridMultilevel"/>
    <w:lvl w:ilvl="0">
      <w:lvlJc w:val="left"/>
      <w:lvlText w:val="(%1)"/>
      <w:numFmt w:val="lowerLetter"/>
      <w:start w:val="3"/>
    </w:lvl>
  </w:abstractNum>
  <w:abstractNum w:abstractNumId="23">
    <w:nsid w:val="175DFCF0"/>
    <w:multiLevelType w:val="hybridMultilevel"/>
    <w:lvl w:ilvl="0">
      <w:lvlJc w:val="left"/>
      <w:lvlText w:val="(%1)"/>
      <w:numFmt w:val="decimal"/>
      <w:start w:val="3"/>
    </w:lvl>
  </w:abstractNum>
  <w:abstractNum w:abstractNumId="24">
    <w:nsid w:val="4F97E3E4"/>
    <w:multiLevelType w:val="hybridMultilevel"/>
    <w:lvl w:ilvl="0">
      <w:lvlJc w:val="left"/>
      <w:lvlText w:val="(%1)"/>
      <w:numFmt w:val="lowerLetter"/>
      <w:start w:val="1"/>
    </w:lvl>
  </w:abstractNum>
  <w:abstractNum w:abstractNumId="25">
    <w:nsid w:val="53B0A9E"/>
    <w:multiLevelType w:val="hybridMultilevel"/>
    <w:lvl w:ilvl="0">
      <w:lvlJc w:val="left"/>
      <w:lvlText w:val="(%1)"/>
      <w:numFmt w:val="lowerLetter"/>
      <w:start w:val="6"/>
    </w:lvl>
  </w:abstractNum>
  <w:abstractNum w:abstractNumId="26">
    <w:nsid w:val="34FD6B4F"/>
    <w:multiLevelType w:val="hybridMultilevel"/>
    <w:lvl w:ilvl="0">
      <w:lvlJc w:val="left"/>
      <w:lvlText w:val="(%1)"/>
      <w:numFmt w:val="lowerRoman"/>
      <w:start w:val="2"/>
    </w:lvl>
  </w:abstractNum>
  <w:abstractNum w:abstractNumId="27">
    <w:nsid w:val="5915FF32"/>
    <w:multiLevelType w:val="hybridMultilevel"/>
    <w:lvl w:ilvl="0">
      <w:lvlJc w:val="left"/>
      <w:lvlText w:val="(%1)"/>
      <w:numFmt w:val="lowerLetter"/>
      <w:start w:val="1"/>
    </w:lvl>
  </w:abstractNum>
  <w:abstractNum w:abstractNumId="28">
    <w:nsid w:val="56438D15"/>
    <w:multiLevelType w:val="hybridMultilevel"/>
    <w:lvl w:ilvl="0">
      <w:lvlJc w:val="left"/>
      <w:lvlText w:val="(%1)"/>
      <w:numFmt w:val="lowerLetter"/>
      <w:start w:val="2"/>
    </w:lvl>
  </w:abstractNum>
  <w:abstractNum w:abstractNumId="29">
    <w:nsid w:val="519E3149"/>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1"/>
    </w:lvl>
  </w:abstractNum>
  <w:abstractNum w:abstractNumId="30">
    <w:nsid w:val="2C6E4AFD"/>
    <w:multiLevelType w:val="hybridMultilevel"/>
    <w:lvl w:ilvl="0">
      <w:lvlJc w:val="left"/>
      <w:lvlText w:val="%1"/>
      <w:numFmt w:val="lowerLetter"/>
      <w:start w:val="1"/>
    </w:lvl>
    <w:lvl w:ilvl="1">
      <w:lvlJc w:val="left"/>
      <w:lvlText w:val="(%2)"/>
      <w:numFmt w:val="lowerRoman"/>
      <w:start w:val="7"/>
    </w:lvl>
    <w:lvl w:ilvl="2">
      <w:lvlJc w:val="left"/>
      <w:lvlText w:val="%3"/>
      <w:numFmt w:val="lowerRoman"/>
      <w:start w:val="1"/>
    </w:lvl>
    <w:lvl w:ilvl="3">
      <w:lvlJc w:val="left"/>
      <w:lvlText w:val="%4"/>
      <w:numFmt w:val="lowerRoman"/>
      <w:start w:val="1"/>
    </w:lvl>
  </w:abstractNum>
  <w:abstractNum w:abstractNumId="31">
    <w:nsid w:val="17A1B582"/>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lowerRoman"/>
      <w:start w:val="2"/>
    </w:lvl>
  </w:abstractNum>
  <w:abstractNum w:abstractNumId="32">
    <w:nsid w:val="4DF72E4E"/>
    <w:multiLevelType w:val="hybridMultilevel"/>
    <w:lvl w:ilvl="0">
      <w:lvlJc w:val="left"/>
      <w:lvlText w:val="(%1)"/>
      <w:numFmt w:val="lowerRoman"/>
      <w:start w:val="1"/>
    </w:lvl>
  </w:abstractNum>
  <w:abstractNum w:abstractNumId="33">
    <w:nsid w:val="5046B5A9"/>
    <w:multiLevelType w:val="hybridMultilevel"/>
    <w:lvl w:ilvl="0">
      <w:lvlJc w:val="left"/>
      <w:lvlText w:val="(%1)"/>
      <w:numFmt w:val="lowerLetter"/>
      <w:start w:val="1"/>
    </w:lvl>
  </w:abstractNum>
  <w:abstractNum w:abstractNumId="34">
    <w:nsid w:val="5D888A08"/>
    <w:multiLevelType w:val="hybridMultilevel"/>
    <w:lvl w:ilvl="0">
      <w:lvlJc w:val="left"/>
      <w:lvlText w:val="(%1)"/>
      <w:numFmt w:val="lowerLetter"/>
      <w:start w:val="3"/>
    </w:lvl>
  </w:abstractNum>
  <w:abstractNum w:abstractNumId="35">
    <w:nsid w:val="2A082C70"/>
    <w:multiLevelType w:val="hybridMultilevel"/>
    <w:lvl w:ilvl="0">
      <w:lvlJc w:val="left"/>
      <w:lvlText w:val="(%1)"/>
      <w:numFmt w:val="lowerLetter"/>
      <w:start w:val="6"/>
    </w:lvl>
  </w:abstractNum>
  <w:abstractNum w:abstractNumId="36">
    <w:nsid w:val="5EC6AFD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lvl w:ilvl="3">
      <w:lvlJc w:val="left"/>
      <w:lvlText w:val="(%4)"/>
      <w:numFmt w:val="lowerRoman"/>
      <w:start w:val="3"/>
    </w:lvl>
    <w:lvl w:ilvl="4">
      <w:lvlJc w:val="left"/>
      <w:lvlText w:val="(%5)"/>
      <w:numFmt w:val="lowerRoman"/>
      <w:start w:val="4"/>
    </w:lvl>
  </w:abstractNum>
  <w:abstractNum w:abstractNumId="37">
    <w:nsid w:val="19E21BB2"/>
    <w:multiLevelType w:val="hybridMultilevel"/>
    <w:lvl w:ilvl="0">
      <w:lvlJc w:val="left"/>
      <w:lvlText w:val="(%1)"/>
      <w:numFmt w:val="lowerRoman"/>
      <w:start w:val="10"/>
    </w:lvl>
  </w:abstractNum>
  <w:abstractNum w:abstractNumId="38">
    <w:nsid w:val="75E0858A"/>
    <w:multiLevelType w:val="hybridMultilevel"/>
    <w:lvl w:ilvl="0">
      <w:lvlJc w:val="left"/>
      <w:lvlText w:val="(%1)"/>
      <w:numFmt w:val="lowerRoman"/>
      <w:start w:val="11"/>
    </w:lvl>
  </w:abstractNum>
  <w:abstractNum w:abstractNumId="39">
    <w:nsid w:val="57A61A29"/>
    <w:multiLevelType w:val="hybridMultilevel"/>
    <w:lvl w:ilvl="0">
      <w:lvlJc w:val="left"/>
      <w:lvlText w:val="(%1)"/>
      <w:numFmt w:val="lowerLetter"/>
      <w:start w:val="4"/>
    </w:lvl>
  </w:abstractNum>
  <w:abstractNum w:abstractNumId="40">
    <w:nsid w:val="5399C654"/>
    <w:multiLevelType w:val="hybridMultilevel"/>
    <w:lvl w:ilvl="0">
      <w:lvlJc w:val="left"/>
      <w:lvlText w:val="(%1)"/>
      <w:numFmt w:val="lowerRoman"/>
      <w:start w:val="1"/>
    </w:lvl>
  </w:abstractNum>
  <w:abstractNum w:abstractNumId="41">
    <w:nsid w:val="20EE1348"/>
    <w:multiLevelType w:val="hybridMultilevel"/>
    <w:lvl w:ilvl="0">
      <w:lvlJc w:val="left"/>
      <w:lvlText w:val="(%1)"/>
      <w:numFmt w:val="lowerLetter"/>
      <w:start w:val="1"/>
    </w:lvl>
  </w:abstractNum>
  <w:abstractNum w:abstractNumId="42">
    <w:nsid w:val="4427069A"/>
    <w:multiLevelType w:val="hybridMultilevel"/>
    <w:lvl w:ilvl="0">
      <w:lvlJc w:val="left"/>
      <w:lvlText w:val="%1"/>
      <w:numFmt w:val="lowerLetter"/>
      <w:start w:val="1"/>
    </w:lvl>
    <w:lvl w:ilvl="1">
      <w:lvlJc w:val="left"/>
      <w:lvlText w:val="(%2)"/>
      <w:numFmt w:val="lowerLetter"/>
      <w:start w:val="3"/>
    </w:lvl>
  </w:abstractNum>
  <w:abstractNum w:abstractNumId="43">
    <w:nsid w:val="B37E80A"/>
    <w:multiLevelType w:val="hybridMultilevel"/>
    <w:lvl w:ilvl="0">
      <w:lvlJc w:val="left"/>
      <w:lvlText w:val="(%1)"/>
      <w:numFmt w:val="lowerLetter"/>
      <w:start w:val="61"/>
    </w:lvl>
    <w:lvl w:ilvl="1">
      <w:lvlJc w:val="left"/>
      <w:lvlText w:val="(%2)"/>
      <w:numFmt w:val="lowerLetter"/>
      <w:start w:val="7"/>
    </w:lvl>
  </w:abstractNum>
  <w:abstractNum w:abstractNumId="44">
    <w:nsid w:val="2157F6BC"/>
    <w:multiLevelType w:val="hybridMultilevel"/>
    <w:lvl w:ilvl="0">
      <w:lvlJc w:val="left"/>
      <w:lvlText w:val="(%1)"/>
      <w:numFmt w:val="lowerLetter"/>
      <w:start w:val="1"/>
    </w:lvl>
  </w:abstractNum>
  <w:abstractNum w:abstractNumId="45">
    <w:nsid w:val="704E1DD5"/>
    <w:multiLevelType w:val="hybridMultilevel"/>
    <w:lvl w:ilvl="0">
      <w:lvlJc w:val="left"/>
      <w:lvlText w:val="%1"/>
      <w:numFmt w:val="upperLetter"/>
      <w:start w:val="1"/>
    </w:lvl>
    <w:lvl w:ilvl="1">
      <w:lvlJc w:val="left"/>
      <w:lvlText w:val="(%2)"/>
      <w:numFmt w:val="lowerLetter"/>
      <w:start w:val="9"/>
    </w:lvl>
  </w:abstractNum>
  <w:abstractNum w:abstractNumId="46">
    <w:nsid w:val="57D2F10E"/>
    <w:multiLevelType w:val="hybridMultilevel"/>
    <w:lvl w:ilvl="0">
      <w:lvlJc w:val="left"/>
      <w:lvlText w:val="(%1)"/>
      <w:numFmt w:val="upperLetter"/>
      <w:start w:val="1"/>
    </w:lvl>
    <w:lvl w:ilvl="1">
      <w:lvlJc w:val="left"/>
      <w:lvlText w:val="(%2)"/>
      <w:numFmt w:val="lowerLetter"/>
      <w:start w:val="10"/>
    </w:lvl>
  </w:abstractNum>
  <w:abstractNum w:abstractNumId="47">
    <w:nsid w:val="BFFAE18"/>
    <w:multiLevelType w:val="hybridMultilevel"/>
    <w:lvl w:ilvl="0">
      <w:lvlJc w:val="left"/>
      <w:lvlText w:val="(%1)"/>
      <w:numFmt w:val="lowerLetter"/>
      <w:start w:val="1"/>
    </w:lvl>
  </w:abstractNum>
  <w:abstractNum w:abstractNumId="48">
    <w:nsid w:val="E3E47A8"/>
    <w:multiLevelType w:val="hybridMultilevel"/>
    <w:lvl w:ilvl="0">
      <w:lvlJc w:val="left"/>
      <w:lvlText w:val="(%1)"/>
      <w:numFmt w:val="lowerLetter"/>
      <w:start w:val="8"/>
    </w:lvl>
  </w:abstractNum>
  <w:abstractNum w:abstractNumId="49">
    <w:nsid w:val="2E48F044"/>
    <w:multiLevelType w:val="hybridMultilevel"/>
    <w:lvl w:ilvl="0">
      <w:lvlJc w:val="left"/>
      <w:lvlText w:val="(%1)"/>
      <w:numFmt w:val="lowerLetter"/>
      <w:start w:val="3"/>
    </w:lvl>
  </w:abstractNum>
  <w:abstractNum w:abstractNumId="50">
    <w:nsid w:val="49D0FEAC"/>
    <w:multiLevelType w:val="hybridMultilevel"/>
    <w:lvl w:ilvl="0">
      <w:lvlJc w:val="left"/>
      <w:lvlText w:val="(%1)"/>
      <w:numFmt w:val="lowerLetter"/>
      <w:start w:val="1"/>
    </w:lvl>
  </w:abstractNum>
  <w:abstractNum w:abstractNumId="51">
    <w:nsid w:val="4BEE5A5B"/>
    <w:multiLevelType w:val="hybridMultilevel"/>
    <w:lvl w:ilvl="0">
      <w:lvlJc w:val="left"/>
      <w:lvlText w:val="(%1)"/>
      <w:numFmt w:val="lowerLetter"/>
      <w:start w:val="1"/>
    </w:lvl>
  </w:abstractNum>
  <w:abstractNum w:abstractNumId="52">
    <w:nsid w:val="5551B9F3"/>
    <w:multiLevelType w:val="hybridMultilevel"/>
    <w:lvl w:ilvl="0">
      <w:lvlJc w:val="left"/>
      <w:lvlText w:val="(%1)"/>
      <w:numFmt w:val="lowerLetter"/>
      <w:start w:val="1"/>
    </w:lvl>
  </w:abstractNum>
  <w:abstractNum w:abstractNumId="53">
    <w:nsid w:val="24F6AB8E"/>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54">
    <w:nsid w:val="634C574C"/>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1"/>
    </w:lvl>
  </w:abstractNum>
  <w:abstractNum w:abstractNumId="55">
    <w:nsid w:val="24E99DD7"/>
    <w:multiLevelType w:val="hybridMultilevel"/>
    <w:lvl w:ilvl="0">
      <w:lvlJc w:val="left"/>
      <w:lvlText w:val="(%1)"/>
      <w:numFmt w:val="lowerLetter"/>
      <w:start w:val="3"/>
    </w:lvl>
  </w:abstractNum>
  <w:abstractNum w:abstractNumId="56">
    <w:nsid w:val="2A31B62D"/>
    <w:multiLevelType w:val="hybridMultilevel"/>
    <w:lvl w:ilvl="0">
      <w:lvlJc w:val="left"/>
      <w:lvlText w:val="(%1)"/>
      <w:numFmt w:val="lowerLetter"/>
      <w:start w:val="4"/>
    </w:lvl>
  </w:abstractNum>
  <w:abstractNum w:abstractNumId="57">
    <w:nsid w:val="1849C29B"/>
    <w:multiLevelType w:val="hybridMultilevel"/>
    <w:lvl w:ilvl="0">
      <w:lvlJc w:val="left"/>
      <w:lvlText w:val="(%1)"/>
      <w:numFmt w:val="lowerLetter"/>
      <w:start w:val="1"/>
    </w:lvl>
  </w:abstractNum>
  <w:abstractNum w:abstractNumId="58">
    <w:nsid w:val="7DFF9D09"/>
    <w:multiLevelType w:val="hybridMultilevel"/>
    <w:lvl w:ilvl="0">
      <w:lvlJc w:val="left"/>
      <w:lvlText w:val="(%1)"/>
      <w:numFmt w:val="lowerLetter"/>
      <w:start w:val="3"/>
    </w:lvl>
    <w:lvl w:ilvl="1">
      <w:lvlJc w:val="left"/>
      <w:lvlText w:val="(%2)"/>
      <w:numFmt w:val="lowerRoman"/>
      <w:start w:val="2"/>
    </w:lvl>
  </w:abstractNum>
  <w:abstractNum w:abstractNumId="59">
    <w:nsid w:val="754342"/>
    <w:multiLevelType w:val="hybridMultilevel"/>
    <w:lvl w:ilvl="0">
      <w:lvlJc w:val="left"/>
      <w:lvlText w:val="%1"/>
      <w:numFmt w:val="lowerLetter"/>
      <w:start w:val="1"/>
    </w:lvl>
    <w:lvl w:ilvl="1">
      <w:lvlJc w:val="left"/>
      <w:lvlText w:val="(%2)"/>
      <w:numFmt w:val="lowerLetter"/>
      <w:start w:val="35"/>
    </w:lvl>
  </w:abstractNum>
  <w:abstractNum w:abstractNumId="60">
    <w:nsid w:val="69E7F3E5"/>
    <w:multiLevelType w:val="hybridMultilevel"/>
    <w:lvl w:ilvl="0">
      <w:lvlJc w:val="left"/>
      <w:lvlText w:val="(%1)"/>
      <w:numFmt w:val="lowerLetter"/>
      <w:start w:val="5"/>
    </w:lvl>
    <w:lvl w:ilvl="1">
      <w:lvlJc w:val="left"/>
      <w:lvlText w:val="%2"/>
      <w:numFmt w:val="lowerLetter"/>
      <w:start w:val="1"/>
    </w:lvl>
  </w:abstractNum>
  <w:abstractNum w:abstractNumId="61">
    <w:nsid w:val="2A6DE80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2">
    <w:nsid w:val="1816F8C4"/>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63">
    <w:nsid w:val="37DF223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64">
    <w:nsid w:val="7AB49DAF"/>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65">
    <w:nsid w:val="759F82CD"/>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66">
    <w:nsid w:val="61E74EA3"/>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67">
    <w:nsid w:val="597B4D84"/>
    <w:multiLevelType w:val="hybridMultilevel"/>
    <w:lvl w:ilvl="0">
      <w:lvlJc w:val="left"/>
      <w:lvlText w:val="%1"/>
      <w:numFmt w:val="lowerLetter"/>
      <w:start w:val="1"/>
    </w:lvl>
    <w:lvl w:ilvl="1">
      <w:lvlJc w:val="left"/>
      <w:lvlText w:val="(%2)"/>
      <w:numFmt w:val="lowerRoman"/>
      <w:start w:val="2"/>
    </w:lvl>
  </w:abstractNum>
  <w:abstractNum w:abstractNumId="68">
    <w:nsid w:val="F819E7F"/>
    <w:multiLevelType w:val="hybridMultilevel"/>
    <w:lvl w:ilvl="0">
      <w:lvlJc w:val="left"/>
      <w:lvlText w:val="(%1)"/>
      <w:numFmt w:val="lowerLetter"/>
      <w:start w:val="3"/>
    </w:lvl>
    <w:lvl w:ilvl="1">
      <w:lvlJc w:val="left"/>
      <w:lvlText w:val="%2"/>
      <w:numFmt w:val="lowerRoman"/>
      <w:start w:val="1"/>
    </w:lvl>
  </w:abstractNum>
  <w:abstractNum w:abstractNumId="69">
    <w:nsid w:val="57C7D42D"/>
    <w:multiLevelType w:val="hybridMultilevel"/>
    <w:lvl w:ilvl="0">
      <w:lvlJc w:val="left"/>
      <w:lvlText w:val="(%1)"/>
      <w:numFmt w:val="lowerRoman"/>
      <w:start w:val="2"/>
    </w:lvl>
  </w:abstractNum>
  <w:abstractNum w:abstractNumId="70">
    <w:nsid w:val="312167AD"/>
    <w:multiLevelType w:val="hybridMultilevel"/>
    <w:lvl w:ilvl="0">
      <w:lvlJc w:val="left"/>
      <w:lvlText w:val="%1"/>
      <w:numFmt w:val="lowerLetter"/>
      <w:start w:val="1"/>
    </w:lvl>
    <w:lvl w:ilvl="1">
      <w:lvlJc w:val="left"/>
      <w:lvlText w:val="(%2)"/>
      <w:numFmt w:val="lowerRoman"/>
      <w:start w:val="6"/>
    </w:lvl>
  </w:abstractNum>
  <w:abstractNum w:abstractNumId="71">
    <w:nsid w:val="631B64D4"/>
    <w:multiLevelType w:val="hybridMultilevel"/>
    <w:lvl w:ilvl="0">
      <w:lvlJc w:val="left"/>
      <w:lvlText w:val="(%1)"/>
      <w:numFmt w:val="lowerLetter"/>
      <w:start w:val="4"/>
    </w:lvl>
    <w:lvl w:ilvl="1">
      <w:lvlJc w:val="left"/>
      <w:lvlText w:val="(%2)"/>
      <w:numFmt w:val="lowerRoman"/>
      <w:start w:val="1"/>
    </w:lvl>
  </w:abstractNum>
  <w:abstractNum w:abstractNumId="72">
    <w:nsid w:val="78B5E776"/>
    <w:multiLevelType w:val="hybridMultilevel"/>
    <w:lvl w:ilvl="0">
      <w:lvlJc w:val="left"/>
      <w:lvlText w:val="(%1)"/>
      <w:numFmt w:val="lowerRoman"/>
      <w:start w:val="4"/>
    </w:lvl>
  </w:abstractNum>
  <w:abstractNum w:abstractNumId="73">
    <w:nsid w:val="75486E47"/>
    <w:multiLevelType w:val="hybridMultilevel"/>
    <w:lvl w:ilvl="0">
      <w:lvlJc w:val="left"/>
      <w:lvlText w:val="(%1)"/>
      <w:numFmt w:val="lowerLetter"/>
      <w:start w:val="5"/>
    </w:lvl>
  </w:abstractNum>
  <w:abstractNum w:abstractNumId="74">
    <w:nsid w:val="6E534CDE"/>
    <w:multiLevelType w:val="hybridMultilevel"/>
    <w:lvl w:ilvl="0">
      <w:lvlJc w:val="left"/>
      <w:lvlText w:val="(%1)"/>
      <w:numFmt w:val="lowerLetter"/>
      <w:start w:val="6"/>
    </w:lvl>
  </w:abstractNum>
  <w:abstractNum w:abstractNumId="75">
    <w:nsid w:val="1A0DDE32"/>
    <w:multiLevelType w:val="hybridMultilevel"/>
    <w:lvl w:ilvl="0">
      <w:lvlJc w:val="left"/>
      <w:lvlText w:val="(%1)"/>
      <w:numFmt w:val="lowerLetter"/>
      <w:start w:val="1"/>
    </w:lvl>
  </w:abstractNum>
  <w:abstractNum w:abstractNumId="76">
    <w:nsid w:val="65968C1C"/>
    <w:multiLevelType w:val="hybridMultilevel"/>
    <w:lvl w:ilvl="0">
      <w:lvlJc w:val="left"/>
      <w:lvlText w:val="(%1)"/>
      <w:numFmt w:val="lowerLetter"/>
      <w:start w:val="1"/>
    </w:lvl>
  </w:abstractNum>
  <w:abstractNum w:abstractNumId="77">
    <w:nsid w:val="46263DEC"/>
    <w:multiLevelType w:val="hybridMultilevel"/>
    <w:lvl w:ilvl="0">
      <w:lvlJc w:val="left"/>
      <w:lvlText w:val="(%1)"/>
      <w:numFmt w:val="lowerLetter"/>
      <w:start w:val="3"/>
    </w:lvl>
  </w:abstractNum>
  <w:abstractNum w:abstractNumId="78">
    <w:nsid w:val="260D8C4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79">
    <w:nsid w:val="73D4D3C4"/>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80">
    <w:nsid w:val="746F2E3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81">
    <w:nsid w:val="6FDE8AF6"/>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82">
    <w:nsid w:val="3FC32E2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3">
    <w:nsid w:val="49C0E823"/>
    <w:multiLevelType w:val="hybridMultilevel"/>
    <w:lvl w:ilvl="0">
      <w:lvlJc w:val="left"/>
      <w:lvlText w:val="(%1)"/>
      <w:numFmt w:val="lowerLetter"/>
      <w:start w:val="1"/>
    </w:lvl>
  </w:abstractNum>
  <w:abstractNum w:abstractNumId="84">
    <w:nsid w:val="14D53685"/>
    <w:multiLevelType w:val="hybridMultilevel"/>
    <w:lvl w:ilvl="0">
      <w:lvlJc w:val="left"/>
      <w:lvlText w:val="(%1)"/>
      <w:numFmt w:val="lowerLetter"/>
      <w:start w:val="2"/>
    </w:lvl>
  </w:abstractNum>
  <w:abstractNum w:abstractNumId="85">
    <w:nsid w:val="230F856C"/>
    <w:multiLevelType w:val="hybridMultilevel"/>
    <w:lvl w:ilvl="0">
      <w:lvlJc w:val="left"/>
      <w:lvlText w:val="%1"/>
      <w:numFmt w:val="lowerLetter"/>
      <w:start w:val="1"/>
    </w:lvl>
    <w:lvl w:ilvl="1">
      <w:lvlJc w:val="left"/>
      <w:lvlText w:val="(%2)"/>
      <w:numFmt w:val="lowerRoman"/>
      <w:start w:val="2"/>
    </w:lvl>
  </w:abstractNum>
  <w:abstractNum w:abstractNumId="86">
    <w:nsid w:val="6EAA85FB"/>
    <w:multiLevelType w:val="hybridMultilevel"/>
    <w:lvl w:ilvl="0">
      <w:lvlJc w:val="left"/>
      <w:lvlText w:val="(%1)"/>
      <w:numFmt w:val="lowerLetter"/>
      <w:start w:val="4"/>
    </w:lvl>
    <w:lvl w:ilvl="1">
      <w:lvlJc w:val="left"/>
      <w:lvlText w:val="%2"/>
      <w:numFmt w:val="lowerRoman"/>
      <w:start w:val="1"/>
    </w:lvl>
  </w:abstractNum>
  <w:abstractNum w:abstractNumId="87">
    <w:nsid w:val="3F06ECB2"/>
    <w:multiLevelType w:val="hybridMultilevel"/>
    <w:lvl w:ilvl="0">
      <w:lvlJc w:val="left"/>
      <w:lvlText w:val="(%1)"/>
      <w:numFmt w:val="lowerRoman"/>
      <w:start w:val="1"/>
    </w:lvl>
  </w:abstractNum>
  <w:abstractNum w:abstractNumId="88">
    <w:nsid w:val="3B594807"/>
    <w:multiLevelType w:val="hybridMultilevel"/>
    <w:lvl w:ilvl="0">
      <w:lvlJc w:val="left"/>
      <w:lvlText w:val="(%1)"/>
      <w:numFmt w:val="lowerLetter"/>
      <w:start w:val="1"/>
    </w:lvl>
    <w:lvl w:ilvl="1">
      <w:lvlJc w:val="left"/>
      <w:lvlText w:val="(%2)"/>
      <w:numFmt w:val="lowerRoman"/>
      <w:start w:val="1"/>
    </w:lvl>
  </w:abstractNum>
  <w:abstractNum w:abstractNumId="89">
    <w:nsid w:val="6CAA2304"/>
    <w:multiLevelType w:val="hybridMultilevel"/>
    <w:lvl w:ilvl="0">
      <w:lvlJc w:val="left"/>
      <w:lvlText w:val="(%1)"/>
      <w:numFmt w:val="lowerRoman"/>
      <w:start w:val="3"/>
    </w:lvl>
    <w:lvl w:ilvl="1">
      <w:lvlJc w:val="left"/>
      <w:lvlText w:val="(%2)"/>
      <w:numFmt w:val="upperLetter"/>
      <w:start w:val="1"/>
    </w:lvl>
  </w:abstractNum>
  <w:abstractNum w:abstractNumId="90">
    <w:nsid w:val="3F7C2FF4"/>
    <w:multiLevelType w:val="hybridMultilevel"/>
    <w:lvl w:ilvl="0">
      <w:lvlJc w:val="left"/>
      <w:lvlText w:val="%1"/>
      <w:numFmt w:val="lowerLetter"/>
      <w:start w:val="1"/>
    </w:lvl>
    <w:lvl w:ilvl="1">
      <w:lvlJc w:val="left"/>
      <w:lvlText w:val="(%2)"/>
      <w:numFmt w:val="lowerLetter"/>
      <w:start w:val="22"/>
    </w:lvl>
  </w:abstractNum>
  <w:abstractNum w:abstractNumId="91">
    <w:nsid w:val="25413BEC"/>
    <w:multiLevelType w:val="hybridMultilevel"/>
    <w:lvl w:ilvl="0">
      <w:lvlJc w:val="left"/>
      <w:lvlText w:val="(%1)"/>
      <w:numFmt w:val="lowerLetter"/>
      <w:start w:val="2"/>
    </w:lvl>
    <w:lvl w:ilvl="1">
      <w:lvlJc w:val="left"/>
      <w:lvlText w:val="%2"/>
      <w:numFmt w:val="lowerLetter"/>
      <w:start w:val="1"/>
    </w:lvl>
  </w:abstractNum>
  <w:abstractNum w:abstractNumId="92">
    <w:nsid w:val="17180B0B"/>
    <w:multiLevelType w:val="hybridMultilevel"/>
    <w:lvl w:ilvl="0">
      <w:lvlJc w:val="left"/>
      <w:lvlText w:val="(%1)"/>
      <w:numFmt w:val="lowerLetter"/>
      <w:start w:val="1"/>
    </w:lvl>
    <w:lvl w:ilvl="1">
      <w:lvlJc w:val="left"/>
      <w:lvlText w:val="(%2)"/>
      <w:numFmt w:val="lowerRoman"/>
      <w:start w:val="1"/>
    </w:lvl>
  </w:abstractNum>
  <w:abstractNum w:abstractNumId="93">
    <w:nsid w:val="579328B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94">
    <w:nsid w:val="5D205E20"/>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95">
    <w:nsid w:val="11CCA8BA"/>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1"/>
    </w:lvl>
  </w:abstractNum>
  <w:abstractNum w:abstractNumId="96">
    <w:nsid w:val="4D32AB86"/>
    <w:multiLevelType w:val="hybridMultilevel"/>
    <w:lvl w:ilvl="0">
      <w:lvlJc w:val="left"/>
      <w:lvlText w:val="(%1)"/>
      <w:numFmt w:val="lowerLetter"/>
      <w:start w:val="1"/>
    </w:lvl>
    <w:lvl w:ilvl="1">
      <w:lvlJc w:val="left"/>
      <w:lvlText w:val="(%2)"/>
      <w:numFmt w:val="lowerRoman"/>
      <w:start w:val="1"/>
    </w:lvl>
  </w:abstractNum>
  <w:abstractNum w:abstractNumId="97">
    <w:nsid w:val="3F07ACC3"/>
    <w:multiLevelType w:val="hybridMultilevel"/>
    <w:lvl w:ilvl="0">
      <w:lvlJc w:val="left"/>
      <w:lvlText w:val="%1"/>
      <w:numFmt w:val="lowerLetter"/>
      <w:start w:val="1"/>
    </w:lvl>
    <w:lvl w:ilvl="1">
      <w:lvlJc w:val="left"/>
      <w:lvlText w:val="(%2)"/>
      <w:numFmt w:val="lowerRoman"/>
      <w:start w:val="5"/>
    </w:lvl>
  </w:abstractNum>
  <w:abstractNum w:abstractNumId="98">
    <w:nsid w:val="6B47F63E"/>
    <w:multiLevelType w:val="hybridMultilevel"/>
    <w:lvl w:ilvl="0">
      <w:lvlJc w:val="left"/>
      <w:lvlText w:val="(%1)"/>
      <w:numFmt w:val="lowerLetter"/>
      <w:start w:val="4"/>
    </w:lvl>
    <w:lvl w:ilvl="1">
      <w:lvlJc w:val="left"/>
      <w:lvlText w:val="%2"/>
      <w:numFmt w:val="lowerRoman"/>
      <w:start w:val="1"/>
    </w:lvl>
  </w:abstractNum>
  <w:abstractNum w:abstractNumId="99">
    <w:nsid w:val="5CB44A05"/>
    <w:multiLevelType w:val="hybridMultilevel"/>
    <w:lvl w:ilvl="0">
      <w:lvlJc w:val="left"/>
      <w:lvlText w:val="(%1)"/>
      <w:numFmt w:val="lowerLetter"/>
      <w:start w:val="1"/>
    </w:lvl>
    <w:lvl w:ilvl="1">
      <w:lvlJc w:val="left"/>
      <w:lvlText w:val="(%2)"/>
      <w:numFmt w:val="lowerRoman"/>
      <w:start w:val="1"/>
    </w:lvl>
  </w:abstractNum>
  <w:abstractNum w:abstractNumId="100">
    <w:nsid w:val="16CF80F1"/>
    <w:multiLevelType w:val="hybridMultilevel"/>
    <w:lvl w:ilvl="0">
      <w:lvlJc w:val="left"/>
      <w:lvlText w:val="(%1)"/>
      <w:numFmt w:val="lowerLetter"/>
      <w:start w:val="4"/>
    </w:lvl>
  </w:abstractNum>
  <w:abstractNum w:abstractNumId="101">
    <w:nsid w:val="1C695DEC"/>
    <w:multiLevelType w:val="hybridMultilevel"/>
    <w:lvl w:ilvl="0">
      <w:lvlJc w:val="left"/>
      <w:lvlText w:val="(%1)"/>
      <w:numFmt w:val="lowerLetter"/>
      <w:start w:val="1"/>
    </w:lvl>
  </w:abstractNum>
  <w:abstractNum w:abstractNumId="102">
    <w:nsid w:val="3FCFAED9"/>
    <w:multiLevelType w:val="hybridMultilevel"/>
    <w:lvl w:ilvl="0">
      <w:lvlJc w:val="left"/>
      <w:lvlText w:val="(%1)"/>
      <w:numFmt w:val="lowerLetter"/>
      <w:start w:val="3"/>
    </w:lvl>
  </w:abstractNum>
  <w:abstractNum w:abstractNumId="103">
    <w:nsid w:val="F856867"/>
    <w:multiLevelType w:val="hybridMultilevel"/>
    <w:lvl w:ilvl="0">
      <w:lvlJc w:val="left"/>
      <w:lvlText w:val="(%1)"/>
      <w:numFmt w:val="lowerLetter"/>
      <w:start w:val="1"/>
    </w:lvl>
  </w:abstractNum>
  <w:abstractNum w:abstractNumId="104">
    <w:nsid w:val="11B1CC33"/>
    <w:multiLevelType w:val="hybridMultilevel"/>
    <w:lvl w:ilvl="0">
      <w:lvlJc w:val="left"/>
      <w:lvlText w:val="(%1)"/>
      <w:numFmt w:val="lowerLetter"/>
      <w:start w:val="1"/>
    </w:lvl>
    <w:lvl w:ilvl="1">
      <w:lvlJc w:val="left"/>
      <w:lvlText w:val="(%2)"/>
      <w:numFmt w:val="lowerRoman"/>
      <w:start w:val="1"/>
    </w:lvl>
  </w:abstractNum>
  <w:abstractNum w:abstractNumId="105">
    <w:nsid w:val="2E22FBB7"/>
    <w:multiLevelType w:val="hybridMultilevel"/>
    <w:lvl w:ilvl="0">
      <w:lvlJc w:val="left"/>
      <w:lvlText w:val="(%1)"/>
      <w:numFmt w:val="lowerLetter"/>
      <w:start w:val="2"/>
    </w:lvl>
    <w:lvl w:ilvl="1">
      <w:lvlJc w:val="left"/>
      <w:lvlText w:val="(%2)"/>
      <w:numFmt w:val="lowerLetter"/>
      <w:start w:val="9"/>
    </w:lvl>
  </w:abstractNum>
  <w:abstractNum w:abstractNumId="106">
    <w:nsid w:val="29934699"/>
    <w:multiLevelType w:val="hybridMultilevel"/>
    <w:lvl w:ilvl="0">
      <w:lvlJc w:val="left"/>
      <w:lvlText w:val="(%1)"/>
      <w:numFmt w:val="lowerRoman"/>
      <w:start w:val="2"/>
    </w:lvl>
  </w:abstractNum>
  <w:abstractNum w:abstractNumId="107">
    <w:nsid w:val="77485850"/>
    <w:multiLevelType w:val="hybridMultilevel"/>
    <w:lvl w:ilvl="0">
      <w:lvlJc w:val="left"/>
      <w:lvlText w:val="(%1)"/>
      <w:numFmt w:val="lowerLetter"/>
      <w:start w:val="1"/>
    </w:lvl>
    <w:lvl w:ilvl="1">
      <w:lvlJc w:val="left"/>
      <w:lvlText w:val="(%2)"/>
      <w:numFmt w:val="lowerRoman"/>
      <w:start w:val="1"/>
    </w:lvl>
  </w:abstractNum>
  <w:abstractNum w:abstractNumId="108">
    <w:nsid w:val="744939A3"/>
    <w:multiLevelType w:val="hybridMultilevel"/>
    <w:lvl w:ilvl="0">
      <w:lvlJc w:val="left"/>
      <w:lvlText w:val="(%1)"/>
      <w:numFmt w:val="lowerLetter"/>
      <w:start w:val="2"/>
    </w:lvl>
  </w:abstractNum>
  <w:abstractNum w:abstractNumId="109">
    <w:nsid w:val="4FA0D2E3"/>
    <w:multiLevelType w:val="hybridMultilevel"/>
    <w:lvl w:ilvl="0">
      <w:lvlJc w:val="left"/>
      <w:lvlText w:val="(%1)"/>
      <w:numFmt w:val="lowerLetter"/>
      <w:start w:val="3"/>
    </w:lvl>
  </w:abstractNum>
  <w:abstractNum w:abstractNumId="110">
    <w:nsid w:val="6B1D2C14"/>
    <w:multiLevelType w:val="hybridMultilevel"/>
    <w:lvl w:ilvl="0">
      <w:lvlJc w:val="left"/>
      <w:lvlText w:val="(%1)"/>
      <w:numFmt w:val="lowerLetter"/>
      <w:start w:val="5"/>
    </w:lvl>
    <w:lvl w:ilvl="1">
      <w:lvlJc w:val="left"/>
      <w:lvlText w:val="(%2)"/>
      <w:numFmt w:val="lowerLetter"/>
      <w:start w:val="9"/>
    </w:lvl>
  </w:abstractNum>
  <w:abstractNum w:abstractNumId="111">
    <w:nsid w:val="68B867D3"/>
    <w:multiLevelType w:val="hybridMultilevel"/>
    <w:lvl w:ilvl="0">
      <w:lvlJc w:val="left"/>
      <w:lvlText w:val="(%1)"/>
      <w:numFmt w:val="lowerRoman"/>
      <w:start w:val="2"/>
    </w:lvl>
  </w:abstractNum>
  <w:abstractNum w:abstractNumId="112">
    <w:nsid w:val="3F7F5DD9"/>
    <w:multiLevelType w:val="hybridMultilevel"/>
    <w:lvl w:ilvl="0">
      <w:lvlJc w:val="left"/>
      <w:lvlText w:val="(%1)"/>
      <w:numFmt w:val="lowerLetter"/>
      <w:start w:val="1"/>
    </w:lvl>
  </w:abstractNum>
  <w:abstractNum w:abstractNumId="113">
    <w:nsid w:val="2AE05A34"/>
    <w:multiLevelType w:val="hybridMultilevel"/>
    <w:lvl w:ilvl="0">
      <w:lvlJc w:val="left"/>
      <w:lvlText w:val="(%1)"/>
      <w:numFmt w:val="lowerLetter"/>
      <w:start w:val="2"/>
    </w:lvl>
  </w:abstractNum>
  <w:abstractNum w:abstractNumId="114">
    <w:nsid w:val="32794FF7"/>
    <w:multiLevelType w:val="hybridMultilevel"/>
    <w:lvl w:ilvl="0">
      <w:lvlJc w:val="left"/>
      <w:lvlText w:val="(%1)"/>
      <w:numFmt w:val="lowerLetter"/>
      <w:start w:val="3"/>
    </w:lvl>
  </w:abstractNum>
  <w:abstractNum w:abstractNumId="115">
    <w:nsid w:val="5454945E"/>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16">
    <w:nsid w:val="4DEFDFA0"/>
    <w:multiLevelType w:val="hybridMultilevel"/>
    <w:lvl w:ilvl="0">
      <w:lvlJc w:val="left"/>
      <w:lvlText w:val="(%1)"/>
      <w:numFmt w:val="upperLetter"/>
      <w:start w:val="3"/>
    </w:lvl>
  </w:abstractNum>
  <w:abstractNum w:abstractNumId="117">
    <w:nsid w:val="2123D5F2"/>
    <w:multiLevelType w:val="hybridMultilevel"/>
    <w:lvl w:ilvl="0">
      <w:lvlJc w:val="left"/>
      <w:lvlText w:val="(%1)"/>
      <w:numFmt w:val="lowerLetter"/>
      <w:start w:val="8"/>
    </w:lvl>
  </w:abstractNum>
  <w:abstractNum w:abstractNumId="118">
    <w:nsid w:val="135B8110"/>
    <w:multiLevelType w:val="hybridMultilevel"/>
    <w:lvl w:ilvl="0">
      <w:lvlJc w:val="left"/>
      <w:lvlText w:val="(%1)"/>
      <w:numFmt w:val="lowerLetter"/>
      <w:start w:val="9"/>
    </w:lvl>
  </w:abstractNum>
  <w:abstractNum w:abstractNumId="119">
    <w:nsid w:val="94927A8"/>
    <w:multiLevelType w:val="hybridMultilevel"/>
    <w:lvl w:ilvl="0">
      <w:lvlJc w:val="left"/>
      <w:lvlText w:val="(%1)"/>
      <w:numFmt w:val="lowerLetter"/>
      <w:start w:val="1"/>
    </w:lvl>
    <w:lvl w:ilvl="1">
      <w:lvlJc w:val="left"/>
      <w:lvlText w:val="(%2)"/>
      <w:numFmt w:val="lowerRoman"/>
      <w:start w:val="1"/>
    </w:lvl>
  </w:abstractNum>
  <w:abstractNum w:abstractNumId="120">
    <w:nsid w:val="DCDF8F6"/>
    <w:multiLevelType w:val="hybridMultilevel"/>
    <w:lvl w:ilvl="0">
      <w:lvlJc w:val="left"/>
      <w:lvlText w:val="(%1)"/>
      <w:numFmt w:val="lowerLetter"/>
      <w:start w:val="1"/>
    </w:lvl>
    <w:lvl w:ilvl="1">
      <w:lvlJc w:val="left"/>
      <w:lvlText w:val="(%2)"/>
      <w:numFmt w:val="lowerRoman"/>
      <w:start w:val="1"/>
    </w:lvl>
  </w:abstractNum>
  <w:abstractNum w:abstractNumId="121">
    <w:nsid w:val="52D7B105"/>
    <w:multiLevelType w:val="hybridMultilevel"/>
    <w:lvl w:ilvl="0">
      <w:lvlJc w:val="left"/>
      <w:lvlText w:val="(%1)"/>
      <w:numFmt w:val="lowerLetter"/>
      <w:start w:val="5"/>
    </w:lvl>
  </w:abstractNum>
  <w:abstractNum w:abstractNumId="122">
    <w:nsid w:val="2E8A6394"/>
    <w:multiLevelType w:val="hybridMultilevel"/>
    <w:lvl w:ilvl="0">
      <w:lvlJc w:val="left"/>
      <w:lvlText w:val="(%1)"/>
      <w:numFmt w:val="lowerLetter"/>
      <w:start w:val="1"/>
    </w:lvl>
  </w:abstractNum>
  <w:abstractNum w:abstractNumId="123">
    <w:nsid w:val="24E60401"/>
    <w:multiLevelType w:val="hybridMultilevel"/>
    <w:lvl w:ilvl="0">
      <w:lvlJc w:val="left"/>
      <w:lvlText w:val="(%1)"/>
      <w:numFmt w:val="lowerLetter"/>
      <w:start w:val="6"/>
    </w:lvl>
    <w:lvl w:ilvl="1">
      <w:lvlJc w:val="left"/>
      <w:lvlText w:val="(%2)"/>
      <w:numFmt w:val="lowerRoman"/>
      <w:start w:val="1"/>
    </w:lvl>
  </w:abstractNum>
  <w:abstractNum w:abstractNumId="124">
    <w:nsid w:val="2A6AD9BE"/>
    <w:multiLevelType w:val="hybridMultilevel"/>
    <w:lvl w:ilvl="0">
      <w:lvlJc w:val="left"/>
      <w:lvlText w:val="%1"/>
      <w:numFmt w:val="lowerLetter"/>
      <w:start w:val="1"/>
    </w:lvl>
    <w:lvl w:ilvl="1">
      <w:lvlJc w:val="left"/>
      <w:lvlText w:val="(%2)"/>
      <w:numFmt w:val="lowerRoman"/>
      <w:start w:val="1"/>
    </w:lvl>
  </w:abstractNum>
  <w:abstractNum w:abstractNumId="125">
    <w:nsid w:val="BAAC1B4"/>
    <w:multiLevelType w:val="hybridMultilevel"/>
    <w:lvl w:ilvl="0">
      <w:lvlJc w:val="left"/>
      <w:lvlText w:val="(%1)"/>
      <w:numFmt w:val="lowerLetter"/>
      <w:start w:val="14"/>
    </w:lvl>
    <w:lvl w:ilvl="1">
      <w:lvlJc w:val="left"/>
      <w:lvlText w:val="%2"/>
      <w:numFmt w:val="lowerRoman"/>
      <w:start w:val="1"/>
    </w:lvl>
  </w:abstractNum>
  <w:abstractNum w:abstractNumId="126">
    <w:nsid w:val="36B2ACBC"/>
    <w:multiLevelType w:val="hybridMultilevel"/>
    <w:lvl w:ilvl="0">
      <w:lvlJc w:val="left"/>
      <w:lvlText w:val="(%1)"/>
      <w:numFmt w:val="lowerLetter"/>
      <w:start w:val="1"/>
    </w:lvl>
  </w:abstractNum>
  <w:abstractNum w:abstractNumId="127">
    <w:nsid w:val="779D8544"/>
    <w:multiLevelType w:val="hybridMultilevel"/>
    <w:lvl w:ilvl="0">
      <w:lvlJc w:val="left"/>
      <w:lvlText w:val="(%1)"/>
      <w:numFmt w:val="lowerLetter"/>
      <w:start w:val="1"/>
    </w:lvl>
    <w:lvl w:ilvl="1">
      <w:lvlJc w:val="left"/>
      <w:lvlText w:val="(%2)"/>
      <w:numFmt w:val="lowerRoman"/>
      <w:start w:val="1"/>
    </w:lvl>
  </w:abstractNum>
  <w:abstractNum w:abstractNumId="128">
    <w:nsid w:val="4AB26E78"/>
    <w:multiLevelType w:val="hybridMultilevel"/>
    <w:lvl w:ilvl="0">
      <w:lvlJc w:val="left"/>
      <w:lvlText w:val="(%1)"/>
      <w:numFmt w:val="lowerLetter"/>
      <w:start w:val="3"/>
    </w:lvl>
  </w:abstractNum>
  <w:abstractNum w:abstractNumId="129">
    <w:nsid w:val="21FAA2FA"/>
    <w:multiLevelType w:val="hybridMultilevel"/>
    <w:lvl w:ilvl="0">
      <w:lvlJc w:val="left"/>
      <w:lvlText w:val="(%1)"/>
      <w:numFmt w:val="lowerLetter"/>
      <w:start w:val="1"/>
    </w:lvl>
    <w:lvl w:ilvl="1">
      <w:lvlJc w:val="left"/>
      <w:lvlText w:val="(%2)"/>
      <w:numFmt w:val="lowerRoman"/>
      <w:start w:val="1"/>
    </w:lvl>
  </w:abstractNum>
  <w:abstractNum w:abstractNumId="130">
    <w:nsid w:val="5451CF49"/>
    <w:multiLevelType w:val="hybridMultilevel"/>
    <w:lvl w:ilvl="0">
      <w:lvlJc w:val="left"/>
      <w:lvlText w:val="%1"/>
      <w:numFmt w:val="lowerLetter"/>
      <w:start w:val="1"/>
    </w:lvl>
    <w:lvl w:ilvl="1">
      <w:lvlJc w:val="left"/>
      <w:lvlText w:val="(%2)"/>
      <w:numFmt w:val="lowerRoman"/>
      <w:start w:val="6"/>
    </w:lvl>
  </w:abstractNum>
  <w:abstractNum w:abstractNumId="131">
    <w:nsid w:val="6181EF69"/>
    <w:multiLevelType w:val="hybridMultilevel"/>
    <w:lvl w:ilvl="0">
      <w:lvlJc w:val="left"/>
      <w:lvlText w:val="(%1)"/>
      <w:numFmt w:val="lowerLetter"/>
      <w:start w:val="2"/>
    </w:lvl>
    <w:lvl w:ilvl="1">
      <w:lvlJc w:val="left"/>
      <w:lvlText w:val="%2"/>
      <w:numFmt w:val="lowerRoman"/>
      <w:start w:val="1"/>
    </w:lvl>
  </w:abstractNum>
  <w:abstractNum w:abstractNumId="132">
    <w:nsid w:val="3E6400E6"/>
    <w:multiLevelType w:val="hybridMultilevel"/>
    <w:lvl w:ilvl="0">
      <w:lvlJc w:val="left"/>
      <w:lvlText w:val="%1"/>
      <w:numFmt w:val="decimal"/>
      <w:start w:val="1"/>
    </w:lvl>
    <w:lvl w:ilvl="1">
      <w:lvlJc w:val="left"/>
      <w:lvlText w:val="(%2)"/>
      <w:numFmt w:val="lowerLetter"/>
      <w:start w:val="1"/>
    </w:lvl>
  </w:abstractNum>
  <w:abstractNum w:abstractNumId="133">
    <w:nsid w:val="14217E23"/>
    <w:multiLevelType w:val="hybridMultilevel"/>
    <w:lvl w:ilvl="0">
      <w:lvlJc w:val="left"/>
      <w:lvlText w:val="%1)"/>
      <w:numFmt w:val="decimal"/>
      <w:start w:val="87"/>
    </w:lvl>
    <w:lvl w:ilvl="1">
      <w:lvlJc w:val="left"/>
      <w:lvlText w:val="(%2)"/>
      <w:numFmt w:val="lowerLetter"/>
      <w:start w:val="2"/>
    </w:lvl>
  </w:abstractNum>
  <w:abstractNum w:abstractNumId="134">
    <w:nsid w:val="710757D0"/>
    <w:multiLevelType w:val="hybridMultilevel"/>
    <w:lvl w:ilvl="0">
      <w:lvlJc w:val="left"/>
      <w:lvlText w:val="(%1)"/>
      <w:numFmt w:val="lowerLetter"/>
      <w:start w:val="5"/>
    </w:lvl>
  </w:abstractNum>
  <w:abstractNum w:abstractNumId="135">
    <w:nsid w:val="5015CD1A"/>
    <w:multiLevelType w:val="hybridMultilevel"/>
    <w:lvl w:ilvl="0">
      <w:lvlJc w:val="left"/>
      <w:lvlText w:val="(%1)"/>
      <w:numFmt w:val="lowerLetter"/>
      <w:start w:val="1"/>
    </w:lvl>
  </w:abstractNum>
  <w:abstractNum w:abstractNumId="136">
    <w:nsid w:val="424479DA"/>
    <w:multiLevelType w:val="hybridMultilevel"/>
    <w:lvl w:ilvl="0">
      <w:lvlJc w:val="left"/>
      <w:lvlText w:val="(%1)"/>
      <w:numFmt w:val="lowerLetter"/>
      <w:start w:val="1"/>
    </w:lvl>
  </w:abstractNum>
  <w:abstractNum w:abstractNumId="137">
    <w:nsid w:val="1A9A9E69"/>
    <w:multiLevelType w:val="hybridMultilevel"/>
    <w:lvl w:ilvl="0">
      <w:lvlJc w:val="left"/>
      <w:lvlText w:val="(%1)"/>
      <w:numFmt w:val="lowerLetter"/>
      <w:start w:val="1"/>
    </w:lvl>
  </w:abstractNum>
  <w:abstractNum w:abstractNumId="138">
    <w:nsid w:val="475E256A"/>
    <w:multiLevelType w:val="hybridMultilevel"/>
    <w:lvl w:ilvl="0">
      <w:lvlJc w:val="left"/>
      <w:lvlText w:val="(%1)"/>
      <w:numFmt w:val="lowerLetter"/>
      <w:start w:val="3"/>
    </w:lvl>
  </w:abstractNum>
  <w:abstractNum w:abstractNumId="139">
    <w:nsid w:val="368DB37E"/>
    <w:multiLevelType w:val="hybridMultilevel"/>
    <w:lvl w:ilvl="0">
      <w:lvlJc w:val="left"/>
      <w:lvlText w:val="(%1)"/>
      <w:numFmt w:val="lowerLetter"/>
      <w:start w:val="6"/>
    </w:lvl>
  </w:abstractNum>
  <w:abstractNum w:abstractNumId="140">
    <w:nsid w:val="6A3B714C"/>
    <w:multiLevelType w:val="hybridMultilevel"/>
    <w:lvl w:ilvl="0">
      <w:lvlJc w:val="left"/>
      <w:lvlText w:val="(%1)"/>
      <w:numFmt w:val="lowerLetter"/>
      <w:start w:val="1"/>
    </w:lvl>
  </w:abstractNum>
  <w:abstractNum w:abstractNumId="141">
    <w:nsid w:val="327B517E"/>
    <w:multiLevelType w:val="hybridMultilevel"/>
    <w:lvl w:ilvl="0">
      <w:lvlJc w:val="left"/>
      <w:lvlText w:val="(%1)"/>
      <w:numFmt w:val="lowerLetter"/>
      <w:start w:val="9"/>
    </w:lvl>
  </w:abstractNum>
  <w:abstractNum w:abstractNumId="142">
    <w:nsid w:val="1F461B51"/>
    <w:multiLevelType w:val="hybridMultilevel"/>
    <w:lvl w:ilvl="0">
      <w:lvlJc w:val="left"/>
      <w:lvlText w:val="%1"/>
      <w:numFmt w:val="lowerLetter"/>
      <w:start w:val="1"/>
    </w:lvl>
    <w:lvl w:ilvl="1">
      <w:lvlJc w:val="left"/>
      <w:lvlText w:val="(%2)"/>
      <w:numFmt w:val="lowerLetter"/>
      <w:start w:val="1"/>
    </w:lvl>
  </w:abstractNum>
  <w:abstractNum w:abstractNumId="143">
    <w:nsid w:val="29BACF25"/>
    <w:multiLevelType w:val="hybridMultilevel"/>
    <w:lvl w:ilvl="0">
      <w:lvlJc w:val="left"/>
      <w:lvlText w:val="(%1)"/>
      <w:numFmt w:val="lowerLetter"/>
      <w:start w:val="9"/>
    </w:lvl>
    <w:lvl w:ilvl="1">
      <w:lvlJc w:val="left"/>
      <w:lvlText w:val="%2"/>
      <w:numFmt w:val="lowerLetter"/>
      <w:start w:val="1"/>
    </w:lvl>
  </w:abstractNum>
  <w:abstractNum w:abstractNumId="144">
    <w:nsid w:val="5D5BABB3"/>
    <w:multiLevelType w:val="hybridMultilevel"/>
    <w:lvl w:ilvl="0">
      <w:lvlJc w:val="left"/>
      <w:lvlText w:val="(%1)"/>
      <w:numFmt w:val="lowerLetter"/>
      <w:start w:val="1"/>
    </w:lvl>
  </w:abstractNum>
  <w:abstractNum w:abstractNumId="145">
    <w:nsid w:val="51BF6B48"/>
    <w:multiLevelType w:val="hybridMultilevel"/>
    <w:lvl w:ilvl="0">
      <w:lvlJc w:val="left"/>
      <w:lvlText w:val="%1"/>
      <w:numFmt w:val="upperLetter"/>
      <w:start w:val="1"/>
    </w:lvl>
    <w:lvl w:ilvl="1">
      <w:lvlJc w:val="left"/>
      <w:lvlText w:val="(%2)"/>
      <w:numFmt w:val="lowerLetter"/>
      <w:start w:val="2"/>
    </w:lvl>
  </w:abstractNum>
  <w:abstractNum w:abstractNumId="146">
    <w:nsid w:val="7E0F6384"/>
    <w:multiLevelType w:val="hybridMultilevel"/>
    <w:lvl w:ilvl="0">
      <w:lvlJc w:val="left"/>
      <w:lvlText w:val="(%1)"/>
      <w:numFmt w:val="upperLetter"/>
      <w:start w:val="1"/>
    </w:lvl>
    <w:lvl w:ilvl="1">
      <w:lvlJc w:val="left"/>
      <w:lvlText w:val="%2"/>
      <w:numFmt w:val="lowerLetter"/>
      <w:start w:val="1"/>
    </w:lvl>
  </w:abstractNum>
  <w:abstractNum w:abstractNumId="147">
    <w:nsid w:val="2B4B8B53"/>
    <w:multiLevelType w:val="hybridMultilevel"/>
    <w:lvl w:ilvl="0">
      <w:lvlJc w:val="left"/>
      <w:lvlText w:val="(%1)"/>
      <w:numFmt w:val="lowerLetter"/>
      <w:start w:val="1"/>
    </w:lvl>
  </w:abstractNum>
  <w:abstractNum w:abstractNumId="148">
    <w:nsid w:val="72E3413A"/>
    <w:multiLevelType w:val="hybridMultilevel"/>
    <w:lvl w:ilvl="0">
      <w:lvlJc w:val="left"/>
      <w:lvlText w:val="(%1)"/>
      <w:numFmt w:val="lowerLetter"/>
      <w:start w:val="1"/>
    </w:lvl>
  </w:abstractNum>
  <w:abstractNum w:abstractNumId="149">
    <w:nsid w:val="116AE494"/>
    <w:multiLevelType w:val="hybridMultilevel"/>
    <w:lvl w:ilvl="0">
      <w:lvlJc w:val="left"/>
      <w:lvlText w:val="(%1)"/>
      <w:numFmt w:val="lowerLetter"/>
      <w:start w:val="3"/>
    </w:lvl>
  </w:abstractNum>
  <w:abstractNum w:abstractNumId="150">
    <w:nsid w:val="3494B2FB"/>
    <w:multiLevelType w:val="hybridMultilevel"/>
    <w:lvl w:ilvl="0">
      <w:lvlJc w:val="left"/>
      <w:lvlText w:val="(%1)"/>
      <w:numFmt w:val="lowerLetter"/>
      <w:start w:val="1"/>
    </w:lvl>
  </w:abstractNum>
  <w:abstractNum w:abstractNumId="151">
    <w:nsid w:val="B13A31"/>
    <w:multiLevelType w:val="hybridMultilevel"/>
    <w:lvl w:ilvl="0">
      <w:lvlJc w:val="left"/>
      <w:lvlText w:val="(%1)"/>
      <w:numFmt w:val="lowerRoman"/>
      <w:start w:val="1"/>
    </w:lvl>
  </w:abstractNum>
  <w:abstractNum w:abstractNumId="152">
    <w:nsid w:val="64429599"/>
    <w:multiLevelType w:val="hybridMultilevel"/>
    <w:lvl w:ilvl="0">
      <w:lvlJc w:val="left"/>
      <w:lvlText w:val="(%1)"/>
      <w:numFmt w:val="lowerRoman"/>
      <w:start w:val="3"/>
    </w:lvl>
  </w:abstractNum>
  <w:abstractNum w:abstractNumId="153">
    <w:nsid w:val="631F1690"/>
    <w:multiLevelType w:val="hybridMultilevel"/>
    <w:lvl w:ilvl="0">
      <w:lvlJc w:val="left"/>
      <w:lvlText w:val="%1"/>
      <w:numFmt w:val="lowerLetter"/>
      <w:start w:val="1"/>
    </w:lvl>
    <w:lvl w:ilvl="1">
      <w:lvlJc w:val="left"/>
      <w:lvlText w:val="(%2)"/>
      <w:numFmt w:val="lowerRoman"/>
      <w:start w:val="12"/>
    </w:lvl>
  </w:abstractNum>
  <w:abstractNum w:abstractNumId="154">
    <w:nsid w:val="25973E32"/>
    <w:multiLevelType w:val="hybridMultilevel"/>
    <w:lvl w:ilvl="0">
      <w:lvlJc w:val="left"/>
      <w:lvlText w:val="(%1)"/>
      <w:numFmt w:val="lowerLetter"/>
      <w:start w:val="2"/>
    </w:lvl>
    <w:lvl w:ilvl="1">
      <w:lvlJc w:val="left"/>
      <w:lvlText w:val="%2"/>
      <w:numFmt w:val="lowerRoman"/>
      <w:start w:val="1"/>
    </w:lvl>
  </w:abstractNum>
  <w:abstractNum w:abstractNumId="155">
    <w:nsid w:val="EAD6F57"/>
    <w:multiLevelType w:val="hybridMultilevel"/>
    <w:lvl w:ilvl="0">
      <w:lvlJc w:val="left"/>
      <w:lvlText w:val="(%1)"/>
      <w:numFmt w:val="lowerLetter"/>
      <w:start w:val="1"/>
    </w:lvl>
  </w:abstractNum>
  <w:abstractNum w:abstractNumId="156">
    <w:nsid w:val="6EC9D84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57">
    <w:nsid w:val="5C49EAEE"/>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2"/>
    </w:lvl>
  </w:abstractNum>
  <w:abstractNum w:abstractNumId="158">
    <w:nsid w:val="64AF49B"/>
    <w:multiLevelType w:val="hybridMultilevel"/>
    <w:lvl w:ilvl="0">
      <w:lvlJc w:val="left"/>
      <w:lvlText w:val="(%1)"/>
      <w:numFmt w:val="lowerLetter"/>
      <w:start w:val="1"/>
    </w:lvl>
  </w:abstractNum>
  <w:abstractNum w:abstractNumId="159">
    <w:nsid w:val="397C46BC"/>
    <w:multiLevelType w:val="hybridMultilevel"/>
    <w:lvl w:ilvl="0">
      <w:lvlJc w:val="left"/>
      <w:lvlText w:val="(%1)"/>
      <w:numFmt w:val="lowerLetter"/>
      <w:start w:val="2"/>
    </w:lvl>
  </w:abstractNum>
  <w:abstractNum w:abstractNumId="160">
    <w:nsid w:val="7E448DE9"/>
    <w:multiLevelType w:val="hybridMultilevel"/>
    <w:lvl w:ilvl="0">
      <w:lvlJc w:val="left"/>
      <w:lvlText w:val="(%1)"/>
      <w:numFmt w:val="lowerLetter"/>
      <w:start w:val="1"/>
    </w:lvl>
  </w:abstractNum>
  <w:abstractNum w:abstractNumId="161">
    <w:nsid w:val="5A9CC3E5"/>
    <w:multiLevelType w:val="hybridMultilevel"/>
    <w:lvl w:ilvl="0">
      <w:lvlJc w:val="left"/>
      <w:lvlText w:val="(%1)"/>
      <w:numFmt w:val="lowerLetter"/>
      <w:start w:val="11"/>
    </w:lvl>
  </w:abstractNum>
  <w:abstractNum w:abstractNumId="162">
    <w:nsid w:val="1AFE3625"/>
    <w:multiLevelType w:val="hybridMultilevel"/>
    <w:lvl w:ilvl="0">
      <w:lvlJc w:val="left"/>
      <w:lvlText w:val="(%1)"/>
      <w:numFmt w:val="lowerLetter"/>
      <w:start w:val="1"/>
    </w:lvl>
  </w:abstractNum>
  <w:abstractNum w:abstractNumId="163">
    <w:nsid w:val="3CA88ECF"/>
    <w:multiLevelType w:val="hybridMultilevel"/>
    <w:lvl w:ilvl="0">
      <w:lvlJc w:val="left"/>
      <w:lvlText w:val="(%1)"/>
      <w:numFmt w:val="lowerLetter"/>
      <w:start w:val="1"/>
    </w:lvl>
  </w:abstractNum>
  <w:abstractNum w:abstractNumId="164">
    <w:nsid w:val="6EBE4208"/>
    <w:multiLevelType w:val="hybridMultilevel"/>
    <w:lvl w:ilvl="0">
      <w:lvlJc w:val="left"/>
      <w:lvlText w:val="(%1)"/>
      <w:numFmt w:val="lowerLetter"/>
      <w:start w:val="2"/>
    </w:lvl>
  </w:abstractNum>
  <w:abstractNum w:abstractNumId="165">
    <w:nsid w:val="C058DF5"/>
    <w:multiLevelType w:val="hybridMultilevel"/>
    <w:lvl w:ilvl="0">
      <w:lvlJc w:val="left"/>
      <w:lvlText w:val="(%1)"/>
      <w:numFmt w:val="lowerLetter"/>
      <w:start w:val="1"/>
    </w:lvl>
  </w:abstractNum>
  <w:abstractNum w:abstractNumId="166">
    <w:nsid w:val="CBE5BE9"/>
    <w:multiLevelType w:val="hybridMultilevel"/>
    <w:lvl w:ilvl="0">
      <w:lvlJc w:val="left"/>
      <w:lvlText w:val="%1"/>
      <w:numFmt w:val="lowerRoman"/>
      <w:start w:val="1"/>
    </w:lvl>
    <w:lvl w:ilvl="1">
      <w:lvlJc w:val="left"/>
      <w:lvlText w:val="(%2)"/>
      <w:numFmt w:val="lowerRoman"/>
      <w:start w:val="1"/>
    </w:lvl>
  </w:abstractNum>
  <w:abstractNum w:abstractNumId="167">
    <w:nsid w:val="3102BBE2"/>
    <w:multiLevelType w:val="hybridMultilevel"/>
    <w:lvl w:ilvl="0">
      <w:lvlJc w:val="left"/>
      <w:lvlText w:val="(%1)"/>
      <w:numFmt w:val="lowerRoman"/>
      <w:start w:val="4"/>
    </w:lvl>
    <w:lvl w:ilvl="1">
      <w:lvlJc w:val="left"/>
      <w:lvlText w:val="%2"/>
      <w:numFmt w:val="lowerRoman"/>
      <w:start w:val="1"/>
    </w:lvl>
  </w:abstractNum>
  <w:abstractNum w:abstractNumId="168">
    <w:nsid w:val="26A02C5E"/>
    <w:multiLevelType w:val="hybridMultilevel"/>
    <w:lvl w:ilvl="0">
      <w:lvlJc w:val="left"/>
      <w:lvlText w:val="(%1)"/>
      <w:numFmt w:val="lowerLetter"/>
      <w:start w:val="10"/>
    </w:lvl>
  </w:abstractNum>
  <w:abstractNum w:abstractNumId="169">
    <w:nsid w:val="541C8153"/>
    <w:multiLevelType w:val="hybridMultilevel"/>
    <w:lvl w:ilvl="0">
      <w:lvlJc w:val="left"/>
      <w:lvlText w:val="(%1)"/>
      <w:numFmt w:val="lowerLetter"/>
      <w:start w:val="14"/>
    </w:lvl>
  </w:abstractNum>
  <w:abstractNum w:abstractNumId="170">
    <w:nsid w:val="67906F60"/>
    <w:multiLevelType w:val="hybridMultilevel"/>
    <w:lvl w:ilvl="0">
      <w:lvlJc w:val="left"/>
      <w:lvlText w:val="(%1)"/>
      <w:numFmt w:val="lowerLetter"/>
      <w:start w:val="1"/>
    </w:lvl>
    <w:lvl w:ilvl="1">
      <w:lvlJc w:val="left"/>
      <w:lvlText w:val="(%2)"/>
      <w:numFmt w:val="lowerRoman"/>
      <w:start w:val="1"/>
    </w:lvl>
  </w:abstractNum>
  <w:abstractNum w:abstractNumId="171">
    <w:nsid w:val="10DB9DAA"/>
    <w:multiLevelType w:val="hybridMultilevel"/>
    <w:lvl w:ilvl="0">
      <w:lvlJc w:val="left"/>
      <w:lvlText w:val="%1"/>
      <w:numFmt w:val="lowerLetter"/>
      <w:start w:val="1"/>
    </w:lvl>
    <w:lvl w:ilvl="1">
      <w:lvlJc w:val="left"/>
      <w:lvlText w:val="(%2)"/>
      <w:numFmt w:val="lowerLetter"/>
      <w:start w:val="61"/>
    </w:lvl>
  </w:abstractNum>
  <w:abstractNum w:abstractNumId="172">
    <w:nsid w:val="697D2D2"/>
    <w:multiLevelType w:val="hybridMultilevel"/>
    <w:lvl w:ilvl="0">
      <w:lvlJc w:val="left"/>
      <w:lvlText w:val="(%1)"/>
      <w:numFmt w:val="lowerLetter"/>
      <w:start w:val="2"/>
    </w:lvl>
    <w:lvl w:ilvl="1">
      <w:lvlJc w:val="left"/>
      <w:lvlText w:val="%2"/>
      <w:numFmt w:val="lowerLetter"/>
      <w:start w:val="1"/>
    </w:lvl>
  </w:abstractNum>
  <w:abstractNum w:abstractNumId="173">
    <w:nsid w:val="6D68AB2"/>
    <w:multiLevelType w:val="hybridMultilevel"/>
    <w:lvl w:ilvl="0">
      <w:lvlJc w:val="left"/>
      <w:lvlText w:val="(%1)"/>
      <w:numFmt w:val="lowerLetter"/>
      <w:start w:val="1"/>
    </w:lvl>
  </w:abstractNum>
  <w:abstractNum w:abstractNumId="174">
    <w:nsid w:val="3A966CD0"/>
    <w:multiLevelType w:val="hybridMultilevel"/>
    <w:lvl w:ilvl="0">
      <w:lvlJc w:val="left"/>
      <w:lvlText w:val="(%1)"/>
      <w:numFmt w:val="lowerLetter"/>
      <w:start w:val="1"/>
    </w:lvl>
  </w:abstractNum>
  <w:abstractNum w:abstractNumId="175">
    <w:nsid w:val="63F37E85"/>
    <w:multiLevelType w:val="hybridMultilevel"/>
    <w:lvl w:ilvl="0">
      <w:lvlJc w:val="left"/>
      <w:lvlText w:val="(%1)"/>
      <w:numFmt w:val="lowerLetter"/>
      <w:start w:val="1"/>
    </w:lvl>
    <w:lvl w:ilvl="1">
      <w:lvlJc w:val="left"/>
      <w:lvlText w:val="(%2)"/>
      <w:numFmt w:val="lowerLetter"/>
      <w:start w:val="9"/>
    </w:lvl>
  </w:abstractNum>
  <w:abstractNum w:abstractNumId="176">
    <w:nsid w:val="5895F5FA"/>
    <w:multiLevelType w:val="hybridMultilevel"/>
    <w:lvl w:ilvl="0">
      <w:lvlJc w:val="left"/>
      <w:lvlText w:val="(%1)"/>
      <w:numFmt w:val="lowerRoman"/>
      <w:start w:val="2"/>
    </w:lvl>
  </w:abstractNum>
  <w:abstractNum w:abstractNumId="177">
    <w:nsid w:val="38A5D054"/>
    <w:multiLevelType w:val="hybridMultilevel"/>
    <w:lvl w:ilvl="0">
      <w:lvlJc w:val="left"/>
      <w:lvlText w:val="(%1)"/>
      <w:numFmt w:val="lowerLetter"/>
      <w:start w:val="2"/>
    </w:lvl>
  </w:abstractNum>
  <w:abstractNum w:abstractNumId="178">
    <w:nsid w:val="F3F09D8"/>
    <w:multiLevelType w:val="hybridMultilevel"/>
    <w:lvl w:ilvl="0">
      <w:lvlJc w:val="left"/>
      <w:lvlText w:val="(%1)"/>
      <w:numFmt w:val="lowerLetter"/>
      <w:start w:val="1"/>
    </w:lvl>
    <w:lvl w:ilvl="1">
      <w:lvlJc w:val="left"/>
      <w:lvlText w:val="(%2)"/>
      <w:numFmt w:val="lowerRoman"/>
      <w:start w:val="1"/>
    </w:lvl>
  </w:abstractNum>
  <w:abstractNum w:abstractNumId="179">
    <w:nsid w:val="4B793735"/>
    <w:multiLevelType w:val="hybridMultilevel"/>
    <w:lvl w:ilvl="0">
      <w:lvlJc w:val="left"/>
      <w:lvlText w:val="(%1)"/>
      <w:numFmt w:val="lowerLetter"/>
      <w:start w:val="3"/>
    </w:lvl>
    <w:lvl w:ilvl="1">
      <w:lvlJc w:val="left"/>
      <w:lvlText w:val="(%2)"/>
      <w:numFmt w:val="lowerLetter"/>
      <w:start w:val="9"/>
    </w:lvl>
  </w:abstractNum>
  <w:abstractNum w:abstractNumId="180">
    <w:nsid w:val="4A10B4E8"/>
    <w:multiLevelType w:val="hybridMultilevel"/>
    <w:lvl w:ilvl="0">
      <w:lvlJc w:val="left"/>
      <w:lvlText w:val="(%1)"/>
      <w:numFmt w:val="lowerLetter"/>
      <w:start w:val="5"/>
    </w:lvl>
  </w:abstractNum>
  <w:abstractNum w:abstractNumId="181">
    <w:nsid w:val="43D3BCD4"/>
    <w:multiLevelType w:val="hybridMultilevel"/>
    <w:lvl w:ilvl="0">
      <w:lvlJc w:val="left"/>
      <w:lvlText w:val="(%1)"/>
      <w:numFmt w:val="lowerLetter"/>
      <w:start w:val="1"/>
    </w:lvl>
    <w:lvl w:ilvl="1">
      <w:lvlJc w:val="left"/>
      <w:lvlText w:val="(%2)"/>
      <w:numFmt w:val="lowerRoman"/>
      <w:start w:val="1"/>
    </w:lvl>
  </w:abstractNum>
  <w:abstractNum w:abstractNumId="182">
    <w:nsid w:val="4C2A7166"/>
    <w:multiLevelType w:val="hybridMultilevel"/>
    <w:lvl w:ilvl="0">
      <w:lvlJc w:val="left"/>
      <w:lvlText w:val="(%1)"/>
      <w:numFmt w:val="lowerRoman"/>
      <w:start w:val="3"/>
    </w:lvl>
  </w:abstractNum>
  <w:abstractNum w:abstractNumId="183">
    <w:nsid w:val="2E534A82"/>
    <w:multiLevelType w:val="hybridMultilevel"/>
    <w:lvl w:ilvl="0">
      <w:lvlJc w:val="left"/>
      <w:lvlText w:val="(%1)"/>
      <w:numFmt w:val="lowerLetter"/>
      <w:start w:val="2"/>
    </w:lvl>
  </w:abstractNum>
  <w:abstractNum w:abstractNumId="184">
    <w:nsid w:val="26F2D364"/>
    <w:multiLevelType w:val="hybridMultilevel"/>
    <w:lvl w:ilvl="0">
      <w:lvlJc w:val="left"/>
      <w:lvlText w:val="(%1)"/>
      <w:numFmt w:val="lowerLetter"/>
      <w:start w:val="3"/>
    </w:lvl>
    <w:lvl w:ilvl="1">
      <w:lvlJc w:val="left"/>
      <w:lvlText w:val="(%2)"/>
      <w:numFmt w:val="lowerRoman"/>
      <w:start w:val="1"/>
    </w:lvl>
  </w:abstractNum>
  <w:abstractNum w:abstractNumId="185">
    <w:nsid w:val="71C1AF98"/>
    <w:multiLevelType w:val="hybridMultilevel"/>
    <w:lvl w:ilvl="0">
      <w:lvlJc w:val="left"/>
      <w:lvlText w:val="(%1)"/>
      <w:numFmt w:val="lowerRoman"/>
      <w:start w:val="3"/>
    </w:lvl>
  </w:abstractNum>
  <w:abstractNum w:abstractNumId="186">
    <w:nsid w:val="3D00B9D9"/>
    <w:multiLevelType w:val="hybridMultilevel"/>
    <w:lvl w:ilvl="0">
      <w:lvlJc w:val="left"/>
      <w:lvlText w:val="(%1)"/>
      <w:numFmt w:val="lowerLetter"/>
      <w:start w:val="1"/>
    </w:lvl>
    <w:lvl w:ilvl="1">
      <w:lvlJc w:val="left"/>
      <w:lvlText w:val="(%2)"/>
      <w:numFmt w:val="lowerRoman"/>
      <w:start w:val="1"/>
    </w:lvl>
  </w:abstractNum>
  <w:abstractNum w:abstractNumId="187">
    <w:nsid w:val="15BCABA8"/>
    <w:multiLevelType w:val="hybridMultilevel"/>
    <w:lvl w:ilvl="0">
      <w:lvlJc w:val="left"/>
      <w:lvlText w:val="(%1)"/>
      <w:numFmt w:val="lowerRoman"/>
      <w:start w:val="3"/>
    </w:lvl>
  </w:abstractNum>
  <w:abstractNum w:abstractNumId="188">
    <w:nsid w:val="4E0B9A87"/>
    <w:multiLevelType w:val="hybridMultilevel"/>
    <w:lvl w:ilvl="0">
      <w:lvlJc w:val="left"/>
      <w:lvlText w:val="(%1)"/>
      <w:numFmt w:val="lowerLetter"/>
      <w:start w:val="3"/>
    </w:lvl>
  </w:abstractNum>
  <w:abstractNum w:abstractNumId="189">
    <w:nsid w:val="434BAE75"/>
    <w:multiLevelType w:val="hybridMultilevel"/>
    <w:lvl w:ilvl="0">
      <w:lvlJc w:val="left"/>
      <w:lvlText w:val="(%1)"/>
      <w:numFmt w:val="lowerLetter"/>
      <w:start w:val="4"/>
    </w:lvl>
  </w:abstractNum>
  <w:abstractNum w:abstractNumId="190">
    <w:nsid w:val="4F38F265"/>
    <w:multiLevelType w:val="hybridMultilevel"/>
    <w:lvl w:ilvl="0">
      <w:lvlJc w:val="left"/>
      <w:lvlText w:val="(%1)"/>
      <w:numFmt w:val="lowerLetter"/>
      <w:start w:val="1"/>
    </w:lvl>
  </w:abstractNum>
  <w:abstractNum w:abstractNumId="191">
    <w:nsid w:val="4C502870"/>
    <w:multiLevelType w:val="hybridMultilevel"/>
    <w:lvl w:ilvl="0">
      <w:lvlJc w:val="left"/>
      <w:lvlText w:val="(%1)"/>
      <w:numFmt w:val="lowerLetter"/>
      <w:start w:val="3"/>
    </w:lvl>
  </w:abstractNum>
  <w:abstractNum w:abstractNumId="192">
    <w:nsid w:val="1DE8725A"/>
    <w:multiLevelType w:val="hybridMultilevel"/>
    <w:lvl w:ilvl="0">
      <w:lvlJc w:val="left"/>
      <w:lvlText w:val="(%1)"/>
      <w:numFmt w:val="lowerLetter"/>
      <w:start w:val="1"/>
    </w:lvl>
  </w:abstractNum>
  <w:abstractNum w:abstractNumId="193">
    <w:nsid w:val="6A37288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94">
    <w:nsid w:val="8F8B73F"/>
    <w:multiLevelType w:val="hybridMultilevel"/>
    <w:lvl w:ilvl="0">
      <w:lvlJc w:val="left"/>
      <w:lvlText w:val="%1"/>
      <w:numFmt w:val="lowerRoman"/>
      <w:start w:val="1"/>
    </w:lvl>
    <w:lvl w:ilvl="1">
      <w:lvlJc w:val="left"/>
      <w:lvlText w:val="(%2)"/>
      <w:numFmt w:val="upperLetter"/>
      <w:start w:val="2"/>
    </w:lvl>
  </w:abstractNum>
  <w:abstractNum w:abstractNumId="195">
    <w:nsid w:val="CA6B462"/>
    <w:multiLevelType w:val="hybridMultilevel"/>
    <w:lvl w:ilvl="0">
      <w:lvlJc w:val="left"/>
      <w:lvlText w:val="(%1)"/>
      <w:numFmt w:val="lowerRoman"/>
      <w:start w:val="4"/>
    </w:lvl>
    <w:lvl w:ilvl="1">
      <w:lvlJc w:val="left"/>
      <w:lvlText w:val="%2"/>
      <w:numFmt w:val="upperLetter"/>
      <w:start w:val="1"/>
    </w:lvl>
  </w:abstractNum>
  <w:abstractNum w:abstractNumId="196">
    <w:nsid w:val="763CB680"/>
    <w:multiLevelType w:val="hybridMultilevel"/>
    <w:lvl w:ilvl="0">
      <w:lvlJc w:val="left"/>
      <w:lvlText w:val="(%1)"/>
      <w:numFmt w:val="lowerLetter"/>
      <w:start w:val="3"/>
    </w:lvl>
  </w:abstractNum>
  <w:abstractNum w:abstractNumId="197">
    <w:nsid w:val="15B71329"/>
    <w:multiLevelType w:val="hybridMultilevel"/>
    <w:lvl w:ilvl="0">
      <w:lvlJc w:val="left"/>
      <w:lvlText w:val="(%1)"/>
      <w:numFmt w:val="lowerLetter"/>
      <w:start w:val="5"/>
    </w:lvl>
  </w:abstractNum>
  <w:abstractNum w:abstractNumId="198">
    <w:nsid w:val="3DA97044"/>
    <w:multiLevelType w:val="hybridMultilevel"/>
    <w:lvl w:ilvl="0">
      <w:lvlJc w:val="left"/>
      <w:lvlText w:val="(%1)"/>
      <w:numFmt w:val="lowerLetter"/>
      <w:start w:val="1"/>
    </w:lvl>
  </w:abstractNum>
  <w:abstractNum w:abstractNumId="199">
    <w:nsid w:val="1CDCE2DE"/>
    <w:multiLevelType w:val="hybridMultilevel"/>
    <w:lvl w:ilvl="0">
      <w:lvlJc w:val="left"/>
      <w:lvlText w:val="(%1)"/>
      <w:numFmt w:val="lowerLetter"/>
      <w:start w:val="1"/>
    </w:lvl>
  </w:abstractNum>
  <w:abstractNum w:abstractNumId="200">
    <w:nsid w:val="69D3947C"/>
    <w:multiLevelType w:val="hybridMultilevel"/>
    <w:lvl w:ilvl="0">
      <w:lvlJc w:val="left"/>
      <w:lvlText w:val="%1"/>
      <w:numFmt w:val="upperLetter"/>
      <w:start w:val="1"/>
    </w:lvl>
    <w:lvl w:ilvl="1">
      <w:lvlJc w:val="left"/>
      <w:lvlText w:val="(%2)"/>
      <w:numFmt w:val="lowerLetter"/>
      <w:start w:val="1"/>
    </w:lvl>
  </w:abstractNum>
  <w:abstractNum w:abstractNumId="201">
    <w:nsid w:val="2539DFA5"/>
    <w:multiLevelType w:val="hybridMultilevel"/>
    <w:lvl w:ilvl="0">
      <w:lvlJc w:val="left"/>
      <w:lvlText w:val="(%1)"/>
      <w:numFmt w:val="upperLetter"/>
      <w:start w:val="2"/>
    </w:lvl>
    <w:lvl w:ilvl="1">
      <w:lvlJc w:val="left"/>
      <w:lvlText w:val="%2"/>
      <w:numFmt w:val="lowerLetter"/>
      <w:start w:val="1"/>
    </w:lvl>
  </w:abstractNum>
  <w:abstractNum w:abstractNumId="202">
    <w:nsid w:val="2DB88089"/>
    <w:multiLevelType w:val="hybridMultilevel"/>
    <w:lvl w:ilvl="0">
      <w:lvlJc w:val="left"/>
      <w:lvlText w:val="(%1)"/>
      <w:numFmt w:val="lowerLetter"/>
      <w:start w:val="2"/>
    </w:lvl>
  </w:abstractNum>
  <w:abstractNum w:abstractNumId="203">
    <w:nsid w:val="706B674E"/>
    <w:multiLevelType w:val="hybridMultilevel"/>
    <w:lvl w:ilvl="0">
      <w:lvlJc w:val="left"/>
      <w:lvlText w:val="(%1)"/>
      <w:numFmt w:val="lowerLetter"/>
      <w:start w:val="1"/>
    </w:lvl>
    <w:lvl w:ilvl="1">
      <w:lvlJc w:val="left"/>
      <w:lvlText w:val="(%2)"/>
      <w:numFmt w:val="lowerRoman"/>
      <w:start w:val="1"/>
    </w:lvl>
  </w:abstractNum>
  <w:abstractNum w:abstractNumId="204">
    <w:nsid w:val="2C106A57"/>
    <w:multiLevelType w:val="hybridMultilevel"/>
    <w:lvl w:ilvl="0">
      <w:lvlJc w:val="left"/>
      <w:lvlText w:val="(%1)"/>
      <w:numFmt w:val="lowerLetter"/>
      <w:start w:val="1"/>
    </w:lvl>
    <w:lvl w:ilvl="1">
      <w:lvlJc w:val="left"/>
      <w:lvlText w:val="(%2)"/>
      <w:numFmt w:val="lowerRoman"/>
      <w:start w:val="1"/>
    </w:lvl>
  </w:abstractNum>
  <w:abstractNum w:abstractNumId="205">
    <w:nsid w:val="684EED59"/>
    <w:multiLevelType w:val="hybridMultilevel"/>
    <w:lvl w:ilvl="0">
      <w:lvlJc w:val="left"/>
      <w:lvlText w:val="%1"/>
      <w:numFmt w:val="lowerLetter"/>
      <w:start w:val="1"/>
    </w:lvl>
    <w:lvl w:ilvl="1">
      <w:lvlJc w:val="left"/>
      <w:lvlText w:val="(%2)"/>
      <w:numFmt w:val="lowerLetter"/>
      <w:start w:val="61"/>
    </w:lvl>
  </w:abstractNum>
  <w:abstractNum w:abstractNumId="206">
    <w:nsid w:val="545EE5D3"/>
    <w:multiLevelType w:val="hybridMultilevel"/>
    <w:lvl w:ilvl="0">
      <w:lvlJc w:val="left"/>
      <w:lvlText w:val="(%1)"/>
      <w:numFmt w:val="lowerLetter"/>
      <w:start w:val="7"/>
    </w:lvl>
    <w:lvl w:ilvl="1">
      <w:lvlJc w:val="left"/>
      <w:lvlText w:val="%2"/>
      <w:numFmt w:val="lowerLetter"/>
      <w:start w:val="1"/>
    </w:lvl>
  </w:abstractNum>
  <w:abstractNum w:abstractNumId="207">
    <w:nsid w:val="4A66051"/>
    <w:multiLevelType w:val="hybridMultilevel"/>
    <w:lvl w:ilvl="0">
      <w:lvlJc w:val="left"/>
      <w:lvlText w:val="%1"/>
      <w:numFmt w:val="lowerLetter"/>
      <w:start w:val="1"/>
    </w:lvl>
    <w:lvl w:ilvl="1">
      <w:lvlJc w:val="left"/>
      <w:lvlText w:val="(%2)"/>
      <w:numFmt w:val="lowerRoman"/>
      <w:start w:val="4"/>
    </w:lvl>
  </w:abstractNum>
  <w:abstractNum w:abstractNumId="208">
    <w:nsid w:val="20F4BDAD"/>
    <w:multiLevelType w:val="hybridMultilevel"/>
    <w:lvl w:ilvl="0">
      <w:lvlJc w:val="left"/>
      <w:lvlText w:val="(%1)"/>
      <w:numFmt w:val="lowerLetter"/>
      <w:start w:val="2"/>
    </w:lvl>
    <w:lvl w:ilvl="1">
      <w:lvlJc w:val="left"/>
      <w:lvlText w:val="%2"/>
      <w:numFmt w:val="lowerRoman"/>
      <w:start w:val="1"/>
    </w:lvl>
  </w:abstractNum>
  <w:abstractNum w:abstractNumId="209">
    <w:nsid w:val="639DEFAC"/>
    <w:multiLevelType w:val="hybridMultilevel"/>
    <w:lvl w:ilvl="0">
      <w:lvlJc w:val="left"/>
      <w:lvlText w:val="(%1)"/>
      <w:numFmt w:val="lowerLetter"/>
      <w:start w:val="1"/>
    </w:lvl>
  </w:abstractNum>
  <w:abstractNum w:abstractNumId="210">
    <w:nsid w:val="501F9786"/>
    <w:multiLevelType w:val="hybridMultilevel"/>
    <w:lvl w:ilvl="0">
      <w:lvlJc w:val="left"/>
      <w:lvlText w:val="(%1)"/>
      <w:numFmt w:val="lowerLetter"/>
      <w:start w:val="2"/>
    </w:lvl>
  </w:abstractNum>
  <w:abstractNum w:abstractNumId="211">
    <w:nsid w:val="6B057295"/>
    <w:multiLevelType w:val="hybridMultilevel"/>
    <w:lvl w:ilvl="0">
      <w:lvlJc w:val="left"/>
      <w:lvlText w:val="(%1)"/>
      <w:numFmt w:val="lowerRoman"/>
      <w:start w:val="1"/>
    </w:lvl>
  </w:abstractNum>
  <w:abstractNum w:abstractNumId="212">
    <w:nsid w:val="2771AC80"/>
    <w:multiLevelType w:val="hybridMultilevel"/>
    <w:lvl w:ilvl="0">
      <w:lvlJc w:val="left"/>
      <w:lvlText w:val="%1."/>
      <w:numFmt w:val="decimal"/>
      <w:start w:val="1"/>
    </w:lvl>
    <w:lvl w:ilvl="1">
      <w:lvlJc w:val="left"/>
      <w:lvlText w:val="%2."/>
      <w:numFmt w:val="lowerLetter"/>
      <w:start w:val="1"/>
    </w:lvl>
  </w:abstractNum>
  <w:abstractNum w:abstractNumId="213">
    <w:nsid w:val="1C4A08EC"/>
    <w:multiLevelType w:val="hybridMultilevel"/>
    <w:lvl w:ilvl="0">
      <w:lvlJc w:val="left"/>
      <w:lvlText w:val="%1."/>
      <w:numFmt w:val="lowerLetter"/>
      <w:start w:val="3"/>
    </w:lvl>
  </w:abstractNum>
  <w:abstractNum w:abstractNumId="214">
    <w:nsid w:val="1958BD17"/>
    <w:multiLevelType w:val="hybridMultilevel"/>
    <w:lvl w:ilvl="0">
      <w:lvlJc w:val="left"/>
      <w:lvlText w:val="%1."/>
      <w:numFmt w:val="decimal"/>
      <w:start w:val="2"/>
    </w:lvl>
  </w:abstractNum>
  <w:abstractNum w:abstractNumId="215">
    <w:nsid w:val="4E647FE4"/>
    <w:multiLevelType w:val="hybridMultilevel"/>
    <w:lvl w:ilvl="0">
      <w:lvlJc w:val="left"/>
      <w:lvlText w:val="1"/>
      <w:numFmt w:val="bullet"/>
      <w:start w:val="1"/>
    </w:lvl>
  </w:abstractNum>
  <w:abstractNum w:abstractNumId="216">
    <w:nsid w:val="E0BB885"/>
    <w:multiLevelType w:val="hybridMultilevel"/>
    <w:lvl w:ilvl="0">
      <w:lvlJc w:val="left"/>
      <w:lvlText w:val="2"/>
      <w:numFmt w:val="bullet"/>
      <w:start w:val="1"/>
    </w:lvl>
  </w:abstractNum>
  <w:abstractNum w:abstractNumId="217">
    <w:nsid w:val="565976F1"/>
    <w:multiLevelType w:val="hybridMultilevel"/>
    <w:lvl w:ilvl="0">
      <w:lvlJc w:val="left"/>
      <w:lvlText w:val="%1."/>
      <w:numFmt w:val="decimal"/>
      <w:start w:val="3"/>
    </w:lvl>
    <w:lvl w:ilvl="1">
      <w:lvlJc w:val="left"/>
      <w:lvlText w:val="%2."/>
      <w:numFmt w:val="lowerLetter"/>
      <w:start w:val="1"/>
    </w:lvl>
  </w:abstractNum>
  <w:abstractNum w:abstractNumId="218">
    <w:nsid w:val="64212B8C"/>
    <w:multiLevelType w:val="hybridMultilevel"/>
    <w:lvl w:ilvl="0">
      <w:lvlJc w:val="left"/>
      <w:lvlText w:val="3"/>
      <w:numFmt w:val="bullet"/>
      <w:start w:val="1"/>
    </w:lvl>
  </w:abstractNum>
  <w:abstractNum w:abstractNumId="219">
    <w:nsid w:val="5C17530C"/>
    <w:multiLevelType w:val="hybridMultilevel"/>
    <w:lvl w:ilvl="0">
      <w:lvlJc w:val="left"/>
      <w:lvlText w:val="4"/>
      <w:numFmt w:val="bullet"/>
      <w:start w:val="1"/>
    </w:lvl>
  </w:abstractNum>
  <w:abstractNum w:abstractNumId="220">
    <w:nsid w:val="19A52566"/>
    <w:multiLevelType w:val="hybridMultilevel"/>
    <w:lvl w:ilvl="0">
      <w:lvlJc w:val="left"/>
      <w:lvlText w:val="%1."/>
      <w:numFmt w:val="decimal"/>
      <w:start w:val="1"/>
    </w:lvl>
    <w:lvl w:ilvl="1">
      <w:lvlJc w:val="left"/>
      <w:lvlText w:val="%2."/>
      <w:numFmt w:val="lowerLetter"/>
      <w:start w:val="1"/>
    </w:lvl>
  </w:abstractNum>
  <w:abstractNum w:abstractNumId="221">
    <w:nsid w:val="335A1DF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2022-11-09T05:35:42Z</dcterms:created>
  <dcterms:modified xsi:type="dcterms:W3CDTF">2022-11-09T05:35:42Z</dcterms:modified>
</cp:coreProperties>
</file>