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UNITED STATES</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ind w:left="380" w:hanging="31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80" w:hanging="318"/>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001-33957</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ind w:left="2460"/>
        <w:spacing w:after="0"/>
        <w:tabs>
          <w:tab w:leader="none" w:pos="88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04-3306140</w:t>
      </w:r>
    </w:p>
    <w:p>
      <w:pPr>
        <w:spacing w:after="0" w:line="27" w:lineRule="exact"/>
        <w:rPr>
          <w:sz w:val="24"/>
          <w:szCs w:val="24"/>
          <w:color w:val="auto"/>
        </w:rPr>
      </w:pPr>
    </w:p>
    <w:p>
      <w:pPr>
        <w:ind w:left="1780"/>
        <w:spacing w:after="0"/>
        <w:tabs>
          <w:tab w:leader="none" w:pos="862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w:t>
      </w:r>
    </w:p>
    <w:p>
      <w:pPr>
        <w:spacing w:after="0" w:line="9" w:lineRule="exact"/>
        <w:rPr>
          <w:sz w:val="24"/>
          <w:szCs w:val="24"/>
          <w:color w:val="auto"/>
        </w:rPr>
      </w:pPr>
    </w:p>
    <w:p>
      <w:pPr>
        <w:jc w:val="right"/>
        <w:ind w:right="1320"/>
        <w:spacing w:after="0"/>
        <w:tabs>
          <w:tab w:leader="none" w:pos="130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6"/>
          <w:szCs w:val="16"/>
          <w:color w:val="auto"/>
        </w:rPr>
        <w:t>Identification No.)</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 October Hill Road, Holliston, Massachusetts 01746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893-8999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4225" cy="302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ectPr>
          <w:pgSz w:w="11900" w:h="16838" w:orient="portrait"/>
          <w:cols w:equalWidth="0" w:num="1">
            <w:col w:w="11240"/>
          </w:cols>
          <w:pgMar w:left="320" w:top="679" w:right="339" w:bottom="0" w:gutter="0" w:footer="0" w:header="0"/>
        </w:sectPr>
      </w:pP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31"/>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ind w:left="170"/>
              <w:spacing w:after="0"/>
              <w:rPr>
                <w:sz w:val="20"/>
                <w:szCs w:val="20"/>
                <w:color w:val="auto"/>
              </w:rPr>
            </w:pPr>
            <w:r>
              <w:rPr>
                <w:rFonts w:ascii="Arial" w:cs="Arial" w:eastAsia="Arial" w:hAnsi="Arial"/>
                <w:sz w:val="18"/>
                <w:szCs w:val="18"/>
                <w:color w:val="auto"/>
                <w:w w:val="92"/>
              </w:rPr>
              <w:t>Trading Symbol(s)</w:t>
            </w:r>
          </w:p>
        </w:tc>
        <w:tc>
          <w:tcPr>
            <w:tcW w:w="0" w:type="dxa"/>
            <w:vAlign w:val="bottom"/>
          </w:tcPr>
          <w:p>
            <w:pPr>
              <w:spacing w:after="0"/>
              <w:rPr>
                <w:sz w:val="1"/>
                <w:szCs w:val="1"/>
                <w:color w:val="auto"/>
              </w:rPr>
            </w:pPr>
          </w:p>
        </w:tc>
      </w:tr>
      <w:tr>
        <w:trPr>
          <w:trHeight w:val="20"/>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820" w:type="dxa"/>
            <w:vAlign w:val="bottom"/>
            <w:tcBorders>
              <w:right w:val="single" w:sz="8" w:color="auto"/>
            </w:tcBorders>
            <w:vMerge w:val="restart"/>
          </w:tcPr>
          <w:p>
            <w:pPr>
              <w:jc w:val="center"/>
              <w:ind w:left="170"/>
              <w:spacing w:after="0"/>
              <w:rPr>
                <w:sz w:val="20"/>
                <w:szCs w:val="20"/>
                <w:color w:val="auto"/>
              </w:rPr>
            </w:pPr>
            <w:r>
              <w:rPr>
                <w:rFonts w:ascii="Arial" w:cs="Arial" w:eastAsia="Arial" w:hAnsi="Arial"/>
                <w:sz w:val="18"/>
                <w:szCs w:val="18"/>
                <w:color w:val="auto"/>
                <w:w w:val="99"/>
              </w:rPr>
              <w:t>HBIO</w:t>
            </w:r>
          </w:p>
        </w:tc>
        <w:tc>
          <w:tcPr>
            <w:tcW w:w="0" w:type="dxa"/>
            <w:vAlign w:val="bottom"/>
          </w:tcPr>
          <w:p>
            <w:pPr>
              <w:spacing w:after="0" w:line="20" w:lineRule="exact"/>
              <w:rPr>
                <w:sz w:val="1"/>
                <w:szCs w:val="1"/>
                <w:color w:val="auto"/>
              </w:rPr>
            </w:pPr>
          </w:p>
        </w:tc>
      </w:tr>
      <w:tr>
        <w:trPr>
          <w:trHeight w:val="205"/>
        </w:trPr>
        <w:tc>
          <w:tcPr>
            <w:tcW w:w="3740" w:type="dxa"/>
            <w:vAlign w:val="bottom"/>
            <w:tcBorders>
              <w:left w:val="single" w:sz="8" w:color="auto"/>
              <w:right w:val="single" w:sz="8" w:color="auto"/>
            </w:tcBorders>
            <w:vMerge w:val="continue"/>
          </w:tcPr>
          <w:p>
            <w:pPr>
              <w:spacing w:after="0"/>
              <w:rPr>
                <w:sz w:val="17"/>
                <w:szCs w:val="17"/>
                <w:color w:val="auto"/>
              </w:rPr>
            </w:pPr>
          </w:p>
        </w:tc>
        <w:tc>
          <w:tcPr>
            <w:tcW w:w="38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260"/>
        <w:spacing w:after="0" w:line="293" w:lineRule="auto"/>
        <w:rPr>
          <w:sz w:val="20"/>
          <w:szCs w:val="20"/>
          <w:color w:val="auto"/>
        </w:rPr>
      </w:pPr>
      <w:r>
        <w:rPr>
          <w:rFonts w:ascii="Arial" w:cs="Arial" w:eastAsia="Arial" w:hAnsi="Arial"/>
          <w:sz w:val="18"/>
          <w:szCs w:val="18"/>
          <w:color w:val="auto"/>
        </w:rPr>
        <w:t>Name of each exchange on which registered The Nasdaq Global Market</w:t>
      </w:r>
    </w:p>
    <w:p>
      <w:pPr>
        <w:spacing w:after="0" w:line="170" w:lineRule="exact"/>
        <w:rPr>
          <w:sz w:val="24"/>
          <w:szCs w:val="24"/>
          <w:color w:val="auto"/>
        </w:rPr>
      </w:pPr>
    </w:p>
    <w:p>
      <w:pPr>
        <w:sectPr>
          <w:pgSz w:w="11900" w:h="16838" w:orient="portrait"/>
          <w:cols w:equalWidth="0" w:num="2">
            <w:col w:w="7560" w:space="240"/>
            <w:col w:w="3440"/>
          </w:cols>
          <w:pgMar w:left="320" w:top="679" w:right="339" w:bottom="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320" w:right="134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60" w:firstLine="306"/>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60" w:firstLine="306"/>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firstLine="30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spacing w:after="0" w:line="207" w:lineRule="exact"/>
        <w:tabs>
          <w:tab w:leader="none" w:pos="56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tabs>
          <w:tab w:leader="none" w:pos="560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56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0" w:firstLine="30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40" w:firstLine="30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ind w:left="320"/>
        <w:spacing w:after="0" w:line="196" w:lineRule="exact"/>
        <w:tabs>
          <w:tab w:leader="none" w:pos="93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240"/>
          </w:cols>
          <w:pgMar w:left="320" w:top="679" w:right="339" w:bottom="0" w:gutter="0" w:footer="0" w:header="0"/>
          <w:type w:val="continuous"/>
        </w:sectPr>
      </w:pPr>
    </w:p>
    <w:bookmarkStart w:id="1" w:name="page2"/>
    <w:bookmarkEnd w:id="1"/>
    <w:p>
      <w:pPr>
        <w:ind w:firstLine="306"/>
        <w:spacing w:after="0" w:line="263" w:lineRule="auto"/>
        <w:rPr>
          <w:sz w:val="20"/>
          <w:szCs w:val="20"/>
          <w:color w:val="auto"/>
        </w:rPr>
      </w:pPr>
      <w:r>
        <w:rPr>
          <w:rFonts w:ascii="Arial" w:cs="Arial" w:eastAsia="Arial" w:hAnsi="Arial"/>
          <w:sz w:val="18"/>
          <w:szCs w:val="18"/>
          <w:color w:val="auto"/>
        </w:rPr>
        <w:t>The aggregate market value of shares of voting common equity held by non-affiliates of the registrant as of June 30, 2020 was approximately $116.0 million based on the closing sales price of the registrant’s common stock, par value $0.01 per share on that date. At March 5, 2021, there were 39,825,533 shares of the registrant’s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41" w:right="5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320" w:firstLine="306"/>
        <w:spacing w:after="0" w:line="286" w:lineRule="auto"/>
        <w:rPr>
          <w:sz w:val="20"/>
          <w:szCs w:val="20"/>
          <w:color w:val="auto"/>
        </w:rPr>
      </w:pPr>
      <w:r>
        <w:rPr>
          <w:rFonts w:ascii="Arial" w:cs="Arial" w:eastAsia="Arial" w:hAnsi="Arial"/>
          <w:sz w:val="17"/>
          <w:szCs w:val="17"/>
          <w:color w:val="auto"/>
        </w:rPr>
        <w:t>Portions of the Company’s definitive Proxy Statement in connection with the 2021 Annual Meeting of Stockholders (the “Proxy Statement”), to be filed within 120 days after the end of the Registrant’s fiscal year, are incorporated by reference into Part III of this Form 10-K. Except with respect to information specifically incorporated by reference in this Form 10-K, the Proxy Statement is not deemed to be filed as part hereof.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306"/>
        <w:spacing w:after="0" w:line="270" w:lineRule="auto"/>
        <w:rPr>
          <w:sz w:val="20"/>
          <w:szCs w:val="20"/>
          <w:color w:val="auto"/>
        </w:rPr>
      </w:pPr>
      <w:r>
        <w:rPr>
          <w:rFonts w:ascii="Arial" w:cs="Arial" w:eastAsia="Arial" w:hAnsi="Arial"/>
          <w:sz w:val="17"/>
          <w:szCs w:val="17"/>
          <w:color w:val="auto"/>
        </w:rPr>
        <w:t>Harvard Bioscience, Inc. (the “Company”) filed its Annual Report on Form 10-K for the fiscal year ended December 31, 2020 (the “Original Filing”) with the Securities and Exchange Commission on March 12, 2021. Due to a technical filing error, certain paragraphs in “Item 1. Business” and “Item 7. Management’s Discussion and Analysis of Financial Condition and Results of Operations” of the Original Filing were inadvertently omitted from the as-filed version of the Original Filing. The Company is filing this Amendment No. 1 to its Annual Report on Form 10-K/A (this “Amendment No. 1”) solely to insert such paragraphs and to add a conformed signature to the Consent of Grant Thornton LLP, the Company’s independent registered public accounting firm, which was inadvertently omitted from the Original Filing. Further, as required by Rule 12b-15 promulgated under the Securities Exchange Act of 1934, as amended, new certifications pursuant to Sections 302 and 906 of the Sarbanes-Oxley Act of 2002 by the Company’s principal executive officer and principal financial officer are filed herewith as exhibits to this Amendment No. 1. Accordingly, Item 15 of Part IV of the Original 10-K has been amended and restated in its entirety to include the certifications as exhibits.</w:t>
      </w:r>
    </w:p>
    <w:p>
      <w:pPr>
        <w:spacing w:after="0" w:line="181" w:lineRule="exact"/>
        <w:rPr>
          <w:sz w:val="20"/>
          <w:szCs w:val="20"/>
          <w:color w:val="auto"/>
        </w:rPr>
      </w:pPr>
    </w:p>
    <w:p>
      <w:pPr>
        <w:jc w:val="both"/>
        <w:ind w:right="220" w:firstLine="306"/>
        <w:spacing w:after="0" w:line="263" w:lineRule="auto"/>
        <w:rPr>
          <w:sz w:val="20"/>
          <w:szCs w:val="20"/>
          <w:color w:val="auto"/>
        </w:rPr>
      </w:pPr>
      <w:r>
        <w:rPr>
          <w:rFonts w:ascii="Arial" w:cs="Arial" w:eastAsia="Arial" w:hAnsi="Arial"/>
          <w:sz w:val="18"/>
          <w:szCs w:val="18"/>
          <w:color w:val="auto"/>
        </w:rPr>
        <w:t>Except as described above, this Amendment No. 1 speaks as of the original filing date of the Original Filing and does not amend or update any other information contained in the Original Filing to reflect events that may have occurred subsequent to the original filing date. The Company has included a complete copy of the Original Filing, as amended per above, in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rFonts w:ascii="Arial" w:cs="Arial" w:eastAsia="Arial" w:hAnsi="Arial"/>
                <w:sz w:val="18"/>
                <w:szCs w:val="18"/>
                <w:u w:val="single" w:color="auto"/>
                <w:color w:val="0000EE"/>
                <w:w w:val="97"/>
              </w:rPr>
            </w:pPr>
            <w:hyperlink w:anchor="page4">
              <w:r>
                <w:rPr>
                  <w:rFonts w:ascii="Arial" w:cs="Arial" w:eastAsia="Arial" w:hAnsi="Arial"/>
                  <w:sz w:val="18"/>
                  <w:szCs w:val="18"/>
                  <w:u w:val="single" w:color="auto"/>
                  <w:color w:val="0000EE"/>
                  <w:w w:val="97"/>
                </w:rPr>
                <w:t>Table of Contents</w:t>
              </w:r>
            </w:hyperlink>
          </w:p>
        </w:tc>
        <w:tc>
          <w:tcPr>
            <w:tcW w:w="86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57"/>
        </w:trPr>
        <w:tc>
          <w:tcPr>
            <w:tcW w:w="1400" w:type="dxa"/>
            <w:vAlign w:val="bottom"/>
          </w:tcPr>
          <w:p>
            <w:pPr>
              <w:spacing w:after="0"/>
              <w:rPr>
                <w:sz w:val="24"/>
                <w:szCs w:val="24"/>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w w:val="99"/>
              </w:rPr>
              <w:t>HARVARD BIOSCIENCE, INC.</w:t>
            </w:r>
          </w:p>
        </w:tc>
        <w:tc>
          <w:tcPr>
            <w:tcW w:w="12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w w:val="99"/>
              </w:rPr>
              <w:t>ANNUAL REPORT ON FORM 10-K</w:t>
            </w:r>
          </w:p>
        </w:tc>
        <w:tc>
          <w:tcPr>
            <w:tcW w:w="12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w w:val="90"/>
              </w:rPr>
              <w:t>For the Year Ended December 31, 2020</w:t>
            </w:r>
          </w:p>
        </w:tc>
        <w:tc>
          <w:tcPr>
            <w:tcW w:w="1220" w:type="dxa"/>
            <w:vAlign w:val="bottom"/>
          </w:tcPr>
          <w:p>
            <w:pPr>
              <w:spacing w:after="0"/>
              <w:rPr>
                <w:sz w:val="18"/>
                <w:szCs w:val="18"/>
                <w:color w:val="auto"/>
              </w:rPr>
            </w:pPr>
          </w:p>
        </w:tc>
      </w:tr>
      <w:tr>
        <w:trPr>
          <w:trHeight w:val="234"/>
        </w:trPr>
        <w:tc>
          <w:tcPr>
            <w:tcW w:w="1400" w:type="dxa"/>
            <w:vAlign w:val="bottom"/>
          </w:tcPr>
          <w:p>
            <w:pPr>
              <w:spacing w:after="0"/>
              <w:rPr>
                <w:sz w:val="20"/>
                <w:szCs w:val="20"/>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rPr>
              <w:t>INDEX</w:t>
            </w:r>
          </w:p>
        </w:tc>
        <w:tc>
          <w:tcPr>
            <w:tcW w:w="1220" w:type="dxa"/>
            <w:vAlign w:val="bottom"/>
          </w:tcPr>
          <w:p>
            <w:pPr>
              <w:spacing w:after="0"/>
              <w:rPr>
                <w:sz w:val="20"/>
                <w:szCs w:val="20"/>
                <w:color w:val="auto"/>
              </w:rPr>
            </w:pPr>
          </w:p>
        </w:tc>
      </w:tr>
      <w:tr>
        <w:trPr>
          <w:trHeight w:val="432"/>
        </w:trPr>
        <w:tc>
          <w:tcPr>
            <w:tcW w:w="140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86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rPr>
              <w:t>Page</w:t>
            </w:r>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862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1</w:t>
              </w:r>
            </w:hyperlink>
          </w:p>
        </w:tc>
      </w:tr>
      <w:tr>
        <w:trPr>
          <w:trHeight w:val="432"/>
        </w:trPr>
        <w:tc>
          <w:tcPr>
            <w:tcW w:w="1400" w:type="dxa"/>
            <w:vAlign w:val="bottom"/>
          </w:tcPr>
          <w:p>
            <w:pPr>
              <w:ind w:left="500"/>
              <w:spacing w:after="0"/>
              <w:rPr>
                <w:rFonts w:ascii="Arial" w:cs="Arial" w:eastAsia="Arial" w:hAnsi="Arial"/>
                <w:sz w:val="18"/>
                <w:szCs w:val="18"/>
                <w:color w:val="0000EE"/>
              </w:rPr>
            </w:pPr>
            <w:hyperlink w:anchor="page11">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62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1220" w:type="dxa"/>
            <w:vAlign w:val="bottom"/>
          </w:tcPr>
          <w:p>
            <w:pPr>
              <w:jc w:val="center"/>
              <w:spacing w:after="0"/>
              <w:rPr>
                <w:rFonts w:ascii="Arial" w:cs="Arial" w:eastAsia="Arial" w:hAnsi="Arial"/>
                <w:sz w:val="18"/>
                <w:szCs w:val="18"/>
                <w:u w:val="single" w:color="auto"/>
                <w:color w:val="0000EE"/>
                <w:w w:val="99"/>
              </w:rPr>
            </w:pPr>
            <w:hyperlink w:anchor="page11">
              <w:r>
                <w:rPr>
                  <w:rFonts w:ascii="Arial" w:cs="Arial" w:eastAsia="Arial" w:hAnsi="Arial"/>
                  <w:sz w:val="18"/>
                  <w:szCs w:val="18"/>
                  <w:u w:val="single" w:color="auto"/>
                  <w:color w:val="0000EE"/>
                  <w:w w:val="99"/>
                </w:rPr>
                <w:t>7</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1B.</w:t>
              </w:r>
            </w:hyperlink>
          </w:p>
        </w:tc>
        <w:tc>
          <w:tcPr>
            <w:tcW w:w="862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Unresolved Staff Comments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14</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w:t>
              </w:r>
            </w:hyperlink>
          </w:p>
        </w:tc>
        <w:tc>
          <w:tcPr>
            <w:tcW w:w="862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Properties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14</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3.</w:t>
              </w:r>
            </w:hyperlink>
          </w:p>
        </w:tc>
        <w:tc>
          <w:tcPr>
            <w:tcW w:w="862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Legal Proceedings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14</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4.</w:t>
              </w:r>
            </w:hyperlink>
          </w:p>
        </w:tc>
        <w:tc>
          <w:tcPr>
            <w:tcW w:w="862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Mine Safety Disclosures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14</w:t>
              </w:r>
            </w:hyperlink>
          </w:p>
        </w:tc>
      </w:tr>
      <w:tr>
        <w:trPr>
          <w:trHeight w:val="432"/>
        </w:trPr>
        <w:tc>
          <w:tcPr>
            <w:tcW w:w="140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PART II</w:t>
              </w:r>
            </w:hyperlink>
          </w:p>
        </w:tc>
        <w:tc>
          <w:tcPr>
            <w:tcW w:w="8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5.</w:t>
              </w:r>
            </w:hyperlink>
          </w:p>
        </w:tc>
        <w:tc>
          <w:tcPr>
            <w:tcW w:w="8620" w:type="dxa"/>
            <w:vAlign w:val="bottom"/>
          </w:tcPr>
          <w:p>
            <w:pPr>
              <w:ind w:left="120"/>
              <w:spacing w:after="0"/>
              <w:rPr>
                <w:rFonts w:ascii="Arial" w:cs="Arial" w:eastAsia="Arial" w:hAnsi="Arial"/>
                <w:sz w:val="18"/>
                <w:szCs w:val="18"/>
                <w:u w:val="single" w:color="auto"/>
                <w:color w:val="0000EE"/>
                <w:w w:val="95"/>
              </w:rPr>
            </w:pPr>
            <w:hyperlink w:anchor="page19">
              <w:r>
                <w:rPr>
                  <w:rFonts w:ascii="Arial" w:cs="Arial" w:eastAsia="Arial" w:hAnsi="Arial"/>
                  <w:sz w:val="18"/>
                  <w:szCs w:val="18"/>
                  <w:u w:val="single" w:color="auto"/>
                  <w:color w:val="0000EE"/>
                  <w:w w:val="95"/>
                </w:rPr>
                <w:t>Market for Registrant's Common Equity, Related Stockholder Matters and Issuer Purchases of Equity Securities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15</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6.</w:t>
              </w:r>
            </w:hyperlink>
          </w:p>
        </w:tc>
        <w:tc>
          <w:tcPr>
            <w:tcW w:w="862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Selected Financial Data</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15</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7.</w:t>
              </w:r>
            </w:hyperlink>
          </w:p>
        </w:tc>
        <w:tc>
          <w:tcPr>
            <w:tcW w:w="8620" w:type="dxa"/>
            <w:vAlign w:val="bottom"/>
          </w:tcPr>
          <w:p>
            <w:pPr>
              <w:ind w:left="1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15</w:t>
              </w:r>
            </w:hyperlink>
          </w:p>
        </w:tc>
      </w:tr>
      <w:tr>
        <w:trPr>
          <w:trHeight w:val="432"/>
        </w:trPr>
        <w:tc>
          <w:tcPr>
            <w:tcW w:w="1400" w:type="dxa"/>
            <w:vAlign w:val="bottom"/>
          </w:tcPr>
          <w:p>
            <w:pPr>
              <w:ind w:left="500"/>
              <w:spacing w:after="0"/>
              <w:rPr>
                <w:rFonts w:ascii="Arial" w:cs="Arial" w:eastAsia="Arial" w:hAnsi="Arial"/>
                <w:sz w:val="18"/>
                <w:szCs w:val="18"/>
                <w:color w:val="0000EE"/>
              </w:rPr>
            </w:pPr>
            <w:hyperlink w:anchor="page26">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862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Quantitative and Qualitative Disclosures about Market Risk</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22</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8.</w:t>
              </w:r>
            </w:hyperlink>
          </w:p>
        </w:tc>
        <w:tc>
          <w:tcPr>
            <w:tcW w:w="862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Financial Statements and Supplementary Data</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22</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9.</w:t>
              </w:r>
            </w:hyperlink>
          </w:p>
        </w:tc>
        <w:tc>
          <w:tcPr>
            <w:tcW w:w="862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Changes in and Disagreements with Accountants on Accounting and Financial Disclosure</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22</w:t>
              </w:r>
            </w:hyperlink>
          </w:p>
        </w:tc>
      </w:tr>
      <w:tr>
        <w:trPr>
          <w:trHeight w:val="432"/>
        </w:trPr>
        <w:tc>
          <w:tcPr>
            <w:tcW w:w="1400" w:type="dxa"/>
            <w:vAlign w:val="bottom"/>
          </w:tcPr>
          <w:p>
            <w:pPr>
              <w:ind w:left="500"/>
              <w:spacing w:after="0"/>
              <w:rPr>
                <w:rFonts w:ascii="Arial" w:cs="Arial" w:eastAsia="Arial" w:hAnsi="Arial"/>
                <w:sz w:val="18"/>
                <w:szCs w:val="18"/>
                <w:color w:val="0000EE"/>
              </w:rPr>
            </w:pPr>
            <w:hyperlink w:anchor="page26">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862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22</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9B.</w:t>
              </w:r>
            </w:hyperlink>
          </w:p>
        </w:tc>
        <w:tc>
          <w:tcPr>
            <w:tcW w:w="8620" w:type="dxa"/>
            <w:vAlign w:val="bottom"/>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Other Information</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26</w:t>
              </w:r>
            </w:hyperlink>
          </w:p>
        </w:tc>
      </w:tr>
      <w:tr>
        <w:trPr>
          <w:trHeight w:val="432"/>
        </w:trPr>
        <w:tc>
          <w:tcPr>
            <w:tcW w:w="140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PART III</w:t>
              </w:r>
            </w:hyperlink>
          </w:p>
        </w:tc>
        <w:tc>
          <w:tcPr>
            <w:tcW w:w="8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400" w:type="dxa"/>
            <w:vAlign w:val="bottom"/>
          </w:tcPr>
          <w:p>
            <w:pPr>
              <w:ind w:left="500"/>
              <w:spacing w:after="0"/>
              <w:rPr>
                <w:rFonts w:ascii="Arial" w:cs="Arial" w:eastAsia="Arial" w:hAnsi="Arial"/>
                <w:sz w:val="18"/>
                <w:szCs w:val="18"/>
                <w:color w:val="0000EE"/>
              </w:rPr>
            </w:pPr>
            <w:hyperlink w:anchor="page30">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8620" w:type="dxa"/>
            <w:vAlign w:val="bottom"/>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Directors, Executive Officers and Corporate Governance</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26</w:t>
              </w:r>
            </w:hyperlink>
          </w:p>
        </w:tc>
      </w:tr>
      <w:tr>
        <w:trPr>
          <w:trHeight w:val="432"/>
        </w:trPr>
        <w:tc>
          <w:tcPr>
            <w:tcW w:w="1400" w:type="dxa"/>
            <w:vAlign w:val="bottom"/>
          </w:tcPr>
          <w:p>
            <w:pPr>
              <w:ind w:left="5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11.</w:t>
              </w:r>
            </w:hyperlink>
          </w:p>
        </w:tc>
        <w:tc>
          <w:tcPr>
            <w:tcW w:w="8620" w:type="dxa"/>
            <w:vAlign w:val="bottom"/>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Executive Compensation</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26</w:t>
              </w:r>
            </w:hyperlink>
          </w:p>
        </w:tc>
      </w:tr>
      <w:tr>
        <w:trPr>
          <w:trHeight w:val="432"/>
        </w:trPr>
        <w:tc>
          <w:tcPr>
            <w:tcW w:w="1400" w:type="dxa"/>
            <w:vAlign w:val="bottom"/>
          </w:tcPr>
          <w:p>
            <w:pPr>
              <w:ind w:left="500"/>
              <w:spacing w:after="0"/>
              <w:rPr>
                <w:rFonts w:ascii="Arial" w:cs="Arial" w:eastAsia="Arial" w:hAnsi="Arial"/>
                <w:sz w:val="18"/>
                <w:szCs w:val="18"/>
                <w:color w:val="0000EE"/>
              </w:rPr>
            </w:pPr>
            <w:hyperlink w:anchor="page30">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8620" w:type="dxa"/>
            <w:vAlign w:val="bottom"/>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Security Ownership of Certain Beneficial Owners and Management and Related Stockholder Matters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26</w:t>
              </w:r>
            </w:hyperlink>
          </w:p>
        </w:tc>
      </w:tr>
      <w:tr>
        <w:trPr>
          <w:trHeight w:val="432"/>
        </w:trPr>
        <w:tc>
          <w:tcPr>
            <w:tcW w:w="1400" w:type="dxa"/>
            <w:vAlign w:val="bottom"/>
          </w:tcPr>
          <w:p>
            <w:pPr>
              <w:ind w:left="500"/>
              <w:spacing w:after="0"/>
              <w:rPr>
                <w:rFonts w:ascii="Arial" w:cs="Arial" w:eastAsia="Arial" w:hAnsi="Arial"/>
                <w:sz w:val="18"/>
                <w:szCs w:val="18"/>
                <w:color w:val="0000EE"/>
              </w:rPr>
            </w:pPr>
            <w:hyperlink w:anchor="page30">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8620" w:type="dxa"/>
            <w:vAlign w:val="bottom"/>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Certain Relationships and Related Transactions, and Director Independence</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26</w:t>
              </w:r>
            </w:hyperlink>
          </w:p>
        </w:tc>
      </w:tr>
      <w:tr>
        <w:trPr>
          <w:trHeight w:val="432"/>
        </w:trPr>
        <w:tc>
          <w:tcPr>
            <w:tcW w:w="1400" w:type="dxa"/>
            <w:vAlign w:val="bottom"/>
          </w:tcPr>
          <w:p>
            <w:pPr>
              <w:ind w:left="500"/>
              <w:spacing w:after="0"/>
              <w:rPr>
                <w:rFonts w:ascii="Arial" w:cs="Arial" w:eastAsia="Arial" w:hAnsi="Arial"/>
                <w:sz w:val="18"/>
                <w:szCs w:val="18"/>
                <w:color w:val="0000EE"/>
              </w:rPr>
            </w:pPr>
            <w:hyperlink w:anchor="page30">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8620" w:type="dxa"/>
            <w:vAlign w:val="bottom"/>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Principal Accounting Fees and Services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26</w:t>
              </w:r>
            </w:hyperlink>
          </w:p>
        </w:tc>
      </w:tr>
      <w:tr>
        <w:trPr>
          <w:trHeight w:val="432"/>
        </w:trPr>
        <w:tc>
          <w:tcPr>
            <w:tcW w:w="140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PART IV</w:t>
              </w:r>
            </w:hyperlink>
          </w:p>
        </w:tc>
        <w:tc>
          <w:tcPr>
            <w:tcW w:w="8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400" w:type="dxa"/>
            <w:vAlign w:val="bottom"/>
          </w:tcPr>
          <w:p>
            <w:pPr>
              <w:ind w:left="500"/>
              <w:spacing w:after="0"/>
              <w:rPr>
                <w:rFonts w:ascii="Arial" w:cs="Arial" w:eastAsia="Arial" w:hAnsi="Arial"/>
                <w:sz w:val="18"/>
                <w:szCs w:val="18"/>
                <w:color w:val="0000EE"/>
              </w:rPr>
            </w:pPr>
            <w:hyperlink w:anchor="page31">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862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Exhibits, Financial Statement Schedules</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27</w:t>
              </w:r>
            </w:hyperlink>
          </w:p>
        </w:tc>
      </w:tr>
      <w:tr>
        <w:trPr>
          <w:trHeight w:val="432"/>
        </w:trPr>
        <w:tc>
          <w:tcPr>
            <w:tcW w:w="1400" w:type="dxa"/>
            <w:vAlign w:val="bottom"/>
          </w:tcPr>
          <w:p>
            <w:pPr>
              <w:ind w:left="500"/>
              <w:spacing w:after="0"/>
              <w:rPr>
                <w:rFonts w:ascii="Arial" w:cs="Arial" w:eastAsia="Arial" w:hAnsi="Arial"/>
                <w:sz w:val="18"/>
                <w:szCs w:val="18"/>
                <w:color w:val="0000EE"/>
              </w:rPr>
            </w:pPr>
            <w:hyperlink w:anchor="page31">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862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Form 10-K summary</w:t>
              </w:r>
            </w:hyperlink>
          </w:p>
        </w:tc>
        <w:tc>
          <w:tcPr>
            <w:tcW w:w="122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27</w:t>
              </w:r>
            </w:hyperlink>
          </w:p>
        </w:tc>
      </w:tr>
      <w:tr>
        <w:trPr>
          <w:trHeight w:val="432"/>
        </w:trPr>
        <w:tc>
          <w:tcPr>
            <w:tcW w:w="1400" w:type="dxa"/>
            <w:vAlign w:val="bottom"/>
          </w:tcPr>
          <w:p>
            <w:pPr>
              <w:spacing w:after="0"/>
              <w:rPr>
                <w:sz w:val="24"/>
                <w:szCs w:val="24"/>
                <w:color w:val="auto"/>
              </w:rPr>
            </w:pPr>
          </w:p>
        </w:tc>
        <w:tc>
          <w:tcPr>
            <w:tcW w:w="8620" w:type="dxa"/>
            <w:vAlign w:val="bottom"/>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tc>
        <w:tc>
          <w:tcPr>
            <w:tcW w:w="122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862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 Index</w:t>
              </w:r>
            </w:hyperlink>
          </w:p>
        </w:tc>
        <w:tc>
          <w:tcPr>
            <w:tcW w:w="1220" w:type="dxa"/>
            <w:vAlign w:val="bottom"/>
          </w:tcPr>
          <w:p>
            <w:pPr>
              <w:spacing w:after="0"/>
              <w:rPr>
                <w:sz w:val="24"/>
                <w:szCs w:val="24"/>
                <w:color w:val="auto"/>
              </w:rPr>
            </w:pPr>
          </w:p>
        </w:tc>
      </w:tr>
      <w:tr>
        <w:trPr>
          <w:trHeight w:val="790"/>
        </w:trPr>
        <w:tc>
          <w:tcPr>
            <w:tcW w:w="140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14"/>
        <w:spacing w:after="0" w:line="267" w:lineRule="auto"/>
        <w:rPr>
          <w:sz w:val="20"/>
          <w:szCs w:val="20"/>
          <w:color w:val="auto"/>
        </w:rPr>
      </w:pPr>
      <w:r>
        <w:rPr>
          <w:rFonts w:ascii="Arial" w:cs="Arial" w:eastAsia="Arial" w:hAnsi="Arial"/>
          <w:sz w:val="17"/>
          <w:szCs w:val="17"/>
          <w:i w:val="1"/>
          <w:iCs w:val="1"/>
          <w:color w:val="auto"/>
        </w:rPr>
        <w:t xml:space="preserve">This Annual Report on Form 10-K contains statements that are not statements of historical fact and are forward-looking statements within the meaning of Section 27A of the Securities Act of 1933 and Section 21E of the Securities Exchange Act of 1934 (the </w:t>
      </w: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w:t>
      </w:r>
      <w:r>
        <w:rPr>
          <w:rFonts w:ascii="Arial" w:cs="Arial" w:eastAsia="Arial" w:hAnsi="Arial"/>
          <w:sz w:val="17"/>
          <w:szCs w:val="17"/>
          <w:i w:val="1"/>
          <w:iCs w:val="1"/>
          <w:color w:val="auto"/>
        </w:rPr>
        <w:t xml:space="preserve">), each as amended. The forward-looking statements are principally, but not exclusively, contained in </w:t>
      </w:r>
      <w:r>
        <w:rPr>
          <w:rFonts w:ascii="Arial" w:cs="Arial" w:eastAsia="Arial" w:hAnsi="Arial"/>
          <w:sz w:val="17"/>
          <w:szCs w:val="17"/>
          <w:color w:val="auto"/>
        </w:rPr>
        <w:t>“</w:t>
      </w:r>
      <w:r>
        <w:rPr>
          <w:rFonts w:ascii="Arial" w:cs="Arial" w:eastAsia="Arial" w:hAnsi="Arial"/>
          <w:sz w:val="17"/>
          <w:szCs w:val="17"/>
          <w:i w:val="1"/>
          <w:iCs w:val="1"/>
          <w:color w:val="auto"/>
        </w:rPr>
        <w:t>Item 1: Business</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Item 7: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Arial" w:cs="Arial" w:eastAsia="Arial" w:hAnsi="Arial"/>
          <w:sz w:val="17"/>
          <w:szCs w:val="17"/>
          <w:color w:val="auto"/>
        </w:rPr>
        <w:t>’</w:t>
      </w:r>
      <w:r>
        <w:rPr>
          <w:rFonts w:ascii="Arial" w:cs="Arial" w:eastAsia="Arial" w:hAnsi="Arial"/>
          <w:sz w:val="17"/>
          <w:szCs w:val="17"/>
          <w:i w:val="1"/>
          <w:iCs w:val="1"/>
          <w:color w:val="auto"/>
        </w:rPr>
        <w:t xml:space="preserve">s confidence or expectations, our business strategy, our ability to raise capital or borrow funds to consummate acquisitions and the availability of attractive acquisition candidates, our expectations regarding future costs of product revenues, our anticipated compliance with the covenants contained in our credit facility, the adequacy of our financial resources and our plans, objectives, expectations and intentions that are not historical facts. In some cases, you can identify forward-looking statements by terms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plans,</w:t>
      </w:r>
      <w:r>
        <w:rPr>
          <w:rFonts w:ascii="Arial" w:cs="Arial" w:eastAsia="Arial" w:hAnsi="Arial"/>
          <w:sz w:val="17"/>
          <w:szCs w:val="17"/>
          <w:color w:val="auto"/>
        </w:rPr>
        <w:t>” “</w:t>
      </w:r>
      <w:r>
        <w:rPr>
          <w:rFonts w:ascii="Arial" w:cs="Arial" w:eastAsia="Arial" w:hAnsi="Arial"/>
          <w:sz w:val="17"/>
          <w:szCs w:val="17"/>
          <w:i w:val="1"/>
          <w:iCs w:val="1"/>
          <w:color w:val="auto"/>
        </w:rPr>
        <w:t>aim,</w:t>
      </w:r>
      <w:r>
        <w:rPr>
          <w:rFonts w:ascii="Arial" w:cs="Arial" w:eastAsia="Arial" w:hAnsi="Arial"/>
          <w:sz w:val="17"/>
          <w:szCs w:val="17"/>
          <w:color w:val="auto"/>
        </w:rPr>
        <w:t>” “</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estimates,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projects,</w:t>
      </w:r>
      <w:r>
        <w:rPr>
          <w:rFonts w:ascii="Arial" w:cs="Arial" w:eastAsia="Arial" w:hAnsi="Arial"/>
          <w:sz w:val="17"/>
          <w:szCs w:val="17"/>
          <w:color w:val="auto"/>
        </w:rPr>
        <w:t>” “</w:t>
      </w:r>
      <w:r>
        <w:rPr>
          <w:rFonts w:ascii="Arial" w:cs="Arial" w:eastAsia="Arial" w:hAnsi="Arial"/>
          <w:sz w:val="17"/>
          <w:szCs w:val="17"/>
          <w:i w:val="1"/>
          <w:iCs w:val="1"/>
          <w:color w:val="auto"/>
        </w:rPr>
        <w:t>predicts,</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think,</w:t>
      </w:r>
      <w:r>
        <w:rPr>
          <w:rFonts w:ascii="Arial" w:cs="Arial" w:eastAsia="Arial" w:hAnsi="Arial"/>
          <w:sz w:val="17"/>
          <w:szCs w:val="17"/>
          <w:color w:val="auto"/>
        </w:rPr>
        <w:t>” “</w:t>
      </w:r>
      <w:r>
        <w:rPr>
          <w:rFonts w:ascii="Arial" w:cs="Arial" w:eastAsia="Arial" w:hAnsi="Arial"/>
          <w:sz w:val="17"/>
          <w:szCs w:val="17"/>
          <w:i w:val="1"/>
          <w:iCs w:val="1"/>
          <w:color w:val="auto"/>
        </w:rPr>
        <w:t>strategy,</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objectives,</w:t>
      </w:r>
      <w:r>
        <w:rPr>
          <w:rFonts w:ascii="Arial" w:cs="Arial" w:eastAsia="Arial" w:hAnsi="Arial"/>
          <w:sz w:val="17"/>
          <w:szCs w:val="17"/>
          <w:color w:val="auto"/>
        </w:rPr>
        <w:t>” “</w:t>
      </w:r>
      <w:r>
        <w:rPr>
          <w:rFonts w:ascii="Arial" w:cs="Arial" w:eastAsia="Arial" w:hAnsi="Arial"/>
          <w:sz w:val="17"/>
          <w:szCs w:val="17"/>
          <w:i w:val="1"/>
          <w:iCs w:val="1"/>
          <w:color w:val="auto"/>
        </w:rPr>
        <w:t>optimistic,</w:t>
      </w:r>
      <w:r>
        <w:rPr>
          <w:rFonts w:ascii="Arial" w:cs="Arial" w:eastAsia="Arial" w:hAnsi="Arial"/>
          <w:sz w:val="17"/>
          <w:szCs w:val="17"/>
          <w:color w:val="auto"/>
        </w:rPr>
        <w:t>” “</w:t>
      </w:r>
      <w:r>
        <w:rPr>
          <w:rFonts w:ascii="Arial" w:cs="Arial" w:eastAsia="Arial" w:hAnsi="Arial"/>
          <w:sz w:val="17"/>
          <w:szCs w:val="17"/>
          <w:i w:val="1"/>
          <w:iCs w:val="1"/>
          <w:color w:val="auto"/>
        </w:rPr>
        <w:t>new,</w:t>
      </w:r>
      <w:r>
        <w:rPr>
          <w:rFonts w:ascii="Arial" w:cs="Arial" w:eastAsia="Arial" w:hAnsi="Arial"/>
          <w:sz w:val="17"/>
          <w:szCs w:val="17"/>
          <w:color w:val="auto"/>
        </w:rPr>
        <w:t>” “</w:t>
      </w:r>
      <w:r>
        <w:rPr>
          <w:rFonts w:ascii="Arial" w:cs="Arial" w:eastAsia="Arial" w:hAnsi="Arial"/>
          <w:sz w:val="17"/>
          <w:szCs w:val="17"/>
          <w:i w:val="1"/>
          <w:iCs w:val="1"/>
          <w:color w:val="auto"/>
        </w:rPr>
        <w:t>goal</w:t>
      </w:r>
      <w:r>
        <w:rPr>
          <w:rFonts w:ascii="Arial" w:cs="Arial" w:eastAsia="Arial" w:hAnsi="Arial"/>
          <w:sz w:val="17"/>
          <w:szCs w:val="17"/>
          <w:color w:val="auto"/>
        </w:rPr>
        <w:t xml:space="preserve">” </w:t>
      </w:r>
      <w:r>
        <w:rPr>
          <w:rFonts w:ascii="Arial" w:cs="Arial" w:eastAsia="Arial" w:hAnsi="Arial"/>
          <w:sz w:val="17"/>
          <w:szCs w:val="17"/>
          <w:i w:val="1"/>
          <w:iCs w:val="1"/>
          <w:color w:val="auto"/>
        </w:rPr>
        <w:t>and similar expressions intended to identify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under the heading </w:t>
      </w:r>
      <w:r>
        <w:rPr>
          <w:rFonts w:ascii="Arial" w:cs="Arial" w:eastAsia="Arial" w:hAnsi="Arial"/>
          <w:sz w:val="17"/>
          <w:szCs w:val="17"/>
          <w:color w:val="auto"/>
        </w:rPr>
        <w:t>“</w:t>
      </w:r>
      <w:r>
        <w:rPr>
          <w:rFonts w:ascii="Arial" w:cs="Arial" w:eastAsia="Arial" w:hAnsi="Arial"/>
          <w:sz w:val="17"/>
          <w:szCs w:val="17"/>
          <w:i w:val="1"/>
          <w:iCs w:val="1"/>
          <w:color w:val="auto"/>
        </w:rPr>
        <w:t>Item 1A. 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beginning on page 7 of this Annual Report on Form 10-K.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Arial" w:cs="Arial" w:eastAsia="Arial" w:hAnsi="Arial"/>
          <w:sz w:val="17"/>
          <w:szCs w:val="17"/>
          <w:color w:val="auto"/>
        </w:rPr>
        <w:t>“</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the Company.</w:t>
      </w:r>
      <w:r>
        <w:rPr>
          <w:rFonts w:ascii="Arial" w:cs="Arial" w:eastAsia="Arial" w:hAnsi="Arial"/>
          <w:sz w:val="17"/>
          <w:szCs w:val="17"/>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Harvard Bioscience, Inc., a Delaware corporation,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The COVID-19 pandemic has had a negative impact on our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negatively impacted, and will continue to negatively impact, our sales. Additionally, to ensure business continuity while maintaining a safe environment for employees aligned with guidance from government and health organizations, we transitioned the majority of our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we have maintained operations under these conditions, these measures represent disruptions which can impact productivity including sales and marketing activities. Accordingly, these conditions in addition to the overall impact on the global economy has negatively impacted our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Strategy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began in 1901 under the name Harvard Apparatus. It was founded by Dr. William T. Porter, a Professor of Physiology at Harvard Medical School and a pioneer of physiology education. We have grown over the years with the development and evolution of modern life science research and education. Our early inventions included ventilators based on Dr. Porter’s design, the mechanical syringe pump for drug infusion in the 1950s, and the microprocessor-controlled syringe pump in the 1980s.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of 1996, a group of investors acquired a majority of the then existing business of our predecessor, Harvard Apparatus, Inc. Following this acquisition, our focus was redirected to acquiring complementary companies with innovative technologies while continuing to grow the existing business through internal product development. Since 1996, we have completed multiple business or product line acquisitions related to our continuing operations. Harvard Bioscience, Inc. was incorporated in the State of Delaware in September 2000 and became the successor entity to Harvard Apparatus, Inc. by merger in November 2000.</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first quarter of 2018, we completed two transactions to improve the overall customer and product mix of our business. In January 2018, we acquired Data Sciences International, Inc. (DSI) for approximately $71.1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diversified our customer base deeper into the biopharmaceutical and contract research organization markets. The acquisition also provided opportunities to generate meaningful cost and revenue synergies. Also during the first quarter of 2018, we sold substantially all the assets of our wholly owned subsidiary, Denville Scientific, Inc. (Denville). Denville was a laboratory products distributor with lower average gross margins and deemed no longer core to our strategy.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8, 2019, we announced the departure of the previous President and Chief Executive Officer and the appointment by the Board of Directors of James Green as President and Chief Executive Officer. In addition, on July 18, 2019 we announced the appointment of Michael Rossi as Chief Financial Officer.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Immediately after the appointment of Mr. Green and Mr. Rossi, we began a process to identify opportunities to improve profitability, increase cash flow and enhance internal capabilities to position the business for organic growth. As a result of this assessment, in September 2019 we announced a strategic action plan which included:</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Capitalizing on the strong existing Harvard Bioscience and Data Science franchises and products;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Adding new senior leadership with significant experience with turnarounds and driving growth and operational improvements within global, middle market life science manufacturing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Consolidating sub-scale operations and integrating existing functions and processes to drive scale and reduce fixed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effectiveness of sales and product management to deliver organic sales growth;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cash flow and reducing debt and leverage.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2019, we implemented the 2019 Restructuring Plan to deliver significant cost savings beginning in 2020 and to support delivery of the strategic action plan we announced in September 2019. The 2019 Restructuring Plan includes consolidation of our Connecticut manufacturing plant to our existing Massachusetts site, downsizing of operations in the United Kingdom and a reduction in force across the business equal to approximately 10% of our headcount. The initial initiatives under the 2019 restructuring plan were completed in the second half of 2020.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continued to execute the 2019 Restructuring Plan during the COVID-19 pandemic and expanded the scope of the restructuring by realigning our organizational structure to reduce management layers and accelerated our efforts to move to a leaner organization and operation. As a result of this expanded scope, we eliminated additional headcount during 2020, and in the first quarter of 2021, communicated to employees our plan to consolidate certain engineering operations and eliminate two small facilities in Europe.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portion of the savings generated from these actions is expected to be reinvested to drive profitable growth. We believe these strategic actions will significantly improve our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products support research in 6 different classes of laboratory use: (1) molecular, (2) cellular, (3) tissue, (4) organ, (5) organisms or preclinical and</w:t>
      </w:r>
    </w:p>
    <w:p>
      <w:pPr>
        <w:spacing w:after="0" w:line="46" w:lineRule="exact"/>
        <w:rPr>
          <w:sz w:val="20"/>
          <w:szCs w:val="20"/>
          <w:color w:val="auto"/>
        </w:rPr>
      </w:pPr>
    </w:p>
    <w:p>
      <w:pPr>
        <w:ind w:firstLine="8"/>
        <w:spacing w:after="0" w:line="260" w:lineRule="auto"/>
        <w:tabs>
          <w:tab w:leader="none" w:pos="256"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Historically, our products were marketed and sold in three different product families: PCMI (Physiology, Cellular, Molecular Instruments), DSI (Data Science International) and Ephys (Electrophysiology).</w:t>
      </w:r>
    </w:p>
    <w:p>
      <w:pPr>
        <w:spacing w:after="0" w:line="185"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In 2019, as part of our strategic action plan, we consolidated the products in classes (1), (2), (3), (4) and some products in class (5) into a single product family, Cellular and Molecular Technologies (CMT), that includes 14 individual business lines supporting new drug discovery and development. We also consolidated certain of our products in class (5) into our Preclinical product family, which includes 4 individual business lines supporting the preclinical research phase for drug development. CMT products are primarily sold to academic and government labs and institutions. Preclinical products are primarily sold to pharmaceutical, biotechnology and contract research organizations.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primarily sell our products under several brand names, including Harvard Apparatus, DSI, Ponemah, Buxco, Biochrom, BTX, MCS.</w:t>
      </w:r>
    </w:p>
    <w:p>
      <w:pPr>
        <w:spacing w:after="0" w:line="225" w:lineRule="exact"/>
        <w:rPr>
          <w:sz w:val="20"/>
          <w:szCs w:val="20"/>
          <w:color w:val="auto"/>
        </w:rPr>
      </w:pPr>
    </w:p>
    <w:p>
      <w:pPr>
        <w:jc w:val="both"/>
        <w:ind w:firstLine="414"/>
        <w:spacing w:after="0" w:line="273" w:lineRule="auto"/>
        <w:rPr>
          <w:sz w:val="20"/>
          <w:szCs w:val="20"/>
          <w:color w:val="auto"/>
        </w:rPr>
      </w:pPr>
      <w:r>
        <w:rPr>
          <w:rFonts w:ascii="Arial" w:cs="Arial" w:eastAsia="Arial" w:hAnsi="Arial"/>
          <w:sz w:val="17"/>
          <w:szCs w:val="17"/>
          <w:color w:val="auto"/>
        </w:rPr>
        <w:t>Our solutions range from simple to complex, and generally consist of hardware/firmware/ and software products, augmented with consumables, options, upgrades and post-sales (scientific) services. Sales prices of these products and services range from under $100 to over $100,000. Our products include spectrophotometers that analyze light to detect and quantify a wide range of molecules as well as cell analysis and electroporation and electrofusion systems to influence and/or analyze cellular processes. Other products and services focus on tissue and organ responses to new drugs and encompass wireless monitors, and signal acquisition and analysis functionality. We also feature products that monitor physiology processes in living organisms to study behavior. Many of our proprietary products are leaders in their field.</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In addition to our proprietarily manufactured products, we sell factored products from other manufacturers. These re-distributed products accounted for approximately 15% and 16 % of our revenues for the years ended December 31, 2020 and 2019, respectively. Re-distributed products enable us to act as a single source for our customers’ research needs. They consist of a large variety of complementing instruments or accessories as well as consumables used in experiments involving fluid handling, molecular and cell analysis and tissue, organ and animal research. Following is a description of each product family.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Cellular and Molecular Technologies Product Family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CMT product family includes products designed primarily to support the discovery phase of new drug development. CMT products include:</w:t>
      </w:r>
    </w:p>
    <w:p>
      <w:pPr>
        <w:spacing w:after="0" w:line="237" w:lineRule="exact"/>
        <w:rPr>
          <w:sz w:val="20"/>
          <w:szCs w:val="20"/>
          <w:color w:val="auto"/>
        </w:rPr>
      </w:pPr>
    </w:p>
    <w:p>
      <w:pPr>
        <w:ind w:left="1060" w:right="48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syringe and peristaltic pump product lines, as well as a broad range of instruments and accessories for tissue, organ-based lab research, including surgical products, infusion systems, and behavior research systems;</w:t>
      </w:r>
    </w:p>
    <w:p>
      <w:pPr>
        <w:spacing w:after="0" w:line="170" w:lineRule="exact"/>
        <w:rPr>
          <w:rFonts w:ascii="Arial" w:cs="Arial" w:eastAsia="Arial" w:hAnsi="Arial"/>
          <w:sz w:val="18"/>
          <w:szCs w:val="18"/>
          <w:color w:val="auto"/>
        </w:rPr>
      </w:pPr>
    </w:p>
    <w:p>
      <w:pPr>
        <w:ind w:left="1060" w:right="1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spectrophotometers, microplate readers, amino acid analyzers, gel electrophoresis equipment, electroporation and electrofusion instruments which primarily support molecular level testing and research; and</w:t>
      </w:r>
    </w:p>
    <w:p>
      <w:pPr>
        <w:spacing w:after="0" w:line="170" w:lineRule="exact"/>
        <w:rPr>
          <w:rFonts w:ascii="Arial" w:cs="Arial" w:eastAsia="Arial" w:hAnsi="Arial"/>
          <w:sz w:val="18"/>
          <w:szCs w:val="18"/>
          <w:color w:val="auto"/>
        </w:rPr>
      </w:pPr>
    </w:p>
    <w:p>
      <w:pPr>
        <w:ind w:left="1060" w:right="40" w:hanging="323"/>
        <w:spacing w:after="0" w:line="26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precision scientific measuring instrumentation and equipment in the field of electrophysiology such as: data acquisition systems with custom amplifier configurations for cellular analysis, complete micro electrode array solutions for in vivo recordings and in vitro systems for extracellular recordings.</w:t>
      </w:r>
    </w:p>
    <w:p>
      <w:pPr>
        <w:spacing w:after="0" w:line="184"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Our CMT product family made up approximately 57% and 63% of our global revenues for the years ended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Product Family</w:t>
      </w:r>
    </w:p>
    <w:p>
      <w:pPr>
        <w:spacing w:after="0" w:line="225" w:lineRule="exact"/>
        <w:rPr>
          <w:sz w:val="20"/>
          <w:szCs w:val="20"/>
          <w:color w:val="auto"/>
        </w:rPr>
      </w:pPr>
    </w:p>
    <w:p>
      <w:pPr>
        <w:ind w:right="20" w:firstLine="414"/>
        <w:spacing w:after="0" w:line="308" w:lineRule="auto"/>
        <w:rPr>
          <w:sz w:val="20"/>
          <w:szCs w:val="20"/>
          <w:color w:val="auto"/>
        </w:rPr>
      </w:pPr>
      <w:r>
        <w:rPr>
          <w:rFonts w:ascii="Arial" w:cs="Arial" w:eastAsia="Arial" w:hAnsi="Arial"/>
          <w:sz w:val="17"/>
          <w:szCs w:val="17"/>
          <w:color w:val="auto"/>
        </w:rPr>
        <w:t>Our Preclinical product family provides a complete platform to assess physiological data from organisms for research ranging from basic research to drug discovery, and drug development services. The Preclinical product family consists of the DSI and Buxco brands. It includes:</w:t>
      </w:r>
    </w:p>
    <w:p>
      <w:pPr>
        <w:spacing w:after="0" w:line="146" w:lineRule="exact"/>
        <w:rPr>
          <w:sz w:val="20"/>
          <w:szCs w:val="20"/>
          <w:color w:val="auto"/>
        </w:rPr>
      </w:pPr>
    </w:p>
    <w:p>
      <w:pPr>
        <w:ind w:left="980" w:right="3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most comprehensive portfolio of implantable and externally-worn telemetry systems, which are commonly used in research to collect cardiovascular, central nervous system, respiratory, metabolic data;</w:t>
      </w:r>
    </w:p>
    <w:p>
      <w:pPr>
        <w:spacing w:after="0" w:line="170"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turn-key respiratory system solutions encompassing plethysmograph chambers, data acquisition hardware, physiological signal analysis software, and final report generation;</w:t>
      </w:r>
    </w:p>
    <w:p>
      <w:pPr>
        <w:spacing w:after="0" w:line="170" w:lineRule="exact"/>
        <w:rPr>
          <w:rFonts w:ascii="Arial" w:cs="Arial" w:eastAsia="Arial" w:hAnsi="Arial"/>
          <w:sz w:val="18"/>
          <w:szCs w:val="18"/>
          <w:color w:val="auto"/>
        </w:rPr>
      </w:pPr>
    </w:p>
    <w:p>
      <w:pPr>
        <w:ind w:left="980" w:right="7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inhalation and exposure systems providing precise, homogenous aerosol delivery for up to 42 subjects, while integrating respiratory parameters for the ultimate delivered dose system; and</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powerful GLP-capable data acquisition and analysis systems, capable of integrating third party sensors for a more comprehensive study design.</w:t>
      </w:r>
    </w:p>
    <w:p>
      <w:pPr>
        <w:spacing w:after="0" w:line="170"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DSI’s direct sales force supports North America, Europe, and China, with distributors supporting the rest of the world. Our Preclinical products made up approximately 43% and 37% of our global revenues for the year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end-user customers are primarily research scientists at pharmaceutical and biotechnology companies, universities, hospitals, government laboratories, including the United States National Institutes of Health (NIH), and contract research organizations (CROs). Our pharmaceutical and biotechnology customers have included pharmaceutical companies and research laboratories such as Pfizer, Amgen, Inc., AstraZeneca plc, Genentech, Inc. and Johnson &amp; Johnson. Our academic customers include major colleges and universities including Harvard University, Cambridge University, Johns Hopkins University, Massachusetts Institute of Technology, Yale University, the University of California system, Baylor College of Medicine, and the University of Texas - MD Anderson Center. Our CRO customers include Covance and Charles River Laboratories. We have a wide range of diverse customers worldwide and no customer accounted for more than 10% of our revenues in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conduct direct sales in the United States, the United Kingdom, Germany, France, Italy, Spain, Sweden, Canada and China. We sell primarily through distributors in other countries. For the year ended December 31, 2020, revenues from direct sales to end-users represented approximately 65% of our revenues; and revenues from sales of our products through distributors represented approximately 35% of our revenues.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Sales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a global sales organization managing both direct sales and distributors. Our websites and catalogs serve as the primary sales tool for our product lines, which includes both proprietary manufactured products and complementary products from various suppliers. Our reputation as a leading producer of many of our manufactured products creates traffic to our websites, enables cross-selling and facilitates the introduction of new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through Distributors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engage distributors for the sales of our own branded and private label products in certain areas of the world and for certain product lines.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centralized marketing group, which encompasses product management, field-marketing and market communications and application science. Marketing maintains value -proposition based product roadmaps, collaborates with research and development on timing and investment for new products, supports direct and distributor sales activities, sets the global pricing of our products and conceives the storylines on how to sell our products. Marketing also maintains digital presence across the web and social media, creates electronic leads and analyzes opportunities for new product portfolio extensions.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principal research and development mission is to develop products that address growth opportunities within the life science research process as well as to maintain and optimize our existing product portfolios. We maintain development staff in many of our manufacturing facilities to design and develop new products and to re-engineer existing products to bring them to the next generation. Our research and development expenses were approximately $8.7 million and $10.7 million for the years ended December 31, 2020 and 2019, respectively. We anticipate that we will continue to make investments in research and development activities as we deem appropriate. We plan to continue to pursue a balanced development portfolio strategy of originating new products from internal research and acquiring products through business and technology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manufacture and test the majority of our products in our principal manufacturing facilities located in the United States, Sweden, Spain and Germany. We have considerable manufacturing flexibility at our various facilities, and each facility can manufacture multiple products at the same time. We maintain in-house manufacturing expertise, technologies and resources. We seek to maintain multiple suppliers for key components that are not manufactured in-house, and while some of our products are dependent on sole-source suppliers, we do not believe our dependence upon these suppliers creates any significant risks. Our manufacturing operations primarily involve assembly and testing activities along with some machine-based processes. Going forward we will continue to evaluate our manufacturing facilities and operations in order to optimize our manufacturing footprint.</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“Part I, Item 2. Properties” of this report for additional information regarding our manufacturing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markets into which we sell our products are highly competitive, and we expect the intensity of competition to continue or increase. We compete with many companies engaged in developing and selling tools for life science research. Many of our competitors have greater financial, operational, sales and marketing resources and more experience in research and development and commercialization than we have. Moreover, our competitors may have greater name recognition than we do, and many offer discounts as a competitive tactic. These competitors and other companies may have developed or could in the future develop new technologies that compete with our products, which could render our products obsolete. We cannot assure you that we will be able to make the enhancements to our technologies necessary to compete successfully with newly emerging technologies. We believe that we offer one of the broadest selections of products to organizations engaged in life science research. We have numerous competitors on a product line basis. We believe that we compete favorably with our competitors on the basis of product performance, including quality, reliability, speed, technical support, price and delivery time.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compete with several companies that provide instruments for life science research including, Lonza Group Ltd., Becton Dickinson, Eppendorf AG, Kent Scientific Corporation, Razel Scientific Instruments, Inc., Ugo Basile, Danaher Corporation, Bio-Rad Laboratories, Inc., PerkinElmer, Inc., Thermo Fisher Scientific, Inc. Notocord, Emka Technologies and TSE Systems.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cannot forecast if or when these or other companies may develop competitive products. We expect that other products will compete with our products and potential products based on efficacy, safety, cost and intellectual property positions. While we believe that these will be the primary competitive factors, other factors include, in certain instances, availability of supply, manufacturing, marketing and sales expertise and capability.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Sales and earnings in our third quarter are usually flat or down from the second quarter primarily because there are a large number of holidays and vacations during such quarter, especially in Europe. Our fourth quarter revenues and earnings are often the highest in any fiscal year compared to the other three quarters, primarily because many of our customers tend to spend budgeted money before their own fiscal year 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establish and protect our proprietary technologies and products, we rely on a combination of patent, copyright, trademark and trade secret laws, as well as confidentiality provisions in our contracts. Patents or patent applications cover certain of our new technologies. Most of our more mature product lines are protected by trade names and trade secrets only.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implemented a patent strategy designed to provide us with freedom to operate and facilitate commercialization of our current and future products. Our success depends, to a significant degree, upon our ability to develop proprietary products and technologies. We intend to continue to file patent applications as we develop new products and technologies.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Patents provide some degree of protection for our intellectual property. However, the assertion of patent protection involves complex legal and factual determinations and is therefore uncertain. The scope of any of our issued patents may not be sufficiently broad to offer meaningful protection. In addition, our issued patents or patents licensed to us may be successfully challenged, invalidated, circumvented or unenforceable so that our patent rights would not create an effective competitive barrier. Moreover, the laws of some foreign countries may protect our proprietary rights to a greater or lesser extent than the laws of the United States. In addition, the laws governing patentability and the scope of patent coverage continue to evolve, particularly in areas of interest to us. As a result, there can be no assurance that patents will be issued from any of our patent applications or from applications licensed to us. As a result of these factors, our intellectual property positions bear some degree of uncertainty.</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rely in part on trade 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copyrights arising from their work for us. Although many of our United States employees have signed agreements not to compete unfairly with us during their employment and after termination of their employment, through the misuse of confidential information, soliciting employees, soliciting customers and the like, the enforceability of these provisions varies from jurisdiction to jurisdiction and, in some circumstances, they may not be enforceable. In addition, it is possible that these agreements may be breached or invalidated and if so, there may not be an adequate corrective remedy available. Despite the measures we have taken to protect our intellectual property, we cannot assure you that third parties will not independently discover or invent competing technologies or reverse engineer our trade secrets or other technologies. Therefore, the measures we are taking to protect our proprietary rights may not be adequate.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our products infringe on the intellectual property rights of any third party. We cannot assure you, however, that third parties will not claim such infringement by us or our licensors with respect to current or future products. We expect that product developers in our market will increasingly be subject to such claims as the number of products and competitors in our market segment grows and the product functionality in different market segments overlaps. In addition, patents on production and business methods are becoming more common and we expect that more patents will be issued in our technical field. Any such claims, with or without merit, could be time-consuming, result in costly litigation and diversion of management’s attention and resources, cause product shipment delays or require us to enter into royalty or licensing agreements. Moreover, such royalty or licensing agreements, if required, may not be on terms advantageous to us, or acceptable at all, which could seriously harm our business or financial condition.</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“Harvard” is a registered trademark of Harvard University. The marks “Harvard Apparatus” and “Harvard Bioscience” are being used pursuant to a license agreement entered into in December 2002 between us and Harvard University.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not subject to direct governmental regulation other than the laws and regulations generally applicable to businesses in the domestic and foreign jurisdictions in which we operate. In particular, our current products are not subject to pre-market approval by the United States Food and Drug Administration (“FDA”) for use on human clinical patients. In addition, we believe we are materially in compliance with all relevant environmental laws.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we employed 459 employees, which includes 428 full-time employees. Some of our employees in Europe have statutory collective bargaining rights. We have never experienced a general work stoppage or strike, and management believes that our relations with our employees are good. Additional information about our employees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Employees by country:</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Country</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Full time</w:t>
            </w:r>
          </w:p>
        </w:tc>
        <w:tc>
          <w:tcPr>
            <w:tcW w:w="60" w:type="dxa"/>
            <w:vAlign w:val="bottom"/>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Part time</w:t>
            </w: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Germany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Spain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Rest of World</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413"/>
        </w:trPr>
        <w:tc>
          <w:tcPr>
            <w:tcW w:w="47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Employees by business function:</w:t>
            </w:r>
          </w:p>
        </w:tc>
        <w:tc>
          <w:tcPr>
            <w:tcW w:w="6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Function</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Full time</w:t>
            </w:r>
          </w:p>
        </w:tc>
        <w:tc>
          <w:tcPr>
            <w:tcW w:w="60" w:type="dxa"/>
            <w:vAlign w:val="bottom"/>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Part time</w:t>
            </w: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General and adminstrative</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information regarding geographic areas in which we operate is provided in Note 16 to the Consolidated Financial Statements included in “Part IV, Item 15. Exhibits, Financial Statement Schedules”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and Website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website address is www.harvardbioscience.com. Our Annual Report on Form 10-K, Quarterly Reports on Form 10-Q, Current Reports on Form 8-K, and exhibits and amendments to those reports filed or furnished with the Securities and Exchange Commission pursuant to Section 13(a) of the Exchange Act are available for review on our website and the Securities and Exchange Commission’s website at www.sec.gov. Any such materials that we file with, or furnish to, the SEC in the future will be available on our website as soon as reasonably practicable after they are electronically filed with, or furnished to, the SEC. The information on our website is not incorporated by reference into this Annual Report on Form 10-K.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factors should be reviewed carefully, in conjunction with the other information contained in this Annual Report on Form 10-K. As previously discussed, our actual results could differ materially from our forward-looking statements. Our business faces a variety of risks. These risks include those described below and may include additional risks and uncertainties not presently known to us or that we currently deem immaterial. If any of the events or circumstances described in the following risk factors occur, our business operations, performance and financial condition could be adversely affected and the trading price of our common stock could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life sciences industry is very competitive.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to encounter increased competition from both established and development-stage companies that continually enter the market. These include companies developing and marketing life science instruments, systems and lab consumables, health care companies that manufacture laboratory-based tests and analyzers, diagnostic and pharmaceutical companies, analytical instrument companies, and companies developing life science or drug discovery technologies. Currently, our principal competition comes from established companies that provide products that perform many of the same functions for which we market our products. Many of our competitors have substantially greater financial, operational, marketing and technical resources than we do. Moreover, these competitors may offer broader product lines and tactical discounts and may have greater name recognition. In addition, we may face competition from new entrants into the field. We may not have the financial resources, technical expertise or marketing, distribution or support capabilities to compete successfully in the future. In addition, we face changing customer preferences and requirements, including increased customer demand for more environmentally friendly products.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life sciences industry is also subject to rapid technological change and discovery. The development of new or improved products, processes or technologies by other companies may render our products or proposed products obsolete or less competitive. In some instances, our competitors may develop or market products that are more effective or commercially attractive than our current or future products. To meet the evolving needs of customers, we must continually enhance our current and planned products and develop and introduce new products. However, we may experience difficulties that may delay or prevent the successful development, introduction and marketing of new products or product enhancements. In addition, our product lines are based on complex technologies that are subject to change as new technologies are developed and introduced in the marketplace. We may have difficulty in keeping abreast of the changes affecting each of the different markets we serve or intend to serve. Our failure to develop and introduce products in a timely manner in response to changing technology, market demands, or the requirements of our customers could cause our product sales to decline, and we could experience significant losses.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offer, and plan to continue to offer, a broad range of products and have incurred, and expect to continue to incur, substantial expenses for development of new products and enhancements to our existing products. The speed of technological change in our market may prevent us from being able to successfully market some or all of our products for the length of time required to recover development costs. Failure to recover the development costs of one or more products or product lines could decrease our profitability or cause us to experience significant losses.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portion of our revenues are derived from customers from the pharmaceutical and biotechnology industries and are subject to risks faced by those industries. Such risks may adversely affect our financial results.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derive a significant portion of our revenues from pharmaceutical and biotechnology companies. We expect that pharmaceutical and biotechnology companies will continue to be a significant source of our revenues for the foreseeable future, including in our Cellular and Molecular Technologies and Preclinical product families. As a result, we are subject to risks and uncertainties that affect the pharmaceutical and biotechnology industries, such as government regulation, ongoing consolidation, uncertainty of technological change, and reductions and delays in research and development expenditures by companies in these industries.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particular, the biotechnology industry is largely dependent on raising capital to fund its operations. If biotechnology companies that are our customers are unable to obtain the financing necessary to purchase our products, our business and results of operations could be adversely affected. In addition, we are dependent, both directly and indirectly, upon general health care spending patterns, particularly in the research and development budgets of the pharmaceutical and biotechnology industries, as well as upon the financial condition and purchasing patterns of various governments and government agencies. As it relates to both the biotechnology and pharmaceutical industries, many companies have significant patents that have expired or are about to expire, which could result in reduced revenues for those companies. If pharmaceutical or biotechnology companies that are our customers suffer reduced revenues as a result of these patent expirations, they may be unable to purchase our products, and our business and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governmental regulations may reduce demand for our products, adversely impact our revenues, or increase our expenses.</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operate in many markets in which we and our customers must comply with federal, state, local and international regulations. We develop, configure and market our products to meet customer needs created by, and in compliance with, those regulations. These requirements include, among other things, regulations regarding manufacturing practices, product labeling, and advertising and post marketing reporting. We must incur expense and spend time and effort to ensure compliance with these complex regulations. Possible regulatory actions for non-compliance could include warning letters, fines, damages, injunctions, civil penalties, recalls, seizures of our products, and criminal prosecution. These actions could result in, among other things, substantial modifications to our business practices and operations; refunds, recalls, or seizures of our products; a total or partial shutdown of production in one or more of our facilities while we or our suppliers remedy the alleged violation; and withdrawals or suspensions of current products from the market. Any of these events could disrupt our business and have a material adverse effect on our revenues, profitability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research budgets or government funding may adversely affect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Many of our customers are universities, government research laboratories, private foundations and other institutions who are dependent on grants from U.S. government agencies, such as NIH, for funding. These customers represent a significant source of our revenue. Research and development spending by our customers may fluctuate based on spending priorities and general economic conditions. The level of government funding for research and development is unpredictable. In the past, NIH grants have been frozen or otherwise made unavailable for extended periods or directed to certain products. Reductions or delay in governmental spending could cause customers to delay or forego purchases of our products. If government funding necessary for purchase of our products were to decrease, our business and results of operations could be materially, adversely affected. Spending by some of these customers fluctuates based on budget allocations and the timely passage of the annual federal budget. An impasse in federal government budget decisions could lead to substantial delays or reductions in federal spending.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and other risks associated with international revenues and operations.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manufacture and sell our products worldwide and as a result, our business is subject to risks associated with doing business internationally. A substantial amount of our revenues is derived from international operations, and we anticipate that a significant portion of our sales will continue to come from outside the United States in the future. We anticipate that revenues from international operations will likely continue to increase as a result of our efforts to expand our business in markets abroad. In addition, a number of our manufacturing facilities and suppliers are located outside the United States. Our foreign operations subject us to certain risks, including: effects of fluctuations in foreign currency exchange rates; the impact of local economic conditions; local product preferences and seasonality and product requirements; local difficulty to effectively establish and expand our business and operations in international markets; disruptions of capital and trading markets; restrictions and potentially negative tax implications of transfer of capital across borders; differing labor regulations; other factors beyond our control, including potential political instability, terrorism, acts of war, natural disasters and diseases, including the coronavirus discussed below; unexpected changes and increased enforcement of regulatory requirements and various state, federal and international, intellectual property, environmental, antitrust, anti-corruption, fraud and abuse (including anti-kickback and false claims laws) and employment laws; interruption to transportation flows for delivery of parts to us and finished goods to our customers; and laws and regulations on foreign investment in the United States under the jurisdiction of the Committee on Foreign Investment in the United States, or CFIUS, and other agencies, including the Foreign Investment Risk Review Modernization Act, or FIRRMA, adopted in August 2018.</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incur a variety of costs in connection with acquisitions we may seek to consummate in the future, and we may never realize the anticipated benefits of our acquisitions due in part to difficulties integrating the businesses, operations and product lines.</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strategy has historically included the acquisition of businesses, technologies, services or products that we believe are a strategic fit with our business. If we were to undertake future acquisitions, the process of integrating the acquired business, technology, service and/or product(s) may result in unforeseen operating difficulties and expenditures and potentially absorb significant management attention that would otherwise be available for ongoing development of our business. Moreover, we may fail to realize the anticipated benefits of an acquisition as rapidly as expected, or at all. Such transactions are inherently risky, and any such recent or future acquisitions could reduce stockholders’ ownership, cause us to incur debt, expose us to future liabilities and result in amortization expenses related to intangible assets with definite lives, which may adversely impact our ability to undertake future acquisitions on substantially similar terms. We may also incur significant expenditures in anticipation of an acquisition that is never realized.</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ability to achieve the benefits of acquisitions depends in part on the integration and leveraging of technology, operations, sales and marketing channels and personnel. Integration is a complex, time-consuming and expensive process and may disrupt our business if not completed in a timely and efficient manner. We may have difficulty successfully integrating acquired businesses, and their domestic and foreign operations or product lines, and as a result, we may not realize any of the anticipated benefits of the acquisitions we make. We cannot assure that our growth rate will equal the growth rates that have been experienced by us, and these other acquired companies, respectively, operating as separate companies in the past.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22, 2020, we entered into a Credit Agreement (the “Credit Agreement”) with certain financial institutions party thereto as lenders (the “Lenders”), Citizens Bank, N.A., as the administrative agent, and Citizens Bank, Wells Fargo Bank, National Association and Silicon Valley Bank, as joint bookrunners, joint lead arrangers and syndication agents. The Credit Agreement provides for a term loan of $40.0 million and a $25.0 million senior revolving credit facility (collectively, the “Citizens Credit Facility”). The Citizens Credit Facility replaces our prior credit facility with Cerberus Business Finance, LLC, as agent and lender (the “Prior Credit Facility”), and in connection with the entry into the Credit Agreement, we paid off all outstanding borrowings under the Prior Credit Facility. As of December 31, 2020, we had outstanding borrowings of $49.4 million under the Credit Agreement. The Citizens Credit Facility will mature on December 22, 2025.</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terms of the Credit Agreement,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84" w:lineRule="exact"/>
        <w:rPr>
          <w:sz w:val="20"/>
          <w:szCs w:val="20"/>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debt,</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 (including acquisitions),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on our capital stock.</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Credit Agreement contains certain financial covenants, including a maximum consolidated net leverage ratio and a minimum consolidated fixed charge coverage ratio, each of which will be tested at the end of each fiscal quarter of the Company.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not in compliance with certain of these covenants, in addition to other actions the Lenders may require, the amounts outstanding under the Credit Agreement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based upon our actual performance levels, our covenants relating to leverage and fixed charges could limit our ability to incur additional debt, which could hinder our ability to execute our current business strategy.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may such payments, comply with the financial covenants, or any other non-financial or restrictive covenant, would create a default under our Credit Agreement. Our cash flow and existing capital resources may be insufficient to repay our debt at maturity, in which such case prior thereto we would have to extend such maturity date, or otherwise repay, refinance and or restructure the obligations under the Credit Agreement, including with proceeds from the sale of assets, and additional equity or debt capital. If we are unsuccessful in obtaining such extension, or entering into such repayment, refinance or restructure prior to maturity, or any other default existed under the Credit Agreement, our lenders could accelerate the indebtedness under the Credit Agreement, foreclose against their collateral or seek other remedies, which would jeopardize our ability to continue our current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Ethical concerns surrounding the use of our products and misunderstanding of the nature of our business could adversely affect our ability to develop and sell our existing products and new products.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of our products may be used in areas of research involving animal research and other techniques presently being explored in the life science industry. These techniques have drawn negative attention in the public forum. Government authorities may regulate or prohibit any of these activities. Additionally, the public may disfavor or reject these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manage our growth, our operating profits may be adversely impacted.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success will depend on the expansion of our operations through organic growth, and we may execute acquisitions in the future to augment this growth. Effective growth management will place increased demands on our management team, operational and financial resources and expertise. To manage growth, we must optimize our operational, financial and management processes and systems, and hire and train additional qualified personnel. Failure to manage this growth effectively could impair our ability to generate revenues or could cause our expenses to increase more rapidly than revenues, resulting in operating losses or reduced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may have a negative impact on our reported earnings.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subject to the risks of fluctuating foreign currency exchange rates, which could have an adverse effect on the sales price of our products in foreign markets, as well as the costs and expenses of our foreign subsidiaries. A substantial amount of our revenues is derived from international operations, and we anticipate that a significant portion of revenues will continue to come from outside the United States in the future. As a result, currency fluctuations among the United States dollar, British pound, euro and the other currencies in which we do business have caused and will continue to cause foreign currency translation and transaction gains and losses. We have not used forward exchange contracts to hedge our foreign currency exposures. We attempt to manage foreign currency risk through the matching of assets and liabilities. In the future, we may undertake to manage foreign currency risk through hedging methods, including foreign currency contracts. We recognize foreign currency gains or losses arising from our operations in the period incurred. We cannot guarantee that we will be successful in managing foreign currency risk or in predicting the effects of exchange rate fluctuations upon our future operating results because of the number of currencies involved, the variability of currency exposure and the potential volatility of currency exchange rates. We cannot predict with any certainty changes in foreign currency exchange rates or the degree to which we can address these risks.</w:t>
      </w:r>
    </w:p>
    <w:p>
      <w:pPr>
        <w:sectPr>
          <w:pgSz w:w="11900" w:h="16838" w:orient="portrait"/>
          <w:cols w:equalWidth="0" w:num="1">
            <w:col w:w="11240"/>
          </w:cols>
          <w:pgMar w:left="320" w:top="125" w:right="339" w:bottom="15"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5"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or inadequacy of our information technology infrastructure or software could adversely affect our day-to-day operations and decision-making processes and have an adverse effect on our performance.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depend on accurate and timely information and numerical data from key software applications to aid our day-to-day business, financial reporting and decision-making and, in many cases, proprietary and custom-designed software is necessary to operate our business. We are upgrading our disaster recovery procedures for our critical systems. However, any disruption caused by the failure of these systems, the underlying equipment, or communication networks could delay or otherwise adversely impact our day-to-day business and decision making, could make it impossible for us to operate critical equipment, and could have an adverse effect on our performance, if our disaster recovery plans do not mitigate the disruption. Disruptions could be caused by a variety of factors, such as catastrophic events or weather, power outages, or cyber-attacks on our systems by outside parties.</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review our IT systems regularly to assess and implement opportunities to improve or upgrade our enterprise resource planning (ERP) or other information systems required to operate our business effectively. Our ERP systems are critical to our ability to accurately maintain books and records, record transactions, provide important information to our management and prepare our financial statements. The implementation of any IT systems, including ERP systems has required in the past, and may continue to require, the investment of significant financial and human resources. In addition, we may not be able to successfully complete the implementation of the ERP systems without experiencing difficulties. Any disruptions, delays or deficiencies in the design and implementation of any IT system, including ERP systems could adversely affect our ability to process orders, ship products, provide services and customer support, send invoices and track payments, fulfill contractual obligations or otherwise operate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information security incident, including a cybersecurity breach, could have a negative impact to our business or reputation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To meet business objectives, we rely on both internal information technology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our sensitive data. We continually assess these threats and make investments to increase internal protection, detection, and response capabilities, as well as ensure our third-party providers have required capabilities and controls, to address this risk. To date, we have not experienced any material impact to the business or operations resulting from information or cybersecurity attacks; however, because of the frequently changing attack techniques, along with the increased volume and sophistication of the attacks, there is the potential for us to be adversely impacted. This impact could result in reputational, competitive, operational or other business harm as well as financial costs and regulatory action. Additionally, the California Consumer Privacy Act of 2018 (the “CCPA”), which became effective on January 1, 2020, provides private rights of action for data breaches and requires companies that process information on California residents to make new disclosures to consumers about their data collection, use and sharing practices and allow consumers to opt out of certain data sharing with third parties. Compliance with the CCPA and other current and future applicable privacy, cybersecurity and related laws can be costly and time-consuming. Significant capital investments and other expenditures could also be required to remedy cybersecurity problems and prevent future breaches, including costs associated with additional security technologies, personnel, experts and credit monitoring services for those whose data has been breached. These costs, which could be material, could adversely impact our results of operations in the period in which they are incurred and may not meaningfully limit the success of future attempts to breach our information technology systems.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additional restructuring costs or not realize the expected benefits of our initiatives to reduce operating expenses to date and in the future.</w:t>
      </w:r>
    </w:p>
    <w:p>
      <w:pPr>
        <w:spacing w:after="0" w:line="2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not be able to implement all of the actions that we intend to take in the restructuring of our operations, and we may not be able to fully realize the expected benefits from such realignment and restructuring plans or other similar restructurings in the future. In addition, we may incur additional restructuring costs in implementing such realignment and restructuring plans or other similar future plans in excess of our expectations. The implementation of our restructuring efforts, including the reduction of our workforce, may not improve our operational and cost structure or result in greater efficiency of our organization; and we may not be able to support sustainable revenue growth and profitability following such restructurings.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raise additional capital or generate the significant capital necessary to implement our acquisition strategy, expand our operations and invest in new products could reduce our ability to compete and result in less revenues.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anticipate that our financial resources, which include available cash, cash generated from operations, and debt and equity capacity, will be sufficient to finance operations and capital expenditures for at least the next twelve months. However, this expectation is premised on the current operating plan, which may change as a result of many factors, including market acceptance of new products and future opportunities with collaborators. Consequently, we may need additional funding sooner than anticipated. In addition, our borrowings under the Citizens Credit Facility may not be sufficient to fund our acquisition strategy. In such case, our inability to raise sufficient capital on favorable terms and in a timely manner (if at all) could seriously harm our business, product development, and acquisition efforts. In addition, our Credit Agreement contains various negative covenants that, among other things, restrict our ability to incur additional indebtedness and make acquisitions for aggregate consideration in excess of $5.0 million. If future financing is not available or is not available on acceptable terms, we may have to alter our operations or change our business strategy. We cannot assure you that the capital required to fund operations, or our acquisition strategy will be available in the future.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retain key personnel and hire, train and retain qualified employees, we may not be able to compete effectively, which could result in reduced revenue or increased costs.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success is highly dependent on the continued services of key management, technical and scientific personnel. Our management and other employees may voluntarily terminate their employment at any time upon short notice. The loss of the services of any member of the senior management team, including the Chief Executive Officer, James Green; the Chief Financial Officer, Michael Rossi; or any of the managerial, technical or scientific staff may significantly delay or prevent the achievement of product development, our growth strategies and other business objectives. Our future success will also depend on our ability to identify, recruit and retain additional qualified scientific, technical and managerial personnel. We operate in several geographic locations where labor markets are particularly competitive, including the Boston, Massachusetts and Minneapolis, Minnesota metropolitan areas, England, and Germany where demand for personnel with these skills is extremely high and is likely to remain high. As a result, competition for qualified personnel is intense, particularly in the areas of general management, finance, information technology, engineering and science, and the process of hiring suitably qualified personnel is often lengthy and expensive, and may become more expensive in the future. If we are unable to hire and retain a sufficient number of qualified employees, our ability to conduct and expand our business could be seriously reduced.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partly on our ability to operate without infringing on or misappropriating the intellectual property rights of others.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be sued for infringing on the intellectual property rights of others, including the patent rights, trademarks and trade names of third parties. Intellectual property litigation is costly, and the outcome is uncertain. If we do not prevail in any intellectual property litigation, in addition to any damages we might have to pay, we could be required to stop the infringing activity, or obtain a license to or design around the intellectual property in question. If we are unable to obtain a required license on acceptable terms, or are unable to design around any third-party patent, we may be unable to sell some of our products and services, which could result in reduced revenue.</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As a result of our spin-off of Harvard Apparatus Regenerative Technology, Inc., now known as Biostage, together with certain related transactions, third parties may seek to hold us responsible for Biostage</w:t>
      </w:r>
      <w:r>
        <w:rPr>
          <w:rFonts w:ascii="Arial" w:cs="Arial" w:eastAsia="Arial" w:hAnsi="Arial"/>
          <w:sz w:val="16"/>
          <w:szCs w:val="16"/>
          <w:color w:val="auto"/>
        </w:rPr>
        <w:t>’</w:t>
      </w:r>
      <w:r>
        <w:rPr>
          <w:rFonts w:ascii="Arial" w:cs="Arial" w:eastAsia="Arial" w:hAnsi="Arial"/>
          <w:sz w:val="16"/>
          <w:szCs w:val="16"/>
          <w:b w:val="1"/>
          <w:bCs w:val="1"/>
          <w:i w:val="1"/>
          <w:iCs w:val="1"/>
          <w:color w:val="auto"/>
        </w:rPr>
        <w:t>s liabilities, including liabilities that Biostage has assumed from us.</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Third parties may continue to seek to hold us responsible for Biostage’s liabilities, including any of the liabilities that Biostage agreed to retain or assume in connection with the separation of the Biostage business from our businesses, and related spin-off distribution. On April 14, 2017, anticipated representatives for the estate of an individual plaintiff filed a wrongful death complaint with the Suffolk Superior Court, in the County of Suffolk, Massachusetts, against us and other defendants, including Biostage, as well as another third party. The complaint seeks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 We continue to vigorously defend this case by counsel provided by our liability insurance carrier from whom we have requested defense and indemnification for losses incurred related to this lawsuit. Any such product liability insurance coverage may not be sufficient to satisfy all liabilities resulting from this claim. If claims against us substantially exceed our coverage, then our business could be adversely impacted. While we believe that claims made in this lawsuit are without merit, we are unable to predict the ultimate outcome of such litigation. Pursuant to our agreements with Biostage, Biostage has agreed to indemnify us for claims and losses relating to certain liabilities that it has assumed from us, including liabilities in connection with the sale of Biostage’s products, intellectually property infringement and other liabilities related to the operation of Biostage’s business. However, if those liabilities are significant and we are ultimately held liable for them, we cannot assure you that Biostage will have the ability to satisfy its obligations to us, in particular due to Biostage having limited revenues, products in early-stage development and a need for additional funds in the future. If Biostage is unable to satisfy its obligations under its indemnity to us, we may have to satisfy these obligations, which could have an adverse impact on our financial condition, results of operations or cash flows.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raise additional funds through the sale of equity or convertible debt or equity-linked securities, existing percentages of ownership in our common stock will be reduced and these transactions may dilute the value of our outstanding common stock.</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raise additional funds through the sale of equity or convertible debt or equity-linked securities to repay our existing indebtedness, implement our acquisition strategy, expand our operations and/or invest in new products. If we so raise additional funds through such sales, existing percentages of ownership in our common stock will be reduced and these transactions may dilute the value of our outstanding common stock. We may issue securities that have rights, preferences and privileges senior to our common stock. If we raise additional funds through collaborations or licensing arrangements, we may relinquish rights to certain of our technologies or products, or grant licenses to third parties on terms that are unfavorable.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fluctuated in the past and could experience substantial declines in the future.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become volatile and could decline in the future, perhaps substantially, in response to various factors including, but not limited to:</w:t>
      </w:r>
    </w:p>
    <w:p>
      <w:pPr>
        <w:spacing w:after="0" w:line="170" w:lineRule="exact"/>
        <w:rPr>
          <w:sz w:val="20"/>
          <w:szCs w:val="20"/>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sales of our common stock, whether by us or our shareholders;</w:t>
      </w:r>
    </w:p>
    <w:p>
      <w:pPr>
        <w:spacing w:after="0" w:line="23" w:lineRule="exact"/>
        <w:rPr>
          <w:rFonts w:ascii="Arial" w:cs="Arial" w:eastAsia="Arial" w:hAnsi="Arial"/>
          <w:sz w:val="18"/>
          <w:szCs w:val="18"/>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of the financial markets;</w:t>
      </w:r>
    </w:p>
    <w:p>
      <w:pPr>
        <w:spacing w:after="0" w:line="9" w:lineRule="exact"/>
        <w:rPr>
          <w:rFonts w:ascii="Arial" w:cs="Arial" w:eastAsia="Arial" w:hAnsi="Arial"/>
          <w:sz w:val="18"/>
          <w:szCs w:val="18"/>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uncertainty regarding the prospects of the domestic and foreign economies;</w:t>
      </w:r>
    </w:p>
    <w:p>
      <w:pPr>
        <w:spacing w:after="0" w:line="9" w:lineRule="exact"/>
        <w:rPr>
          <w:rFonts w:ascii="Arial" w:cs="Arial" w:eastAsia="Arial" w:hAnsi="Arial"/>
          <w:sz w:val="18"/>
          <w:szCs w:val="18"/>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innovations by competitors or in competing technologies;</w:t>
      </w:r>
    </w:p>
    <w:p>
      <w:pPr>
        <w:spacing w:after="0" w:line="9" w:lineRule="exact"/>
        <w:rPr>
          <w:rFonts w:ascii="Arial" w:cs="Arial" w:eastAsia="Arial" w:hAnsi="Arial"/>
          <w:sz w:val="18"/>
          <w:szCs w:val="18"/>
          <w:color w:val="auto"/>
        </w:rPr>
      </w:pPr>
    </w:p>
    <w:p>
      <w:pPr>
        <w:ind w:left="1340" w:right="420" w:hanging="333"/>
        <w:spacing w:after="0" w:line="250"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and operating results fluctuating or failing to meet the expectations of management, securities analysts, or investors in any quarter;</w:t>
      </w:r>
    </w:p>
    <w:p>
      <w:pPr>
        <w:ind w:left="1340" w:right="500" w:hanging="333"/>
        <w:spacing w:after="0" w:line="250"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comments of securities analysts and mistakes by or misinterpretation of comments from analysts, downward revisions in securities analysts’ estimates or management guidance;</w:t>
      </w:r>
    </w:p>
    <w:p>
      <w:pPr>
        <w:ind w:left="1340" w:hanging="333"/>
        <w:spacing w:after="0"/>
        <w:tabs>
          <w:tab w:leader="none" w:pos="1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investment banks and securities analysts becoming subject to lawsuits that may adversely affect the perception of the market;</w:t>
      </w:r>
    </w:p>
    <w:p>
      <w:pPr>
        <w:spacing w:after="0" w:line="20" w:lineRule="exact"/>
        <w:rPr>
          <w:rFonts w:ascii="Arial" w:cs="Arial" w:eastAsia="Arial" w:hAnsi="Arial"/>
          <w:sz w:val="17"/>
          <w:szCs w:val="17"/>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or trends in the biotechnology and pharmaceutical industries;</w:t>
      </w:r>
    </w:p>
    <w:p>
      <w:pPr>
        <w:spacing w:after="0" w:line="9" w:lineRule="exact"/>
        <w:rPr>
          <w:rFonts w:ascii="Arial" w:cs="Arial" w:eastAsia="Arial" w:hAnsi="Arial"/>
          <w:sz w:val="18"/>
          <w:szCs w:val="18"/>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significant acquisitions or financings or strategic partnerships;</w:t>
      </w:r>
    </w:p>
    <w:p>
      <w:pPr>
        <w:spacing w:after="0" w:line="9" w:lineRule="exact"/>
        <w:rPr>
          <w:rFonts w:ascii="Arial" w:cs="Arial" w:eastAsia="Arial" w:hAnsi="Arial"/>
          <w:sz w:val="18"/>
          <w:szCs w:val="18"/>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DSI acquisition;</w:t>
      </w:r>
    </w:p>
    <w:p>
      <w:pPr>
        <w:spacing w:after="0" w:line="9" w:lineRule="exact"/>
        <w:rPr>
          <w:rFonts w:ascii="Arial" w:cs="Arial" w:eastAsia="Arial" w:hAnsi="Arial"/>
          <w:sz w:val="18"/>
          <w:szCs w:val="18"/>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non-compliance with the internal control standards pursuant to the Sarbanes-Oxley Act of 2002; and</w:t>
      </w:r>
    </w:p>
    <w:p>
      <w:pPr>
        <w:spacing w:after="0" w:line="9" w:lineRule="exact"/>
        <w:rPr>
          <w:rFonts w:ascii="Arial" w:cs="Arial" w:eastAsia="Arial" w:hAnsi="Arial"/>
          <w:sz w:val="18"/>
          <w:szCs w:val="18"/>
          <w:color w:val="auto"/>
        </w:rPr>
      </w:pPr>
    </w:p>
    <w:p>
      <w:pPr>
        <w:ind w:left="1340" w:hanging="33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demand for our common stock.</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public stock markets have experienced extreme price and trading volatility. The stock market and the Nasdaq Global Market in general, and the biotechnology industry and small cap markets in particular, have experienced significant price and volume fluctuations that at times may have been unrelated or disproportionate to the operating performance of those companies. These broad market and industry factors may further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management’s attention and resources.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outbreak has significantly impact worldwide economic conditions and has negatively impacted our business, financial condition and results of operations.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ongoing global outbreak of COVID-19 has caused disruptions to our business and has had a negative impact on our operations to date. As a result of the outbreak, many of our customers, particularly academic research institutions, have had laboratory work negatively impacted, which will continue to negatively impact, our sales. Additionally, to ensure business continuity while maintaining a safe environment for employees, the majority of our workforce continues to work from home. We continue to require social distancing and other measures in factories for our manufacturing and other personnel essential to production to continue work within our facilities. Business travel continues to be significantly reduced. While we have maintained operations under these conditions, these measures represent disruptions which can impact productivity including sales and marketing activities. Accordingly, these conditions in addition to the overall impact on the global economy could continue to have a negative impact our results of operations and cash flows.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Economic conditions and regulatory changes caused by the United Kingdom</w:t>
      </w:r>
      <w:r>
        <w:rPr>
          <w:rFonts w:ascii="Arial" w:cs="Arial" w:eastAsia="Arial" w:hAnsi="Arial"/>
          <w:sz w:val="18"/>
          <w:szCs w:val="18"/>
          <w:color w:val="auto"/>
        </w:rPr>
        <w:t>’</w:t>
      </w:r>
      <w:r>
        <w:rPr>
          <w:rFonts w:ascii="Arial" w:cs="Arial" w:eastAsia="Arial" w:hAnsi="Arial"/>
          <w:sz w:val="18"/>
          <w:szCs w:val="18"/>
          <w:b w:val="1"/>
          <w:bCs w:val="1"/>
          <w:i w:val="1"/>
          <w:iCs w:val="1"/>
          <w:color w:val="auto"/>
        </w:rPr>
        <w:t>s (</w:t>
      </w:r>
      <w:r>
        <w:rPr>
          <w:rFonts w:ascii="Arial" w:cs="Arial" w:eastAsia="Arial" w:hAnsi="Arial"/>
          <w:sz w:val="18"/>
          <w:szCs w:val="18"/>
          <w:color w:val="auto"/>
        </w:rPr>
        <w:t>“</w:t>
      </w:r>
      <w:r>
        <w:rPr>
          <w:rFonts w:ascii="Arial" w:cs="Arial" w:eastAsia="Arial" w:hAnsi="Arial"/>
          <w:sz w:val="18"/>
          <w:szCs w:val="18"/>
          <w:b w:val="1"/>
          <w:bCs w:val="1"/>
          <w:i w:val="1"/>
          <w:iCs w:val="1"/>
          <w:color w:val="auto"/>
        </w:rPr>
        <w:t>UK</w:t>
      </w:r>
      <w:r>
        <w:rPr>
          <w:rFonts w:ascii="Arial" w:cs="Arial" w:eastAsia="Arial" w:hAnsi="Arial"/>
          <w:sz w:val="18"/>
          <w:szCs w:val="18"/>
          <w:color w:val="auto"/>
        </w:rPr>
        <w:t>”</w:t>
      </w:r>
      <w:r>
        <w:rPr>
          <w:rFonts w:ascii="Arial" w:cs="Arial" w:eastAsia="Arial" w:hAnsi="Arial"/>
          <w:sz w:val="18"/>
          <w:szCs w:val="18"/>
          <w:b w:val="1"/>
          <w:bCs w:val="1"/>
          <w:i w:val="1"/>
          <w:iCs w:val="1"/>
          <w:color w:val="auto"/>
        </w:rPr>
        <w:t>) exit from the European Union (</w:t>
      </w:r>
      <w:r>
        <w:rPr>
          <w:rFonts w:ascii="Arial" w:cs="Arial" w:eastAsia="Arial" w:hAnsi="Arial"/>
          <w:sz w:val="18"/>
          <w:szCs w:val="18"/>
          <w:color w:val="auto"/>
        </w:rPr>
        <w:t>“</w:t>
      </w:r>
      <w:r>
        <w:rPr>
          <w:rFonts w:ascii="Arial" w:cs="Arial" w:eastAsia="Arial" w:hAnsi="Arial"/>
          <w:sz w:val="18"/>
          <w:szCs w:val="18"/>
          <w:b w:val="1"/>
          <w:bCs w:val="1"/>
          <w:i w:val="1"/>
          <w:iCs w:val="1"/>
          <w:color w:val="auto"/>
        </w:rPr>
        <w:t>EU</w:t>
      </w:r>
      <w:r>
        <w:rPr>
          <w:rFonts w:ascii="Arial" w:cs="Arial" w:eastAsia="Arial" w:hAnsi="Arial"/>
          <w:sz w:val="18"/>
          <w:szCs w:val="18"/>
          <w:color w:val="auto"/>
        </w:rPr>
        <w:t>”</w:t>
      </w:r>
      <w:r>
        <w:rPr>
          <w:rFonts w:ascii="Arial" w:cs="Arial" w:eastAsia="Arial" w:hAnsi="Arial"/>
          <w:sz w:val="18"/>
          <w:szCs w:val="18"/>
          <w:b w:val="1"/>
          <w:bCs w:val="1"/>
          <w:i w:val="1"/>
          <w:iCs w:val="1"/>
          <w:color w:val="auto"/>
        </w:rPr>
        <w:t>) could adversely affect our business.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UK House of Commons passed a Brexit deal on December 20, 2019 and the UK formally left the EU on January 31, 2020. On December 30, 2020, the EU and UK entered into the EU-UK Trade and Cooperation Agreement. The announcement of Brexit has resulted in significant volatility in global stock market and currency exchange rate fluctuations that resulted in strengthening of the U.S. dollar relative to other foreign currencies in which we conduct business. The withdrawal of the UK from the EU may also create global economic uncertainty, including an uncertain funding environment for UK customers historically receiving funding from the EU, which may cause our customers to reduce their spending budgets. Since a significant proportion of the regulatory framework in the UK is derived from EU directives and regulations, Brexit could materially change the regulatory regime applicable to the approval of any product candidates in the UK. Brexit is likely to lead to legal uncertainty and potentially divergent national laws and regulations as the UK determines which EU laws to replace or replicate. This could adversely affect our business, financial condition, operating results and cash flows.</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incur higher costs as a result of trade policies, treaties, government regulations or tariffs, we may become less profitable.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continues to be uncertainty about the relationship between the United States and foreign countries, including with respect to trade policies, treaties, government regulations and tariffs. We are unable to predict whether or when tariffs will be imposed or the impact of any such future tariff increases.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the subject of lawsuits from counterparties to acquisitions and divestitures, including an acquiring company or its stockholders, an acquired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previous stockholders, a divested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stockholders or our current stockholders.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be the subject of lawsuits from either an acquiring company or its stockholders, an acquired company’s previous stockholders, a divested company’s stockholders or our current stockholders. Such lawsuits could result from the actions of the acquisition or divestiture target prior to the date of the acquisition or divestiture, from the acquisition or divestiture transaction itself or from actions after the acquisition or divestiture. Defending potential lawsuits could cost us significant expense and detract management’s attention from the operation of the business. Additionally, these lawsuits could result in the cancellation of or the inability to renew certain insurance coverage that would be necessary to protect our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commodity and precious metals costs could adversely impact our profitability.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Raw material commodities such as resins, and precious metal commodities such as platinum are subject to wide price variations. Increases in the costs of these commodities and the costs of energy, transportation and other necessary services may adversely affect our profit margins if we are unable to pass along any higher costs in the form of price increases or otherwise achieve cost efficiencies such as in manufacturing and distribution.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of Delaware law, or of our charter and bylaws may make a takeover more difficult, which could cause our stock price to decline.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Provisions in our certificate of incorporation and bylaws and in the Delaware corporate law may make it difficult and expensive for a third party to pursue a tender offer, change in control or takeover attempt, which is opposed by management and the board of directors. Public stockholders who might desire to participate in such a transaction may not have an opportunity to do so. We have a staggered board of directors that makes it difficult for stockholders to change the composition of the board of directors in any one year. These anti-takeover provisions could substantially impede the ability of public stockholders to change our management and board of directors. Such provisions may also limit the price that investors might be willing to pay for shares of our common stock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r>
        <w:rPr>
          <w:rFonts w:ascii="Arial" w:cs="Arial" w:eastAsia="Arial" w:hAnsi="Arial"/>
          <w:sz w:val="15"/>
          <w:szCs w:val="15"/>
          <w:b w:val="1"/>
          <w:bCs w:val="1"/>
          <w:color w:val="auto"/>
        </w:rPr>
        <w: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facilities perform manufacturing, research and development, sales and marketing, and administration functions. As of December 31, 2020, we leased the following principal facilities: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Approximate</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430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Description of Facility</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Square Footage</w:t>
            </w:r>
          </w:p>
        </w:tc>
        <w:tc>
          <w:tcPr>
            <w:tcW w:w="140" w:type="dxa"/>
            <w:vAlign w:val="bottom"/>
          </w:tcPr>
          <w:p>
            <w:pPr>
              <w:spacing w:after="0"/>
              <w:rPr>
                <w:sz w:val="20"/>
                <w:szCs w:val="20"/>
                <w:color w:val="auto"/>
              </w:rPr>
            </w:pPr>
          </w:p>
        </w:tc>
        <w:tc>
          <w:tcPr>
            <w:tcW w:w="16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Expiration</w:t>
            </w: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New Brighton, Minnesota</w:t>
            </w: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Manufacturing facility</w:t>
            </w:r>
          </w:p>
        </w:tc>
        <w:tc>
          <w:tcPr>
            <w:tcW w:w="20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96,000</w:t>
            </w:r>
          </w:p>
        </w:tc>
        <w:tc>
          <w:tcPr>
            <w:tcW w:w="17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2030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Holliston, Massachusetts</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Manufacturing facility and corporate headquarters</w:t>
            </w:r>
          </w:p>
        </w:tc>
        <w:tc>
          <w:tcPr>
            <w:tcW w:w="20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83,000</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2024</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Reutlingen, Germany</w:t>
            </w: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Manufacturing facility</w:t>
            </w:r>
          </w:p>
        </w:tc>
        <w:tc>
          <w:tcPr>
            <w:tcW w:w="20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22,000</w:t>
            </w:r>
          </w:p>
        </w:tc>
        <w:tc>
          <w:tcPr>
            <w:tcW w:w="17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2024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Barcelona, Spain</w:t>
            </w:r>
          </w:p>
        </w:tc>
        <w:tc>
          <w:tcPr>
            <w:tcW w:w="4420" w:type="dxa"/>
            <w:vAlign w:val="bottom"/>
            <w:gridSpan w:val="2"/>
          </w:tcPr>
          <w:p>
            <w:pPr>
              <w:ind w:left="120"/>
              <w:spacing w:after="0"/>
              <w:rPr>
                <w:sz w:val="20"/>
                <w:szCs w:val="20"/>
                <w:color w:val="auto"/>
              </w:rPr>
            </w:pPr>
            <w:r>
              <w:rPr>
                <w:rFonts w:ascii="Arial" w:cs="Arial" w:eastAsia="Arial" w:hAnsi="Arial"/>
                <w:sz w:val="18"/>
                <w:szCs w:val="18"/>
                <w:color w:val="auto"/>
              </w:rPr>
              <w:t>Manufacturing facility</w:t>
            </w:r>
          </w:p>
        </w:tc>
        <w:tc>
          <w:tcPr>
            <w:tcW w:w="20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21,000</w:t>
            </w:r>
          </w:p>
        </w:tc>
        <w:tc>
          <w:tcPr>
            <w:tcW w:w="17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2021-2022</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March-Hugstetten, Germany</w:t>
            </w: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Manufacturing facility</w:t>
            </w:r>
          </w:p>
        </w:tc>
        <w:tc>
          <w:tcPr>
            <w:tcW w:w="20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12,000</w:t>
            </w:r>
          </w:p>
        </w:tc>
        <w:tc>
          <w:tcPr>
            <w:tcW w:w="17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2024</w:t>
            </w:r>
          </w:p>
        </w:tc>
      </w:tr>
    </w:tbl>
    <w:p>
      <w:pPr>
        <w:spacing w:after="0" w:line="200" w:lineRule="exact"/>
        <w:rPr>
          <w:sz w:val="20"/>
          <w:szCs w:val="20"/>
          <w:color w:val="auto"/>
        </w:rPr>
      </w:pPr>
    </w:p>
    <w:p>
      <w:pPr>
        <w:spacing w:after="0" w:line="21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also lease additional facilities in Cambridge, England; Kista, Sweden; Shanghai, China; Les Ulis, France; St. Augustin, Germany; and Montreal, Canada. We believe our current facilities are adequate for our needs for the foreseeable future.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information related to legal proceedings, see the discussion in Note 15 to the Consolidated Financial Statements included in “Part IV, Item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Exhibits, Financial Statement Schedules” of this report, which information is incorporated by reference into this Item 3.</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Market Information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has been quoted on the Nasdaq Global Market since our initial public offering on December 7, 2000, and trades under the symbol “HBIO.”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104 holders of record of our common stock as of March 5, 2021. We believe that the number of beneficial owners of our common stock at that date was substantially greater.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never declared or paid cash dividends on our common stock in the past and do not intend to pay cash dividends on our common stock in the foreseeable future. Any future determination to pay cash dividends will be at the discretion of our Board of Directors and will depend on our financial condition, results of operations, capital requirements and other factors our Board of Directors deems relevant.</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section of this Annual Report on Form 10-K contains statements that are not statements of historical fact and are forward-looking statements within the meaning of federal securities laws. These statements involve known and unknown risks, uncertainties and other factors that may cause our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subject to risks and uncertainties. Factors that may cause our actual results to differ materially from those in the forward-looking statements include those factors described in “Item 1A. Risk Factors” in this Annual Report on Form 10-K. You should carefully review all of these factors, as well as the comprehensive discussion of forward-looking statements on page 1 of this Annual Report on Form 10-K.</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Harvard Bioscience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The COVID-19 pandemic has had a negative impact on our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negatively impacted, and will continue to negatively impact, our sales. Additionally, to ensure business continuity while maintaining a safe environment for employees aligned with guidance from government and health organizations, we transitioned the majority of our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we have maintained operations under these conditions, these measures represent disruptions which can impact productivity including sales and marketing activities. Accordingly, these conditions in addition to the overall impact on the global economy has negatively impacted our results of operations and cash flows.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market and economic conditions, in accordance with the guidelines set forth in the Financial Accounting Standards Board (“FASB”) Accounting Standards Codification (“ASC”) 350 and ASC 360, we performed an analysis for potential interim impairment indicators of our intangible and other long-lived assets. During the year ended December 31, 2020, we concluded there were no impairments of goodwill, other indefinite-lived intangibles, or long-lived assets that resulted from triggering events due to COVID-19.</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Part I, Item 1. “Business–Our History and Strategy” of this report for a discussion of recent significant acquisitions, divestitures and other developments.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for the year ending December 31, 2020 was negatively impacted due to the conditions noted, and is likely to continue to be negatively impacted by delayed or partial reopening of academic research institutions. In April 2020, we implemented a COVID-19 mitigation plan designed to reduce expenses. Actions taken include work hour and temporary salary reductions, reductions-in-force and a realignment of our organizational structure to reduce management layers. During the second half of 2020 a portion of our employees returned to regular work hours in areas of the business based on sequential improvements in revenue. These cost reductions are in addition to the significant restructuring actions we initiated in the fourth quarter of 2019 as discussed below. If business interruptions resulting from COVID-19 were to be prolonged or expanded in scope, our business, financial condition, results of operations and cash flows would be negatively impacted. We will continue to actively monitor this situation and will implement actions necessary to maintain business continuity.</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2019, we announced the appointment by the Board of Directors of James Green as President and Chief Executive Officer and the appointment of Michael Rossi as Chief Financial Officer. Immediately thereafter we began a process to identify opportunities to improve profitability, increase cash flow and enhance internal capabilities to position the business for organic growth. As a result of this assessment, in September 2019 we announced a strategic action plan for 2020 and 2021. Key elements of this plan include:</w:t>
      </w:r>
    </w:p>
    <w:p>
      <w:pPr>
        <w:spacing w:after="0" w:line="187"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Capitalizing on the strong existing Harvard Bioscience and Data Science franchises and products;</w:t>
      </w:r>
    </w:p>
    <w:p>
      <w:pPr>
        <w:spacing w:after="0" w:line="23" w:lineRule="exact"/>
        <w:rPr>
          <w:rFonts w:ascii="Arial" w:cs="Arial" w:eastAsia="Arial" w:hAnsi="Arial"/>
          <w:sz w:val="18"/>
          <w:szCs w:val="18"/>
          <w:color w:val="auto"/>
        </w:rPr>
      </w:pPr>
    </w:p>
    <w:p>
      <w:pPr>
        <w:ind w:left="1060" w:right="60" w:hanging="323"/>
        <w:spacing w:after="0" w:line="250"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new senior leadership with significant experience with turnarounds and driving growth and operational improvements within global, middle market life science manufacturing businesses;</w:t>
      </w: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Consolidating sub-scale operations and integrating existing functions and processes to drive scale and reduce fixed costs;</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effectiveness of sales and product management to deliver organic sales growth; and</w:t>
      </w:r>
    </w:p>
    <w:p>
      <w:pPr>
        <w:spacing w:after="0" w:line="9"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cash flow and reducing debt and leverage.</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December 2019, we implemented the 2019 Restructuring Plan to deliver significant cost savings beginning in 2020 and to support delivery of the strategic action plan we announced in September 2019. The 2019 Restructuring Plan includes consolidation of our Connecticut manufacturing plant with our existing Massachusetts site, downsizing of operations in the United Kingdom and a reduction in force across the business equal to approximately 10% of our headcount. The 2019 Restructuring Plan is expected to deliver annualized run-rate savings of $4.0 million to $5.0 million. The original initiatives under the 2019 Restructuring Plan were completed in the second half of 2020.</w:t>
      </w:r>
    </w:p>
    <w:p>
      <w:pPr>
        <w:spacing w:after="0" w:line="176"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We continued to execute the 2019 Restructuring Plan during the COVID-19 pandemic and expanded the scope of the restructuring by realigning our organizational structure to reduce management layers and accelerated our efforts to move to a leaner organization and operation. As a result of this expanded scope, we eliminated additional headcount during 2020, and in the first quarter of 2021, communicated to employees our plan to consolidate certain engineering operations and eliminate two small facilities in Europe. These incremental actions are expected to generate additional annualized cost savings of approximately $2.0 million, and are expected to be complete in the first half of 2021.</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portion of the savings generated from these actions is expected to be reinvested to drive profitable revenue growth.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actions taken under the 2019 Restructuring Plan and incremental cost reduction actions taken, we expect to incur costs associated with headcount reductions, program management and other transition costs required to affect the site consolidations and other business improvements totaling approximately $8.0 million, substantially all of which is expected to result in cash outlays. Through the year ended December 31, 2020, approximately $6.0 million of cash payments were made related to these restructuring activities. We believe these strategic actions will position the business for improved financial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2020 compared to 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table below, we provide an overview of selected operating metrics.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34"/>
        </w:trPr>
        <w:tc>
          <w:tcPr>
            <w:tcW w:w="3940" w:type="dxa"/>
            <w:vAlign w:val="bottom"/>
          </w:tcPr>
          <w:p>
            <w:pPr>
              <w:spacing w:after="0"/>
              <w:rPr>
                <w:sz w:val="20"/>
                <w:szCs w:val="20"/>
                <w:color w:val="auto"/>
              </w:rPr>
            </w:pPr>
            <w:r>
              <w:rPr>
                <w:rFonts w:ascii="Arial" w:cs="Arial" w:eastAsia="Arial" w:hAnsi="Arial"/>
                <w:sz w:val="18"/>
                <w:szCs w:val="18"/>
                <w:color w:val="auto"/>
              </w:rPr>
              <w:t>(dollars in thousands)</w:t>
            </w: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58,041</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64,322</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55.4%</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19,916</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23,264</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23,509</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22,760</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19.6%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5,710</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5,746</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1.3%</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4,831</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5,410</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and related costs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 expense, net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806</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0.4%</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(0.7)%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Revenues for the year ended December 31, 2020 were $102.1 million, a decrease of (12.1)%, or $14.1 million, compared to revenues of $116.2 million for the same period in 2019. The decrease in revenue was primarily due to the impact of the COVID-19 pandemic and in particular, lower sales to academic labs and other institutions that are temporarily closed as a result of the pandemic. The negative impact of academic lab closures has moderated since the middle of 2020 but continued to negatively impact the business exiting 2020. These reductions were partially offset by improved sales of products from our Preclinical product family to CRO and pharmaceutical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decreased $6.3 million, or 9.8%, to $58.0 million for the year ended December 31, 2020 compared with $64.3 million for the year ended December 31, 2019, due primarily to the reduction in revenue noted. Gross margin increased to 56.8% for the year ended December 31, 2020 compared with 55.4% for the year ended December 31, 2019. The increase in gross margin was primarily due to improved product mix as well as cost reduction initiatives partially offset by lower volumes.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Sales and marketing expenses decreased $3.3 million, or 14.4%, to $19.9 million for the year ended December 31, 2020 compared with $23.3 million for the year ended December 31, 2019. The decrease in these expenses was primarily due to ongoing restructuring and cost reduction initiatives as well as lower travel costs and variable sales costs due to the impact of the pandemic on revenue and related business restrictions.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General and administrative expenses increased $0.7 million, or 3%, to $23.5 million for the year ended December 31, 2020 compared with $22.8 million for the year ended December 31, 2019. This increase was due to restructuring and other costs to affect our strategic plans, and higher variable compensation. Excluding these costs, general and administrative costs were lower due to cost reduction initiatives.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Research and development expenses were $8.7 million for the year ended December 31, 2020, a decrease of $2.0 million, or 18.9%, compared with $10.7 million for the year ended December 31, 2019. . The decrease was primarily due to lower employee compensation including part-time work programs and related costs due to ongoing restructuring and cost reduction initiatives.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Amortization of intangible asset expenses was $5.7 million for the year ended December 31, 2020 and did not change materially as compared to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were no impairment charges for the year ended December 31, 2020. Impairment charges for the year ended December 31, 2019 included a write-off of $0.9 million related to in-process research and development intangible assets as a result of our on-going evaluation of our research and development activities, and a charge of $0.5 million related to the impairment of certain intangible assets due to the decision to discontinue one of our product lines and to cease operations in our facility in Raleigh, North Carolina.</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Interest expense was $4.8 million for the year ended December 31, 2020, a decrease of $0.6 million, or 10.7%, compared with $5.4 million for the year ended December 31, 2019 due to lower average debt balances for the year ended December 31, 2020 compared to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extinguishment and related costs</w:t>
      </w:r>
    </w:p>
    <w:p>
      <w:pPr>
        <w:spacing w:after="0" w:line="225" w:lineRule="exact"/>
        <w:rPr>
          <w:sz w:val="20"/>
          <w:szCs w:val="20"/>
          <w:color w:val="auto"/>
        </w:rPr>
      </w:pPr>
    </w:p>
    <w:p>
      <w:pPr>
        <w:jc w:val="both"/>
        <w:ind w:right="600" w:firstLine="648"/>
        <w:spacing w:after="0" w:line="263" w:lineRule="auto"/>
        <w:rPr>
          <w:sz w:val="20"/>
          <w:szCs w:val="20"/>
          <w:color w:val="auto"/>
        </w:rPr>
      </w:pPr>
      <w:r>
        <w:rPr>
          <w:rFonts w:ascii="Arial" w:cs="Arial" w:eastAsia="Arial" w:hAnsi="Arial"/>
          <w:sz w:val="18"/>
          <w:szCs w:val="18"/>
          <w:color w:val="auto"/>
        </w:rPr>
        <w:t>On December 22, 2020, we entered into the Credit Agreement for the Citizens Credit Facility, which replaced our Prior Credit Facility. In connection with our entry into the Credit Agreement, we paid $0.6 million in debt extinguishment costs, wrote off $0.8 million of unamortized debt issuance costs, and paid $0.5 million to terminate our interest rate swap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expense, net, were $0.8 million for the year ended December 31, 2020, an increase of $0.3 million, compared with $0.5 million for the year ended December 31, 2019. The increase was substantially due to foreign currency exchange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 was an expense of $0.5 million for the year ended December 31, 2020, compared with a benefit of $(0.8) million for the year ended December 31, 2019. The effective income tax rate was (7.1)% for the year ended December 31, 2020, compared with 14.8% for the same period in 2019. The difference between our effective rates in 2020 as compared to 2019 is due to a change in estimate of the realizability of certain U. S. deferred tax assets. In 2020, we increased the valuation allowance against deferred tax assets related to our net operating losses (“NOLs”) as a result of changes made by the Coronavirus Aid, Relief, and Economic Security Act (“CARES Act”), which caused certain NOLs to no longer have an indefinite carryforward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severance and other payments associated with ongoing restructuring and cost reduction initiatives.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22, 2020, we entered into the Citizens Credit Facility that provides for a term loan of $40.0 million and a $25.0 million senior revolving credit facility (including a $10.0 million sub-facility for the issuance of letters of credit and a $10.0 million swingline loan sub-facility). The Citizens Credit Facility matures on December 22, 2025.</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Citizens Credit Facility replaced the Prior Credit Facility which consisted of a revolving credit facility and a term loan and was scheduled to expire on January 31, 2023. In connection with entering into the Credit Agreement, we paid off the Prior Credit Facility as well as incurred $0.6 million in fees and expenses. We financed the payoff of the outstanding borrowings under the Prior Credit Facility with borrowings under the Citizens Credit Facility.</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we held cash and cash equivalents of $8.3 million, compared with $8.3 million at December 31, 2019. As of December 31, 2020 and December 31, 2019, we had $49.4 million and $55.0 million of borrowings outstanding, respectively. Total debt, net of cash and cash equivalents, was $41.1 million at December 31, 2020, compared to $46.7 million at December 31, 2019.</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and December 31, 2019, cash and cash equivalents held by our foreign subsidiaries was $2.5 million and $3.5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760" w:type="dxa"/>
            <w:vAlign w:val="bottom"/>
          </w:tcPr>
          <w:p>
            <w:pPr>
              <w:ind w:left="3320"/>
              <w:spacing w:after="0"/>
              <w:rPr>
                <w:sz w:val="20"/>
                <w:szCs w:val="20"/>
                <w:color w:val="auto"/>
              </w:rPr>
            </w:pPr>
            <w:r>
              <w:rPr>
                <w:rFonts w:ascii="Arial" w:cs="Arial" w:eastAsia="Arial" w:hAnsi="Arial"/>
                <w:sz w:val="18"/>
                <w:szCs w:val="18"/>
                <w:color w:val="auto"/>
                <w:w w:val="88"/>
              </w:rPr>
              <w:t>Condensed Consolidated Cash Flow Statements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9,331</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(7,624)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0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560" w:type="dxa"/>
            <w:vAlign w:val="bottom"/>
          </w:tcPr>
          <w:p>
            <w:pPr>
              <w:spacing w:after="0"/>
              <w:rPr>
                <w:sz w:val="21"/>
                <w:szCs w:val="21"/>
                <w:color w:val="auto"/>
              </w:rPr>
            </w:pPr>
          </w:p>
        </w:tc>
      </w:tr>
      <w:tr>
        <w:trPr>
          <w:trHeight w:val="844"/>
        </w:trPr>
        <w:tc>
          <w:tcPr>
            <w:tcW w:w="580" w:type="dxa"/>
            <w:vAlign w:val="bottom"/>
          </w:tcPr>
          <w:p>
            <w:pPr>
              <w:spacing w:after="0"/>
              <w:rPr>
                <w:sz w:val="24"/>
                <w:szCs w:val="24"/>
                <w:color w:val="auto"/>
              </w:rPr>
            </w:pPr>
          </w:p>
        </w:tc>
        <w:tc>
          <w:tcPr>
            <w:tcW w:w="6760" w:type="dxa"/>
            <w:vAlign w:val="bottom"/>
            <w:tcBorders>
              <w:top w:val="single" w:sz="8" w:color="CCEEFF"/>
            </w:tcBorders>
          </w:tcPr>
          <w:p>
            <w:pPr>
              <w:ind w:left="4960"/>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provided by operations was $9.3 million for the year ended December 31, 2020, an increase of $1.3 million as compared with $8.0 million for the year ended December 31, 2019. The increase in net cash flow from operations was primarily due to working capital reductions including significant improvements in accounts receivable collections.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investing activities was $1.4 million for the year ended December 31, 2020 and consisted primarily of capital expenditures. Our investing activities used cash of $0.2 million for the year ended December 31, 2019 consisting of $1.2 million used for capital expenditures and the receipt of $1.0 million in connection with the release of an escrow amount associated with the sale of substantially all of the assets of our wholly-owned subsidiary, Denville Scientific, Inc. (the “Denville Transaction”).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financing activities was $8.0 million and $7.6 million for the years ended December 31, 2020 and 2019, respectively. Cash used in both years is due primarily to cash provided by operations utilized to reduce overall debt levels.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year ended December 31, 2020, net payments to reduce total debt were $5.6 million. Prior to entering the Citizens Credit Facility, we made payments under the Prior Credit Facility of $11.1 million to reduce term loan borrowings, with net borrowings of $2.8 million under the revolving facility. At the closing of the Citizens Credit Facility, we repaid in full the Prior Credit Facility, which included $43.9 million of term loan borrowings and $2.8 million of outstanding revolver borrowings. Under the Citizens Credit Facility, we borrowed $49.4 million, consisting of a $40.0 million term loan and $9.4 million drawn on the revolving loan. Other financing activities for the year ended December 31, 2020 were primarily $1.9 million of costs associated with the refinancing of our debt previously described.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2019 we borrowed $4.3 million and repaid $11.7 million of debt, including an excess cash flow payment of $4.0 million and a payment of $1.0 million in connection with the release of an escrow amount associated with the Denville Transaction as required by the Prior Credit Facility, and ended the year with $55.0 million of borrowings.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18, 2020, the Company entered into a promissory note with PNC Bank, National Association, which provided for a loan in the amount of $6.1 million (the “PPP Loan”) pursuant to the Paycheck Protection Program (the PPP) of the Coronavirus Aid, Relief, and Economic Security Act administered by the U.S. Small Business Administration (the “SBA”). On April 23, 2020, the SBA, in consultation with the U.S. Department of the Treasury, issued guidance regarding consideration of alternate available sources of liquidity and its impact on qualification for PPP loans. The Company reassessed its business plans and liquidity available under our existing credit facility and elected to repay all PPP funds. The PPP Loan was repaid in full on May 4,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2020, we entered into the Citizens Credit Facility which provides for a term loan of $40.0 million and a $25.0 million senior revolving credit facility (including a $10.0 million sub-facility for the issuance of letters of credit and a $ 10.0 million swingline loan sub-facility). Obligations under the Credit Agreement are secured by substantially all of our assets and are guaranteed by certain of our direct, domestic wholly-owned subsidiaries. The Credit Agreement matures on December 22, 2025. See Note 11 to the Consolidated Financial Statements for a detailed discussion regarding our Credit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compliant with all covenants under the Credit Agreement as of December 31,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and December 31, 2019, we had borrowings of $49.4 million and $55.0 million respectively, outstanding. We had available borrowing capacity under the revolving line of credit of $15.6 million as of December 31, 2020. As of December 31, 2020, the interest rate on our borrowings was 3.25%.</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our current operating plans, including actions taken to mitigate the impact of COVID-19,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on our financial results described above.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revenue recognition, investments, income taxes, litigation and other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the following are the more significant judgments and estimates used in the preparation of our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is not subject to amortization, but is subject to at least an annual assessment for impairment. We perform our impairment analysis of goodwill on an annual basis during the fourth quarter of the year unless conditions arise that warrant a more frequent evaluation. For purposes of our goodwill analysis, we have one operating unit.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 goodwill is assessed for impairment, we have the option to perform an assessment of qualitative factors of impairment (optional assessment) prior to necessitating a quantitative impairment test. Should the optional assessment be used for any given year, qualitative factors to consider for a reporting unit include financial performance; legal, regulatory, contractual, political, business, or other factors; entity specific factors; industry and market considerations; and other relevant events and factors affecting the reporting unit. If we determine in the qualitative assessment that it is more likely than not that the fair value of the reporting unit is less than its carrying value, a quantitative test is then performed. Otherwise, no further testing is required. For a reporting unit tested using a quantitative approach, we compare the fair value of the reporting unit with the carrying amount of the reporting unit, including goodwill. The fair value of the reporting unit is estimated using an income approach.</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income approach, we measure fair value of the reporting unit based on a projected cash flow method using a discount rate determined by our management which is commensurate with the risk inherent in its current business model. Our discounted cash flow projections are based on its annual financial forecasts developed internally by management for use in managing our business. If the fair value of the reporting unit exceeds its carrying value, goodwill is not impaired, and no further testing is required. If the fair value of the reporting unit is less than the carrying value, then the amount of goodwill impairment will be the amount by which the reporting unit’s carrying value exceeds its fair value, not to exceed the carrying amount of goodwill.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Intangible assets are comprised of existing technology, customer contracts and contractual relationships, and other definite-lived and indefinite-lived intangible assets. Identifiable intangible assets resulting from the acquisitions of entities accounted for using the purchase method of accounting are estimated by management based on the fair value of assets received. Identifiable definite-lived intangible assets are being amortized over the period of estimated benefit using the straight-line method and estimated useful lives ranging from four to fifteen years.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amortize definite-lived assets over their estimated useful lives. We evaluate definite-lived and indefinite-lived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assets require significant judgment based on our historical and anticipated results and are subject to many factors. Factors we consider important which could trigger an impairment review include significant negative industry or economic trends, significant loss of clients, and significant changes in the manner of our use of the acquired assets or the strategy for our overall business.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we determine that the carrying value of the assets may not be recoverable based upon the existence of one or more of the above indicators of impairment, we measure the potential impairment based on a projected discounted cash flow method using a discount rate determined by our management to be commensurate with the risk inherent in our current business model. An impairment loss is recognized only if the carrying amount of the asset is not recoverable and exceeds its fair value. Different assumptions and judgments could materially affect the calculation of the fair value of our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income taxes in the U.S. and numerous foreign jurisdictions. Our annual tax rate is based on income, statutory tax rates, tax reserve changes and tax planning opportunities available to us in the various jurisdictions in which we operate. Significant judgment is required in determining the annual tax rate and in evaluating our tax positions. We regularly assess the likelihood of tax adjustments in each of the tax jurisdictions in which we have operations and account for the related financial statement implications. We have established tax reserves that we believe are appropriate given the possibility of tax adjustments. Determining the appropriate level of tax reserves requires judgment regarding the uncertain application of tax laws. Reserves are adjusted when information becomes available or when an event occurs indicating a change in the reserve is appropriate. Changes in tax reserves could have a material impact on our financial condition or results of operations.</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Significant judgment is also required in determining the amount of deferred tax assets that will ultimately be realized and corresponding deferred tax asset valuation allowance. When estimating the necessary valuation allowance, we consider all available evidence for each jurisdiction including historical operating results, estimates of future taxable income and the feasibility of ongoing tax planning strategies. If new information becomes available that would alter our estimate of the amount of deferred tax assets that will ultimately be realized, we adjust the valuation allowance through income tax expense. Changes in the deferred tax asset valuation allowance could have a material impact on our financial condition or results of operations.</w:t>
      </w:r>
    </w:p>
    <w:p>
      <w:pPr>
        <w:sectPr>
          <w:pgSz w:w="11900" w:h="16838" w:orient="portrait"/>
          <w:cols w:equalWidth="0" w:num="1">
            <w:col w:w="11240"/>
          </w:cols>
          <w:pgMar w:left="320" w:top="125"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and Obsolete Inventory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Inventories are priced at the lower of cost (first-in, first-out method) or net realizable value. When necessary, the write-down of inventory to its net realizable value is recorded for obsolete or slow-moving inventory based on assumptions about future demand and marketability of products, the impact of new product introductions and specific identification of items, such as product discontinuance or engineering/material changes. These estimates could vary significantly, either favorably or unfavorably, from actual requirements if future economic conditions, customer inventory levels or competitive conditions differ from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primarily the British pound, the euro, the Canadian dollar and the Swedish krona.</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changes in foreign currency exchange rates resulted in a favorable translation effect on our consolidated revenues and on our consolidated net loss. Changes in foreign currency exchange rates resulted in a favorable effect on revenues of approximately $0.5 million and a favorable effect on expenses of approximately $1.0 million.</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gain associated with the translation of foreign currency into U.S. dollars included as a component of comprehensive loss during the year ended December 31, 2020, was approximately $1.7 million, compared to a loss of $(0.5) million for the year ended December 31, 2019.</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currency exchange rate fluctuations included as a component of net loss resulted in approximately $(0.5) million and $(0.1) million in currency loss during the year ended December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 Accounting Pronouncements” included in Note 2 to the Consolidated Financial Statements included in “Part IV, Item 15. Exhibits, Financial Statement Schedules” of this report.</w:t>
      </w:r>
    </w:p>
    <w:p>
      <w:pPr>
        <w:spacing w:after="0" w:line="1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is contained in the financial statements referenced in “Part IV, Item 15. Exhibits, Financial Statement Schedules” of this report, which financial statements are appended to this report. An index of those financial statements is found on page F-1.</w:t>
      </w:r>
    </w:p>
    <w:p>
      <w:pPr>
        <w:spacing w:after="0" w:line="1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as amended (the “Exchange Act”). See Exhibits 31.1 and 31.2. This Item 9A includes information concerning the controls and control evaluations referred to in those certifications.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U.S. Securities and Exchange Commission.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our Chief Executive Officer and Chief Financial Officer, of the effectiveness of the design and operation of our disclosure controls and procedures (as defined in Rules 13a-15(e) and 15d-15(e) under the Exchange Act) as of the end of the period covered in this Report. Based upon the evaluation described above, our Chief Executive Officer and Chief Financial Officer have concluded that they believe that our disclosure controls and procedures were effective, as of December 31, 2020, in providing reasonable assurance that information required to be disclosed by us in the reports that we file or submit under the Exchange Act is accumulated and communicated to our management, including our Chief Executive Officer and Chief Financial Officer, to allow timely decisions regarding required disclosures, and is recorded, processed, summarized and reported within the time periods specified in the Securities and Exchange Commission’s rules and forms.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Management</w:t>
      </w:r>
      <w:r>
        <w:rPr>
          <w:rFonts w:ascii="Arial" w:cs="Arial" w:eastAsia="Arial" w:hAnsi="Arial"/>
          <w:sz w:val="18"/>
          <w:szCs w:val="18"/>
          <w:color w:val="auto"/>
        </w:rPr>
        <w:t>’</w:t>
      </w:r>
      <w:r>
        <w:rPr>
          <w:rFonts w:ascii="Arial" w:cs="Arial" w:eastAsia="Arial" w:hAnsi="Arial"/>
          <w:sz w:val="18"/>
          <w:szCs w:val="18"/>
          <w:b w:val="1"/>
          <w:bCs w:val="1"/>
          <w:color w:val="auto"/>
        </w:rPr>
        <w:t>s Report on Internal Control Over Financial Reporting</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management and other personnel,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(1) pertain to the maintenance of records that, in reasonable detail, accurately and fairly reflect transactions and dispositions of assets, (2) provide reasonable assurance that transactions are recorded as necessary to permit preparation of consolidated financial statements for external purposes in accordance with generally accepted accounting principles,</w:t>
      </w:r>
    </w:p>
    <w:p>
      <w:pPr>
        <w:spacing w:after="0" w:line="2"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provide reasonable assurance that receipts and expenditures are being made only in accordance with authorizations of management and directors, and</w:t>
      </w:r>
    </w:p>
    <w:p>
      <w:pPr>
        <w:spacing w:after="0" w:line="32" w:lineRule="exact"/>
        <w:rPr>
          <w:rFonts w:ascii="Arial" w:cs="Arial" w:eastAsia="Arial" w:hAnsi="Arial"/>
          <w:sz w:val="16"/>
          <w:szCs w:val="16"/>
          <w:color w:val="auto"/>
        </w:rPr>
      </w:pPr>
    </w:p>
    <w:p>
      <w:pPr>
        <w:ind w:firstLine="8"/>
        <w:spacing w:after="0" w:line="260" w:lineRule="auto"/>
        <w:tabs>
          <w:tab w:leader="none" w:pos="2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It is a process that involves human diligence and compliance and is therefore subject to human error and misjudgment. In general, evaluations of effectiveness for future periods are subject to risk as controls may become inadequate due to changes in conditions or the degree of compliance with key processes or procedures could deteriorate.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management evaluated the effectiveness of our internal control over financial reporting as of December 31, 2020 using the criteria set forth in Internal Control – Integrated Framework (2013) issued by the Committee of Sponsoring Organizations of the Treadway Commission (COSO). As a result of that evaluation, management has concluded that our internal control over financial reporting was effective as of December 31, 2020.</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also been audited by Grant Thornton LLP, our independent registered public accounting firm, as stated in their report, which is included below in Item 9A(e).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  Changes in Internal Controls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has been no change in the Company's internal control over financial reporting as of December 31, 2020, that has materially affected, or is reasonably likely to materially affect, the Company's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Inherent Limitations on Effectiveness of Controls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design of any system of control is based upon certain assumptions about the likelihood of future events, and there can be no assurance that any design will succeed in achieving its stated objectives under all future events, no matter how remote, that controls may become inadequate because of changes in conditions, or that the degree of compliance with the policies or procedures may not deteriorate. Because of their inherent limitations, systems of control may not prevent or detect all misstatements. Accordingly, even effective systems of control can provide only reasonable assurance of achieving their control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  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Bioscience,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 xml:space="preserve">We have audited the internal control over financial reporting of Harvard Bioscience, Inc. (a Delaware corporation) and subsidiaries (the “Company”) as of December 31, 2020,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COSO.</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2020, and our report dated March 12, 2021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2021 Annual Meeting of Stockholders.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2021 Annual Meeting of Stockholders.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2021 Annual Meeting of Stockholders.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2021 Annual Meeting of Stockholders.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part of this Annual Report on Form 10-K or incorporated by reference as indicated.</w:t>
      </w:r>
    </w:p>
    <w:p>
      <w:pPr>
        <w:spacing w:after="0" w:line="225" w:lineRule="exact"/>
        <w:rPr>
          <w:sz w:val="20"/>
          <w:szCs w:val="20"/>
          <w:color w:val="auto"/>
        </w:rPr>
      </w:pPr>
    </w:p>
    <w:p>
      <w:pPr>
        <w:ind w:left="260" w:right="100" w:firstLine="414"/>
        <w:spacing w:after="0" w:line="277" w:lineRule="auto"/>
        <w:tabs>
          <w:tab w:leader="none" w:pos="105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Schedules, and Exhibits. </w:t>
      </w:r>
      <w:r>
        <w:rPr>
          <w:rFonts w:ascii="Arial" w:cs="Arial" w:eastAsia="Arial" w:hAnsi="Arial"/>
          <w:sz w:val="18"/>
          <w:szCs w:val="18"/>
          <w:color w:val="auto"/>
        </w:rPr>
        <w:t>We have listed our consolidated financial statements filed as part of this annual report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index to consolidated financial statements on page F-1.</w:t>
      </w:r>
    </w:p>
    <w:p>
      <w:pPr>
        <w:spacing w:after="0" w:line="170" w:lineRule="exact"/>
        <w:rPr>
          <w:rFonts w:ascii="Arial" w:cs="Arial" w:eastAsia="Arial" w:hAnsi="Arial"/>
          <w:sz w:val="18"/>
          <w:szCs w:val="18"/>
          <w:color w:val="auto"/>
        </w:rPr>
      </w:pPr>
    </w:p>
    <w:p>
      <w:pPr>
        <w:ind w:left="260" w:right="100" w:firstLine="414"/>
        <w:spacing w:after="0" w:line="277" w:lineRule="auto"/>
        <w:tabs>
          <w:tab w:leader="none" w:pos="106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listed the exhibits filed as part of this annual report in the accompanying exhibit index, which follows the signature page</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annual report.</w:t>
      </w:r>
    </w:p>
    <w:p>
      <w:pPr>
        <w:spacing w:after="0" w:line="170" w:lineRule="exact"/>
        <w:rPr>
          <w:rFonts w:ascii="Arial" w:cs="Arial" w:eastAsia="Arial" w:hAnsi="Arial"/>
          <w:sz w:val="18"/>
          <w:szCs w:val="18"/>
          <w:color w:val="auto"/>
        </w:rPr>
      </w:pPr>
    </w:p>
    <w:p>
      <w:pPr>
        <w:ind w:left="260" w:firstLine="414"/>
        <w:spacing w:after="0" w:line="277" w:lineRule="auto"/>
        <w:tabs>
          <w:tab w:leader="none" w:pos="105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We have omitted all financial statement schedules because they are not applicable or not required or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included the necessary information in our consolidated financial statements or related notes.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500" w:type="dxa"/>
            <w:vAlign w:val="bottom"/>
          </w:tcPr>
          <w:p>
            <w:pPr>
              <w:spacing w:after="0"/>
              <w:rPr>
                <w:sz w:val="20"/>
                <w:szCs w:val="20"/>
                <w:color w:val="auto"/>
              </w:rPr>
            </w:pPr>
          </w:p>
        </w:tc>
      </w:tr>
      <w:tr>
        <w:trPr>
          <w:trHeight w:val="900"/>
        </w:trPr>
        <w:tc>
          <w:tcPr>
            <w:tcW w:w="910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500" w:type="dxa"/>
            <w:vAlign w:val="bottom"/>
          </w:tcPr>
          <w:p>
            <w:pPr>
              <w:spacing w:after="0"/>
              <w:rPr>
                <w:sz w:val="24"/>
                <w:szCs w:val="24"/>
                <w:color w:val="auto"/>
              </w:rPr>
            </w:pPr>
          </w:p>
        </w:tc>
      </w:tr>
      <w:tr>
        <w:trPr>
          <w:trHeight w:val="234"/>
        </w:trPr>
        <w:tc>
          <w:tcPr>
            <w:tcW w:w="9100" w:type="dxa"/>
            <w:vAlign w:val="bottom"/>
          </w:tcPr>
          <w:p>
            <w:pPr>
              <w:ind w:left="4360"/>
              <w:spacing w:after="0"/>
              <w:rPr>
                <w:sz w:val="20"/>
                <w:szCs w:val="20"/>
                <w:color w:val="auto"/>
              </w:rPr>
            </w:pPr>
            <w:r>
              <w:rPr>
                <w:rFonts w:ascii="Arial" w:cs="Arial" w:eastAsia="Arial" w:hAnsi="Arial"/>
                <w:sz w:val="18"/>
                <w:szCs w:val="18"/>
                <w:b w:val="1"/>
                <w:bCs w:val="1"/>
                <w:color w:val="auto"/>
              </w:rPr>
              <w:t>HARVARD BIOSCIENCE, INC.</w:t>
            </w:r>
          </w:p>
        </w:tc>
        <w:tc>
          <w:tcPr>
            <w:tcW w:w="1500" w:type="dxa"/>
            <w:vAlign w:val="bottom"/>
          </w:tcPr>
          <w:p>
            <w:pPr>
              <w:spacing w:after="0"/>
              <w:rPr>
                <w:sz w:val="20"/>
                <w:szCs w:val="20"/>
                <w:color w:val="auto"/>
              </w:rPr>
            </w:pPr>
          </w:p>
        </w:tc>
      </w:tr>
      <w:tr>
        <w:trPr>
          <w:trHeight w:val="432"/>
        </w:trPr>
        <w:tc>
          <w:tcPr>
            <w:tcW w:w="9100" w:type="dxa"/>
            <w:vAlign w:val="bottom"/>
          </w:tcPr>
          <w:p>
            <w:pPr>
              <w:spacing w:after="0"/>
              <w:rPr>
                <w:sz w:val="24"/>
                <w:szCs w:val="24"/>
                <w:color w:val="auto"/>
              </w:rPr>
            </w:pPr>
          </w:p>
        </w:tc>
        <w:tc>
          <w:tcPr>
            <w:tcW w:w="1500" w:type="dxa"/>
            <w:vAlign w:val="bottom"/>
          </w:tcPr>
          <w:p>
            <w:pPr>
              <w:jc w:val="center"/>
              <w:ind w:left="103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91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Report of Independent Registered Public Accounting Firm</w:t>
              </w:r>
            </w:hyperlink>
          </w:p>
        </w:tc>
        <w:tc>
          <w:tcPr>
            <w:tcW w:w="1500" w:type="dxa"/>
            <w:vAlign w:val="bottom"/>
          </w:tcPr>
          <w:p>
            <w:pPr>
              <w:jc w:val="center"/>
              <w:ind w:left="1030"/>
              <w:spacing w:after="0"/>
              <w:rPr>
                <w:rFonts w:ascii="Arial" w:cs="Arial" w:eastAsia="Arial" w:hAnsi="Arial"/>
                <w:sz w:val="18"/>
                <w:szCs w:val="18"/>
                <w:u w:val="single" w:color="auto"/>
                <w:color w:val="0000EE"/>
                <w:w w:val="96"/>
              </w:rPr>
            </w:pPr>
            <w:hyperlink w:anchor="page33">
              <w:r>
                <w:rPr>
                  <w:rFonts w:ascii="Arial" w:cs="Arial" w:eastAsia="Arial" w:hAnsi="Arial"/>
                  <w:sz w:val="18"/>
                  <w:szCs w:val="18"/>
                  <w:u w:val="single" w:color="auto"/>
                  <w:color w:val="0000EE"/>
                  <w:w w:val="96"/>
                </w:rPr>
                <w:t>F-2</w:t>
              </w:r>
            </w:hyperlink>
          </w:p>
        </w:tc>
      </w:tr>
      <w:tr>
        <w:trPr>
          <w:trHeight w:val="432"/>
        </w:trPr>
        <w:tc>
          <w:tcPr>
            <w:tcW w:w="91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Consolidated Balance Sheets as of December 31, 2020 and 2019</w:t>
              </w:r>
            </w:hyperlink>
          </w:p>
        </w:tc>
        <w:tc>
          <w:tcPr>
            <w:tcW w:w="1500" w:type="dxa"/>
            <w:vAlign w:val="bottom"/>
          </w:tcPr>
          <w:p>
            <w:pPr>
              <w:jc w:val="center"/>
              <w:ind w:left="1030"/>
              <w:spacing w:after="0"/>
              <w:rPr>
                <w:rFonts w:ascii="Arial" w:cs="Arial" w:eastAsia="Arial" w:hAnsi="Arial"/>
                <w:sz w:val="18"/>
                <w:szCs w:val="18"/>
                <w:u w:val="single" w:color="auto"/>
                <w:color w:val="0000EE"/>
                <w:w w:val="96"/>
              </w:rPr>
            </w:pPr>
            <w:hyperlink w:anchor="page34">
              <w:r>
                <w:rPr>
                  <w:rFonts w:ascii="Arial" w:cs="Arial" w:eastAsia="Arial" w:hAnsi="Arial"/>
                  <w:sz w:val="18"/>
                  <w:szCs w:val="18"/>
                  <w:u w:val="single" w:color="auto"/>
                  <w:color w:val="0000EE"/>
                  <w:w w:val="96"/>
                </w:rPr>
                <w:t>F-3</w:t>
              </w:r>
            </w:hyperlink>
          </w:p>
        </w:tc>
      </w:tr>
      <w:tr>
        <w:trPr>
          <w:trHeight w:val="432"/>
        </w:trPr>
        <w:tc>
          <w:tcPr>
            <w:tcW w:w="91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Consolidated Statements of Operations for the years ended December 31, 2020 and 2019</w:t>
              </w:r>
            </w:hyperlink>
          </w:p>
        </w:tc>
        <w:tc>
          <w:tcPr>
            <w:tcW w:w="1500" w:type="dxa"/>
            <w:vAlign w:val="bottom"/>
          </w:tcPr>
          <w:p>
            <w:pPr>
              <w:jc w:val="center"/>
              <w:ind w:left="1030"/>
              <w:spacing w:after="0"/>
              <w:rPr>
                <w:rFonts w:ascii="Arial" w:cs="Arial" w:eastAsia="Arial" w:hAnsi="Arial"/>
                <w:sz w:val="18"/>
                <w:szCs w:val="18"/>
                <w:u w:val="single" w:color="auto"/>
                <w:color w:val="0000EE"/>
                <w:w w:val="96"/>
              </w:rPr>
            </w:pPr>
            <w:hyperlink w:anchor="page35">
              <w:r>
                <w:rPr>
                  <w:rFonts w:ascii="Arial" w:cs="Arial" w:eastAsia="Arial" w:hAnsi="Arial"/>
                  <w:sz w:val="18"/>
                  <w:szCs w:val="18"/>
                  <w:u w:val="single" w:color="auto"/>
                  <w:color w:val="0000EE"/>
                  <w:w w:val="96"/>
                </w:rPr>
                <w:t>F-4</w:t>
              </w:r>
            </w:hyperlink>
          </w:p>
        </w:tc>
      </w:tr>
      <w:tr>
        <w:trPr>
          <w:trHeight w:val="432"/>
        </w:trPr>
        <w:tc>
          <w:tcPr>
            <w:tcW w:w="91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Consolidated Statements of Comprehensive Loss for the years ended December 31, 2020 and 2019</w:t>
              </w:r>
            </w:hyperlink>
          </w:p>
        </w:tc>
        <w:tc>
          <w:tcPr>
            <w:tcW w:w="1500" w:type="dxa"/>
            <w:vAlign w:val="bottom"/>
          </w:tcPr>
          <w:p>
            <w:pPr>
              <w:jc w:val="center"/>
              <w:ind w:left="1030"/>
              <w:spacing w:after="0"/>
              <w:rPr>
                <w:rFonts w:ascii="Arial" w:cs="Arial" w:eastAsia="Arial" w:hAnsi="Arial"/>
                <w:sz w:val="18"/>
                <w:szCs w:val="18"/>
                <w:u w:val="single" w:color="auto"/>
                <w:color w:val="0000EE"/>
                <w:w w:val="96"/>
              </w:rPr>
            </w:pPr>
            <w:hyperlink w:anchor="page36">
              <w:r>
                <w:rPr>
                  <w:rFonts w:ascii="Arial" w:cs="Arial" w:eastAsia="Arial" w:hAnsi="Arial"/>
                  <w:sz w:val="18"/>
                  <w:szCs w:val="18"/>
                  <w:u w:val="single" w:color="auto"/>
                  <w:color w:val="0000EE"/>
                  <w:w w:val="96"/>
                </w:rPr>
                <w:t>F-5</w:t>
              </w:r>
            </w:hyperlink>
          </w:p>
        </w:tc>
      </w:tr>
      <w:tr>
        <w:trPr>
          <w:trHeight w:val="432"/>
        </w:trPr>
        <w:tc>
          <w:tcPr>
            <w:tcW w:w="91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Consolidated Statements of Stockholders’ Equity for the years ended December 31, 2020 and 2019</w:t>
              </w:r>
            </w:hyperlink>
          </w:p>
        </w:tc>
        <w:tc>
          <w:tcPr>
            <w:tcW w:w="1500" w:type="dxa"/>
            <w:vAlign w:val="bottom"/>
          </w:tcPr>
          <w:p>
            <w:pPr>
              <w:jc w:val="center"/>
              <w:ind w:left="1030"/>
              <w:spacing w:after="0"/>
              <w:rPr>
                <w:rFonts w:ascii="Arial" w:cs="Arial" w:eastAsia="Arial" w:hAnsi="Arial"/>
                <w:sz w:val="18"/>
                <w:szCs w:val="18"/>
                <w:u w:val="single" w:color="auto"/>
                <w:color w:val="0000EE"/>
                <w:w w:val="96"/>
              </w:rPr>
            </w:pPr>
            <w:hyperlink w:anchor="page37">
              <w:r>
                <w:rPr>
                  <w:rFonts w:ascii="Arial" w:cs="Arial" w:eastAsia="Arial" w:hAnsi="Arial"/>
                  <w:sz w:val="18"/>
                  <w:szCs w:val="18"/>
                  <w:u w:val="single" w:color="auto"/>
                  <w:color w:val="0000EE"/>
                  <w:w w:val="96"/>
                </w:rPr>
                <w:t>F-6</w:t>
              </w:r>
            </w:hyperlink>
          </w:p>
        </w:tc>
      </w:tr>
      <w:tr>
        <w:trPr>
          <w:trHeight w:val="432"/>
        </w:trPr>
        <w:tc>
          <w:tcPr>
            <w:tcW w:w="910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Consolidated Statements of Cash Flows for the years ended December 31, 2020 and 2019</w:t>
              </w:r>
            </w:hyperlink>
          </w:p>
        </w:tc>
        <w:tc>
          <w:tcPr>
            <w:tcW w:w="1500" w:type="dxa"/>
            <w:vAlign w:val="bottom"/>
          </w:tcPr>
          <w:p>
            <w:pPr>
              <w:jc w:val="center"/>
              <w:ind w:left="1030"/>
              <w:spacing w:after="0"/>
              <w:rPr>
                <w:rFonts w:ascii="Arial" w:cs="Arial" w:eastAsia="Arial" w:hAnsi="Arial"/>
                <w:sz w:val="18"/>
                <w:szCs w:val="18"/>
                <w:u w:val="single" w:color="auto"/>
                <w:color w:val="0000EE"/>
                <w:w w:val="96"/>
              </w:rPr>
            </w:pPr>
            <w:hyperlink w:anchor="page38">
              <w:r>
                <w:rPr>
                  <w:rFonts w:ascii="Arial" w:cs="Arial" w:eastAsia="Arial" w:hAnsi="Arial"/>
                  <w:sz w:val="18"/>
                  <w:szCs w:val="18"/>
                  <w:u w:val="single" w:color="auto"/>
                  <w:color w:val="0000EE"/>
                  <w:w w:val="96"/>
                </w:rPr>
                <w:t>F-7</w:t>
              </w:r>
            </w:hyperlink>
          </w:p>
        </w:tc>
      </w:tr>
      <w:tr>
        <w:trPr>
          <w:trHeight w:val="432"/>
        </w:trPr>
        <w:tc>
          <w:tcPr>
            <w:tcW w:w="910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Notes to Consolidated Financial Statements</w:t>
              </w:r>
            </w:hyperlink>
          </w:p>
        </w:tc>
        <w:tc>
          <w:tcPr>
            <w:tcW w:w="1500" w:type="dxa"/>
            <w:vAlign w:val="bottom"/>
          </w:tcPr>
          <w:p>
            <w:pPr>
              <w:jc w:val="center"/>
              <w:ind w:left="1030"/>
              <w:spacing w:after="0"/>
              <w:rPr>
                <w:rFonts w:ascii="Arial" w:cs="Arial" w:eastAsia="Arial" w:hAnsi="Arial"/>
                <w:sz w:val="18"/>
                <w:szCs w:val="18"/>
                <w:u w:val="single" w:color="auto"/>
                <w:color w:val="0000EE"/>
                <w:w w:val="96"/>
              </w:rPr>
            </w:pPr>
            <w:hyperlink w:anchor="page39">
              <w:r>
                <w:rPr>
                  <w:rFonts w:ascii="Arial" w:cs="Arial" w:eastAsia="Arial" w:hAnsi="Arial"/>
                  <w:sz w:val="18"/>
                  <w:szCs w:val="18"/>
                  <w:u w:val="single" w:color="auto"/>
                  <w:color w:val="0000EE"/>
                  <w:w w:val="96"/>
                </w:rPr>
                <w:t>F-8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25" w:right="9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Bioscience,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Harvard Bioscience, Inc. (a Delaware corporation) and subsidiaries (the “Company”) as of December 31, 2020 and 2019, the related consolidated statements of operations, comprehensive loss,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issued by the Committee of Sponsoring Organizations of the Treadway Commission (“COSO”), and our report dated March 12, 2021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57"/>
        </w:trPr>
        <w:tc>
          <w:tcPr>
            <w:tcW w:w="2780" w:type="dxa"/>
            <w:vAlign w:val="bottom"/>
          </w:tcPr>
          <w:p>
            <w:pPr>
              <w:spacing w:after="0"/>
              <w:rPr>
                <w:sz w:val="24"/>
                <w:szCs w:val="24"/>
                <w:color w:val="auto"/>
              </w:rPr>
            </w:pPr>
          </w:p>
        </w:tc>
        <w:tc>
          <w:tcPr>
            <w:tcW w:w="490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HARVARD BIOSCIENCE, INC.</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490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490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27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r>
      <w:tr>
        <w:trPr>
          <w:trHeight w:val="209"/>
        </w:trPr>
        <w:tc>
          <w:tcPr>
            <w:tcW w:w="2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10"/>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8,317</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8,335</w:t>
            </w: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20,704</w:t>
            </w:r>
          </w:p>
        </w:tc>
      </w:tr>
      <w:tr>
        <w:trPr>
          <w:trHeight w:val="216"/>
        </w:trPr>
        <w:tc>
          <w:tcPr>
            <w:tcW w:w="7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22,262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22,061</w:t>
            </w: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2,472</w:t>
            </w:r>
          </w:p>
        </w:tc>
      </w:tr>
      <w:tr>
        <w:trPr>
          <w:trHeight w:val="209"/>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53,572</w:t>
            </w:r>
          </w:p>
        </w:tc>
      </w:tr>
      <w:tr>
        <w:trPr>
          <w:trHeight w:val="216"/>
        </w:trPr>
        <w:tc>
          <w:tcPr>
            <w:tcW w:w="2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4,776</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8,463</w:t>
            </w: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57,381</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33,151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38,405</w:t>
            </w:r>
          </w:p>
        </w:tc>
      </w:tr>
      <w:tr>
        <w:trPr>
          <w:trHeight w:val="216"/>
        </w:trPr>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2,273</w:t>
            </w:r>
          </w:p>
        </w:tc>
      </w:tr>
      <w:tr>
        <w:trPr>
          <w:trHeight w:val="209"/>
        </w:trPr>
        <w:tc>
          <w:tcPr>
            <w:tcW w:w="7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156,254</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164,870</w:t>
            </w:r>
          </w:p>
        </w:tc>
      </w:tr>
      <w:tr>
        <w:trPr>
          <w:trHeight w:val="20"/>
        </w:trPr>
        <w:tc>
          <w:tcPr>
            <w:tcW w:w="2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7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76"/>
        </w:trPr>
        <w:tc>
          <w:tcPr>
            <w:tcW w:w="76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278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6,900</w:t>
            </w:r>
          </w:p>
        </w:tc>
      </w:tr>
      <w:tr>
        <w:trPr>
          <w:trHeight w:val="216"/>
        </w:trPr>
        <w:tc>
          <w:tcPr>
            <w:tcW w:w="7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2,424</w:t>
            </w: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5,339</w:t>
            </w:r>
          </w:p>
        </w:tc>
      </w:tr>
      <w:tr>
        <w:trPr>
          <w:trHeight w:val="216"/>
        </w:trPr>
        <w:tc>
          <w:tcPr>
            <w:tcW w:w="7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3,949</w:t>
            </w: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6,700</w:t>
            </w:r>
          </w:p>
        </w:tc>
      </w:tr>
      <w:tr>
        <w:trPr>
          <w:trHeight w:val="210"/>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25,312</w:t>
            </w:r>
          </w:p>
        </w:tc>
      </w:tr>
      <w:tr>
        <w:trPr>
          <w:trHeight w:val="216"/>
        </w:trPr>
        <w:tc>
          <w:tcPr>
            <w:tcW w:w="2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46,917</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1,974</w:t>
            </w: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8,224</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w:t>
            </w:r>
          </w:p>
        </w:tc>
      </w:tr>
      <w:tr>
        <w:trPr>
          <w:trHeight w:val="209"/>
        </w:trPr>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79,573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83,176</w:t>
            </w:r>
          </w:p>
        </w:tc>
      </w:tr>
      <w:tr>
        <w:trPr>
          <w:trHeight w:val="210"/>
        </w:trPr>
        <w:tc>
          <w:tcPr>
            <w:tcW w:w="2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 Note 15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7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par value $0.01 per share, 80,000,000 shares authorized; 47,152,587 and 45,933,715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 issued and 39,407,080 and 38,188,208 shares outstanding, respectively</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232,357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229,189</w:t>
            </w:r>
          </w:p>
        </w:tc>
      </w:tr>
      <w:tr>
        <w:trPr>
          <w:trHeight w:val="216"/>
        </w:trPr>
        <w:tc>
          <w:tcPr>
            <w:tcW w:w="7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(124,576)</w:t>
            </w:r>
          </w:p>
        </w:tc>
      </w:tr>
      <w:tr>
        <w:trPr>
          <w:trHeight w:val="216"/>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(12,689)</w:t>
            </w:r>
          </w:p>
        </w:tc>
      </w:tr>
      <w:tr>
        <w:trPr>
          <w:trHeight w:val="216"/>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7,745,507 common shares</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r>
      <w:tr>
        <w:trPr>
          <w:trHeight w:val="209"/>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76,681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81,694</w:t>
            </w:r>
          </w:p>
        </w:tc>
      </w:tr>
      <w:tr>
        <w:trPr>
          <w:trHeight w:val="250"/>
        </w:trPr>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156,254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164,870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4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657"/>
        </w:trPr>
        <w:tc>
          <w:tcPr>
            <w:tcW w:w="3160" w:type="dxa"/>
            <w:vAlign w:val="bottom"/>
          </w:tcPr>
          <w:p>
            <w:pPr>
              <w:spacing w:after="0"/>
              <w:rPr>
                <w:sz w:val="24"/>
                <w:szCs w:val="24"/>
                <w:color w:val="auto"/>
              </w:rPr>
            </w:pPr>
          </w:p>
        </w:tc>
        <w:tc>
          <w:tcPr>
            <w:tcW w:w="562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w w:val="99"/>
              </w:rPr>
              <w:t>HARVARD BIOSCIENCE, INC.</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562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5620" w:type="dxa"/>
            <w:vAlign w:val="bottom"/>
            <w:gridSpan w:val="2"/>
          </w:tcPr>
          <w:p>
            <w:pPr>
              <w:jc w:val="center"/>
              <w:ind w:right="6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09"/>
        </w:trPr>
        <w:tc>
          <w:tcPr>
            <w:tcW w:w="3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102,100</w:t>
            </w:r>
          </w:p>
        </w:tc>
        <w:tc>
          <w:tcPr>
            <w:tcW w:w="10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116,176</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Cost of revenues</w:t>
            </w:r>
          </w:p>
        </w:tc>
        <w:tc>
          <w:tcPr>
            <w:tcW w:w="4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44,059</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51,854</w:t>
            </w:r>
          </w:p>
        </w:tc>
      </w:tr>
      <w:tr>
        <w:trPr>
          <w:trHeight w:val="210"/>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46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58,041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64,322</w:t>
            </w:r>
          </w:p>
        </w:tc>
      </w:tr>
      <w:tr>
        <w:trPr>
          <w:trHeight w:val="209"/>
        </w:trPr>
        <w:tc>
          <w:tcPr>
            <w:tcW w:w="3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Sales and marketing expenses</w:t>
            </w: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19,916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23,264</w:t>
            </w: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General and administrative expenses</w:t>
            </w: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23,509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22,760</w:t>
            </w: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w w:val="97"/>
              </w:rPr>
              <w:t>Research and development expenses</w:t>
            </w: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8,685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10,715</w:t>
            </w: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4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5,746</w:t>
            </w: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4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r>
      <w:tr>
        <w:trPr>
          <w:trHeight w:val="209"/>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6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57,820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63,945</w:t>
            </w:r>
          </w:p>
        </w:tc>
      </w:tr>
      <w:tr>
        <w:trPr>
          <w:trHeight w:val="210"/>
        </w:trPr>
        <w:tc>
          <w:tcPr>
            <w:tcW w:w="3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spacing w:after="0" w:line="258" w:lineRule="auto"/>
        <w:rPr>
          <w:sz w:val="20"/>
          <w:szCs w:val="20"/>
          <w:color w:val="auto"/>
        </w:rPr>
      </w:pPr>
      <w:r>
        <w:rPr>
          <w:rFonts w:ascii="Arial" w:cs="Arial" w:eastAsia="Arial" w:hAnsi="Arial"/>
          <w:sz w:val="18"/>
          <w:szCs w:val="18"/>
          <w:color w:val="auto"/>
        </w:rPr>
        <w:t>Debt extinguishment and related costs Other expense, net</w:t>
      </w:r>
    </w:p>
    <w:p>
      <w:pPr>
        <w:spacing w:after="0"/>
        <w:rPr>
          <w:sz w:val="20"/>
          <w:szCs w:val="20"/>
          <w:color w:val="auto"/>
        </w:rPr>
      </w:pPr>
      <w:r>
        <w:rPr>
          <w:rFonts w:ascii="Arial" w:cs="Arial" w:eastAsia="Arial" w:hAnsi="Arial"/>
          <w:sz w:val="18"/>
          <w:szCs w:val="18"/>
          <w:color w:val="auto"/>
        </w:rPr>
        <w:t>Total other expense</w:t>
      </w:r>
    </w:p>
    <w:p>
      <w:pPr>
        <w:spacing w:after="0" w:line="224" w:lineRule="exact"/>
        <w:rPr>
          <w:sz w:val="20"/>
          <w:szCs w:val="20"/>
          <w:color w:val="auto"/>
        </w:rPr>
      </w:pPr>
    </w:p>
    <w:p>
      <w:pPr>
        <w:ind w:right="820"/>
        <w:spacing w:after="0" w:line="316" w:lineRule="auto"/>
        <w:rPr>
          <w:sz w:val="20"/>
          <w:szCs w:val="20"/>
          <w:color w:val="auto"/>
        </w:rPr>
      </w:pPr>
      <w:r>
        <w:rPr>
          <w:rFonts w:ascii="Arial" w:cs="Arial" w:eastAsia="Arial" w:hAnsi="Arial"/>
          <w:sz w:val="16"/>
          <w:szCs w:val="16"/>
          <w:color w:val="auto"/>
        </w:rPr>
        <w:t>Loss before income taxes Income tax expense (benefit)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 per share:</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common shares: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444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(5,410)</w:t>
            </w:r>
          </w:p>
        </w:tc>
      </w:tr>
      <w:tr>
        <w:trPr>
          <w:trHeight w:val="216"/>
        </w:trPr>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209"/>
        </w:trPr>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r>
      <w:tr>
        <w:trPr>
          <w:trHeight w:val="411"/>
        </w:trPr>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(5,502)</w:t>
            </w:r>
          </w:p>
        </w:tc>
      </w:tr>
      <w:tr>
        <w:trPr>
          <w:trHeight w:val="230"/>
        </w:trPr>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210"/>
        </w:trPr>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28"/>
        </w:trPr>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(0.20)</w:t>
            </w:r>
          </w:p>
        </w:tc>
        <w:tc>
          <w:tcPr>
            <w:tcW w:w="6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38,640</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37,814</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-2159635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-1885315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-1602740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-1319530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-1036320</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-736600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-436880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-162560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2" w:lineRule="exact"/>
        <w:rPr>
          <w:sz w:val="20"/>
          <w:szCs w:val="20"/>
          <w:color w:val="auto"/>
        </w:rPr>
      </w:pPr>
    </w:p>
    <w:p>
      <w:pPr>
        <w:jc w:val="center"/>
        <w:ind w:right="340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8"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920" w:space="480"/>
            <w:col w:w="7840"/>
          </w:cols>
          <w:pgMar w:left="320" w:top="125"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HARVARD BIOSCIENCE, INC.</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jc w:val="center"/>
              <w:ind w:left="219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0"/>
              </w:rPr>
              <w:t>(In thousands)</w:t>
            </w:r>
          </w:p>
        </w:tc>
        <w:tc>
          <w:tcPr>
            <w:tcW w:w="26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620" w:type="dxa"/>
            <w:vAlign w:val="bottom"/>
            <w:tcBorders>
              <w:bottom w:val="single" w:sz="8" w:color="auto"/>
            </w:tcBorders>
            <w:gridSpan w:val="4"/>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(7,810)</w:t>
            </w:r>
          </w:p>
        </w:tc>
        <w:tc>
          <w:tcPr>
            <w:tcW w:w="10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(4,687)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Derivatives qualifying as hedges, net of tax:</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derivative instruments designated and qualifying as cash flow hedges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Amounts reclassified from accumulated other comprehensive loss to net loss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Derivatives qualifying as hedges, net of tax</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Defined benefit pension plans, net of tax:</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gain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Amounts reclassified from accumulated other comprehensive loss to net loss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Defined benefit pension plans, net of tax</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(2,680)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Other comprehensive (loss) income</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(8,187)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8"/>
          </w:tcPr>
          <w:p>
            <w:pPr>
              <w:jc w:val="center"/>
              <w:ind w:right="560"/>
              <w:spacing w:after="0"/>
              <w:rPr>
                <w:sz w:val="20"/>
                <w:szCs w:val="20"/>
                <w:color w:val="auto"/>
              </w:rPr>
            </w:pPr>
            <w:r>
              <w:rPr>
                <w:rFonts w:ascii="Arial" w:cs="Arial" w:eastAsia="Arial" w:hAnsi="Arial"/>
                <w:sz w:val="18"/>
                <w:szCs w:val="18"/>
                <w:b w:val="1"/>
                <w:bCs w:val="1"/>
                <w:color w:val="auto"/>
                <w:w w:val="99"/>
              </w:rPr>
              <w:t>HARVARD BIOSCIENCE, INC.</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6080" w:type="dxa"/>
            <w:vAlign w:val="bottom"/>
            <w:gridSpan w:val="16"/>
          </w:tcPr>
          <w:p>
            <w:pPr>
              <w:jc w:val="center"/>
              <w:ind w:right="46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9"/>
              </w:rPr>
              <w:t>Accumulated</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Treasury</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Issued</w:t>
            </w:r>
          </w:p>
        </w:tc>
        <w:tc>
          <w:tcPr>
            <w:tcW w:w="140" w:type="dxa"/>
            <w:vAlign w:val="bottom"/>
          </w:tcPr>
          <w:p>
            <w:pPr>
              <w:spacing w:after="0"/>
              <w:rPr>
                <w:sz w:val="20"/>
                <w:szCs w:val="20"/>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45,124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226,377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(119,889)</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82,724</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Stock option exercises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Shares issued under stock purchase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Vesting of restricted stock units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3,034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229,189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(124,576)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81,694</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Stock option exercises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Shares issued under stock purchase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Vesting of restricted stock units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1,171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3,647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232,357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(132,386)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76,681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57"/>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HARVARD BIOSCIENCE, INC.</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(7,810)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(4,687)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1,987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Write-off of unamortized deferred financing costs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Debt extinguishment cost</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Impairment charges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allowance for doubtful accounts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3,260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8,045</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Disposition of business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issuance of debt</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61,315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(66,912)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Debt issuance cost</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extinguishment cost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Taxes paid for net share settlement of equity awards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8,173</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8,317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8,335</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5,496</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Cash paid for income taxes, net of refunds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Harvard Bioscience, Inc., a Delaware corporation, is a leading developer, manufacturer and seller of technologies, products and services that enable fundamental research, discovery, and preclinical testing for drug development. The Company’s products and services are sold globally to customers ranging from renowned academic institutions and government laboratories to the world’s leading pharmaceutical, biotechnology and contract research organizations. With operations in North America, Europe and China, the Company has sales through a combination of direct and distribution channels to customers around the world.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The COVID-19 pandemic has had a negative impact on the Company’s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negatively impacted, and will continue to negatively impact, our sales. Additionally, to ensure business continuity while maintaining a safe environment for employees aligned with guidance from government and health organizations, the Company transitioned the majority of its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the Company has maintained operations under these conditions, these measures represent disruptions which can impact productivity including sales and marketing activities. Accordingly, these conditions in addition to the overall impact on the global economy have negatively impacted our results of operations and cash flows.</w:t>
      </w:r>
    </w:p>
    <w:p>
      <w:pPr>
        <w:spacing w:after="0" w:line="18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As a result of these market and economic conditions, the Company performed an analysis for potential impairment indicators of its intangible and other long-lived assets in accordance with the guidelines set forth in the Financial Accounting Standards Board (“FASB”) Accounting Standards Codification (“ASC”) 350, “Intangibles – Goodwill and Other” and ASC 360, “Property, Plant, and Equipment.” For the year ended December 31, 2020, the Company concluded there were no impairments of goodwill, other indefinite-lived intangibles, or long-lived assets that resulted from triggering events due to the COVID-19 pandemic.</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consolidated financial statements include the accounts of Harvard Bioscience, Inc. and its wholly-owned subsidiaries. All intercompany balances and transactions have been eliminated in consolidation.</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the use of management estimates. Such estimates include the determination and establishment of certain accruals and provisions, including those for inventory excess and obsolescence, income tax and reserves for bad debts. In addition, certain estimates are required in order to determine the value of assets and liabilities associated with acquisitions, as well as the Company’s defined benefit pension obligations. Estimates are also required to evaluate the value and recoverability of existing long-lived and intangible assets, including goodwill. On an ongoing basis, the Company reviews its estimates based upon currently available information. Actual results could differ materially from those estimates.</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 considers all highly liquid instruments with original maturities of three months or less to be cash equivalents. Cash and cash equivalents include cash on hand and amounts due from banks. The Company maintains a portion of its cash in bank deposits, which at times, may exceed federally insured limits. The Company has not experienced any losses in such accounts. The Company does not believe it is exposed to any significant risk with respect to these accounts.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 Allowance for Doubtful Accounts</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allowance for doubtful accounts reflects the Company’s best estimate of probable losses inherent in the accounts receivable balance. The Company determines the allowance based on considering factors such as historical experience, credit quality, known troubled accounts, historical experience, factors that may affect a customer’s ability to pay and other currently available evidence.</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  Inventories</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 values its inventories at the lower of the actual cost to purchase (first-in, first-out method) and/or manufacture the inventories or the net realizable value of the inventories. The Company regularly reviews inventory quantities on hand and records a provision to write down excess and obsolete inventories to its estimated net realizable value if less than cost, based primarily on historical inventory usage and estimated forecast of product demand.</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Property, Plant and Equipment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are stated at cost and depreciated using the straight-line method over the estimated useful lives of the assets as follows:</w:t>
      </w:r>
    </w:p>
    <w:p>
      <w:pPr>
        <w:spacing w:after="0" w:line="262"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Computer equipment and software (years)</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ind w:left="20"/>
              <w:spacing w:after="0"/>
              <w:rPr>
                <w:sz w:val="20"/>
                <w:szCs w:val="20"/>
                <w:color w:val="auto"/>
              </w:rPr>
            </w:pPr>
            <w:r>
              <w:rPr>
                <w:rFonts w:ascii="Arial" w:cs="Arial" w:eastAsia="Arial" w:hAnsi="Arial"/>
                <w:sz w:val="18"/>
                <w:szCs w:val="18"/>
                <w:color w:val="auto"/>
              </w:rPr>
              <w:t>- 7</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w:t>
            </w:r>
          </w:p>
        </w:tc>
      </w:tr>
    </w:tbl>
    <w:p>
      <w:pPr>
        <w:spacing w:after="0" w:line="202"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Property and equipment held under capital leases and leasehold improvements are amortized using the straight-line method over the shorter of the lease term or estimated useful life of the asset.</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 Leases</w:t>
      </w:r>
    </w:p>
    <w:p>
      <w:pPr>
        <w:spacing w:after="0" w:line="22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The Company accounts for its leases in accordance with ASC 842 Leases. The Company leases office space, manufacturing facilities, automobiles and equipment. The Company concludes on whether an arrangement is a lease at inception. This determination as to whether an arrangement contains a lease is based on an assessment as to whether a contract conveys the right to the Company to control the use of identified property, plant or equipment for period of time in exchange for consideration. Leases with an initial term of 12 months or less are not recorded on the balance sheet. The Company recognizes these lease expenses on a straight-line basis over the lease term.</w:t>
      </w:r>
    </w:p>
    <w:p>
      <w:pPr>
        <w:spacing w:after="0" w:line="188" w:lineRule="exact"/>
        <w:rPr>
          <w:sz w:val="20"/>
          <w:szCs w:val="20"/>
          <w:color w:val="auto"/>
        </w:rPr>
      </w:pPr>
    </w:p>
    <w:p>
      <w:pPr>
        <w:jc w:val="both"/>
        <w:ind w:right="20" w:firstLine="450"/>
        <w:spacing w:after="0" w:line="342" w:lineRule="auto"/>
        <w:rPr>
          <w:sz w:val="20"/>
          <w:szCs w:val="20"/>
          <w:color w:val="auto"/>
        </w:rPr>
      </w:pPr>
      <w:r>
        <w:rPr>
          <w:rFonts w:ascii="Arial" w:cs="Arial" w:eastAsia="Arial" w:hAnsi="Arial"/>
          <w:sz w:val="16"/>
          <w:szCs w:val="16"/>
          <w:color w:val="auto"/>
        </w:rPr>
        <w:t>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pacing w:after="0" w:line="124"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operating lease ROU asset also includes any lease payments made and excludes lease incentives. Lease expense for lease payments is recognized on a straight-line basis over the lease term. The Company has lease agreements with lease and non-lease components, which are generally accounted for separately. Additionally, for its leases, the Company applies a portfolio approach to effectively account for the operating lease ROU assets and liabilities.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(h) Income Taxes</w:t>
      </w:r>
    </w:p>
    <w:p>
      <w:pPr>
        <w:spacing w:after="0" w:line="22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jc w:val="both"/>
        <w:ind w:right="20" w:firstLine="450"/>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more than 50% likely of being realized. Changes in recognition are reflected in the period in which the judgement occurs.</w:t>
      </w:r>
    </w:p>
    <w:p>
      <w:pPr>
        <w:spacing w:after="0" w:line="400"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6"/>
          <w:szCs w:val="16"/>
          <w:b w:val="1"/>
          <w:bCs w:val="1"/>
          <w:i w:val="1"/>
          <w:iCs w:val="1"/>
          <w:color w:val="auto"/>
        </w:rPr>
        <w:t>Foreign Currency Translation</w:t>
      </w:r>
    </w:p>
    <w:p>
      <w:pPr>
        <w:spacing w:after="0" w:line="225"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The functional currency of the Company’s foreign subsidiaries is generally their local currency. All assets and liabilities of its foreign subsidiaries are translated at exchange rates in effect at period-end. Income and expenses are translated at rates which approximate those in effect on the transaction dates. The resulting translation adjustment is recorded as a separate component of stockholders’ equity in accumulated other comprehensive (loss) income (“AOCI”) in the consolidated balance sheets. Gains and losses resulting from foreign currency transactions are included in net (loss) income.</w:t>
      </w:r>
    </w:p>
    <w:p>
      <w:pPr>
        <w:spacing w:after="0" w:line="373"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Earnings per Share</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common stock outstanding during the periods presented. The computation of diluted earnings per share is similar to the computation of basic earnings per share, except that the denominator is increased for the assumed exercise of dilutive options and other potentially dilutive securities using the treasury stock method unless the effect is antidilutive.</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(k) Comprehensive (Loss) Income</w:t>
      </w:r>
    </w:p>
    <w:p>
      <w:pPr>
        <w:spacing w:after="0" w:line="225"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In accordance with ASC 220, the Company reports all changes in equity during a period, resulting from net (loss) income and transactions from non-owner sources, in a financial statement in the period in which they are recognized. The Company has chosen to disclose comprehensive (loss) income, which encompasses net (loss) income, foreign currency translation adjustments, gains and losses on derivatives, the underfunded status of its pension plans, and pension minimum additional liability adjustments, net of tax, in the consolidated statements of comprehensive (loss) income.</w:t>
      </w:r>
    </w:p>
    <w:p>
      <w:pPr>
        <w:spacing w:after="0" w:line="387"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Revenue Recognition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Nature of contracts and customers</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Company’s contracts are primarily of short duration and are mostly based on the receipt and fulfilment of purchase orders. The purchase orders are binding and include pricing and all other relevant terms and conditions.</w:t>
      </w:r>
    </w:p>
    <w:p>
      <w:pPr>
        <w:spacing w:after="0" w:line="170"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The Company’s customers are primarily research scientists at pharmaceutical and biotechnology companies, universities, hospitals, government laboratories, including the United States National Institutes of Health (NIH) and contract research organizations. The Company also has global and regional distribution partners, and original equipment manufacturer (OEM) customers who incorporate its products into their products under their own brands.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6"/>
          <w:szCs w:val="16"/>
          <w:color w:val="auto"/>
        </w:rPr>
        <w:t>The Company’s performance obligations under its revenue contracts consist of its instruments, equipment, accessories, services, maintenance and extended warranties. Equipment also includes software that functions together with the tangible equipment to deliver its essential functionality. Contracts with customers may contain multiple promises such as delivery of hardware, software, professional services or post-contract support services. These promises are accounted for as separate performance obligations if they are distinct. For contracts with customers that contain multiple performance obligations, the transaction price is allocated to the separate performance obligations based on estimated relative standalone selling price, which does not materially differ from the stated price in the contract. In general, the Company’s list prices are indicative of standalone selling price.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Instruments, equipment and accessories consist of a range of products that are used in life sciences research. Revenues from the sales of these items are recognized when transfer of control of these products to the customer occurs. Transfer of control occurs when the Company has a right to payment, and the customer has legal title to the asset and the customer or their selected carrier has possession, which is typically upon shipment. Sales on these items are therefore generally recognized at a point in time.</w:t>
      </w:r>
    </w:p>
    <w:p>
      <w:pPr>
        <w:spacing w:after="0" w:line="187"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6"/>
          <w:szCs w:val="16"/>
          <w:color w:val="auto"/>
        </w:rPr>
        <w:t>The Company’s equipment revenue also includes the sale of wireless implantable monitors that are used for life science research purposes. The Company sells these wireless implantable monitors to pharmaceutical companies, contract research organizations and academic laboratories. In addition to sales generated from new and existing customers, these implantable devices are also sold under a program called the “exchange program.” Under this program, customers may return an implantable monitor to the Company after use, and if the returned monitor can be reprocessed and resold, they may, in exchange, purchase a replacement implantable monitor of the same model at a lower price than a new monitor. The implantable monitors that are returned by customers are reprocessed and made available for future sale. The initial sale of implantable monitors and subsequent sale of replacement implantable monitors are independent transactions. The Company has no obligation in connection with the initial sale to sell replacement implantable monitors at any future date under any fixed terms and may refuse returned implantable monitors that cannot be recovered or are obsolete. The Company has concluded that the offer to its customers that they may purchase a discounted product in the future is not a material right based on the applicable guidance within ASC 606.</w:t>
      </w:r>
    </w:p>
    <w:p>
      <w:pPr>
        <w:spacing w:after="0" w:line="166" w:lineRule="exact"/>
        <w:rPr>
          <w:sz w:val="20"/>
          <w:szCs w:val="20"/>
          <w:color w:val="auto"/>
        </w:rPr>
      </w:pPr>
    </w:p>
    <w:p>
      <w:pPr>
        <w:jc w:val="both"/>
        <w:ind w:firstLine="450"/>
        <w:spacing w:after="0" w:line="290" w:lineRule="auto"/>
        <w:rPr>
          <w:sz w:val="20"/>
          <w:szCs w:val="20"/>
          <w:color w:val="auto"/>
        </w:rPr>
      </w:pPr>
      <w:r>
        <w:rPr>
          <w:rFonts w:ascii="Arial" w:cs="Arial" w:eastAsia="Arial" w:hAnsi="Arial"/>
          <w:sz w:val="16"/>
          <w:szCs w:val="16"/>
          <w:color w:val="auto"/>
        </w:rPr>
        <w:t>Service revenues consist of installation, training, data analysis, and surgeries performed on research animals. Maintenance revenue consists of post-contract support provided in relation to software that is embedded within the equipment that is sold to the customer. The Company provides standard warranties that promise the customer that the product will work as promised. These standard warranties are not a separate performance obligation. Extended warranties relate to warranties that are separately priced, and purchased in addition to a standard warranty, and are therefore a separate performance obligation. The Company has made the judgment that the customer benefits as the Company performs over the period of the contract, and therefore revenues from service, maintenance and warranty contracts are recognized over time. The Company uses the input method to recognize revenue over time, based on time elapsed, which is generally on a straight-line basis over the service period. The period over which maintenance and warranty contracts is recognized is typically one year. The period over which service revenues is recognized is generally less than one month.</w:t>
      </w:r>
    </w:p>
    <w:p>
      <w:pPr>
        <w:spacing w:after="0" w:line="165"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For sales for which transfer of control occurs upon shipment, the Company accounts for shipping and handling costs as fulfilment costs. As such, the Company records the amounts billed to the customer for shipping costs as revenue and the costs within cost of revenues upon shipment. For sales, for which control transfers to customers after shipment, the Company has elected to account for shipping and handling as activities to fulfill the promise to transfer the goods to the customer. The Company therefore accrues for the costs of shipping undelivered items in the period of shipment.</w:t>
      </w:r>
    </w:p>
    <w:p>
      <w:pPr>
        <w:spacing w:after="0" w:line="157"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Revenues expected to be recognized related to any and all remaining performance obligations are generally expected to be recognized in one year or less, as the majority of the Company's contracts have a term of less than one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6"/>
          <w:szCs w:val="16"/>
          <w:color w:val="auto"/>
        </w:rPr>
        <w:t>The nature of the Company's contracts gives rise to certain types of variable consideration, including in limited cases volume and payment discounts. The Company analyzes sales that could include variable consideration and estimates the expected or most likely amount of revenue after returns, trade-ins, discounts, rebates, credits, and incentives. Product returns are estimated and accrued for, based on historical information. In making these estimates, the Company considers whether the amount of variable consideration is constrained and is included in revenue only to the extent that it is probable that a significant reversal of the revenue recognized will not occur when the uncertainty associated with the variable consideration is subsequently resolved. Variable consideration, and its impact on the Company’s revenue recognition, was not material in any of the periods presented.</w:t>
      </w:r>
    </w:p>
    <w:p>
      <w:pPr>
        <w:spacing w:after="0" w:line="16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Company’s payment terms are generally from zero to sixty days from the time of invoicing, which generally occurs at the time of shipment or prior to services being performed. Payment terms vary by the type of its customers and the products or services offered.</w:t>
      </w:r>
    </w:p>
    <w:p>
      <w:pPr>
        <w:spacing w:after="0" w:line="170" w:lineRule="exact"/>
        <w:rPr>
          <w:sz w:val="20"/>
          <w:szCs w:val="20"/>
          <w:color w:val="auto"/>
        </w:rPr>
      </w:pPr>
    </w:p>
    <w:p>
      <w:pPr>
        <w:jc w:val="both"/>
        <w:ind w:right="20" w:firstLine="450"/>
        <w:spacing w:after="0" w:line="277" w:lineRule="auto"/>
        <w:rPr>
          <w:sz w:val="20"/>
          <w:szCs w:val="20"/>
          <w:color w:val="auto"/>
        </w:rPr>
      </w:pPr>
      <w:r>
        <w:rPr>
          <w:rFonts w:ascii="Arial" w:cs="Arial" w:eastAsia="Arial" w:hAnsi="Arial"/>
          <w:sz w:val="18"/>
          <w:szCs w:val="18"/>
          <w:color w:val="auto"/>
        </w:rPr>
        <w:t>Sales taxes, value added taxes, and certain excise taxes collected from customers and remitted to governmental authorities are accounted for on a net basis and are therefore excluded from revenues.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Company records deferred revenue when cash is collected from customers prior to satisfaction of the Company’s performance obligation to the customer. Deferred revenue consists of amounts deferred related to service contracts and revenue deferred as a result of payments received in advance from customers. Deferred revenue is generally expected to be recognized within one year.</w:t>
      </w:r>
    </w:p>
    <w:p>
      <w:pPr>
        <w:spacing w:after="0" w:line="184"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amounts included in deferred revenue from advanced payments relate to amounts that are prepaid for wireless implantable monitors under the exchange program. The Company has made the judgment that these payments do not represent a significant financing component as the customer can exercise their discretion as to when they can obtain the products that they have made a prepayment for.</w:t>
      </w:r>
    </w:p>
    <w:p>
      <w:pPr>
        <w:spacing w:after="0" w:line="184" w:lineRule="exact"/>
        <w:rPr>
          <w:sz w:val="20"/>
          <w:szCs w:val="20"/>
          <w:color w:val="auto"/>
        </w:rPr>
      </w:pPr>
    </w:p>
    <w:p>
      <w:pPr>
        <w:jc w:val="both"/>
        <w:ind w:right="20" w:firstLine="450"/>
        <w:spacing w:after="0" w:line="263" w:lineRule="auto"/>
        <w:rPr>
          <w:sz w:val="20"/>
          <w:szCs w:val="20"/>
          <w:color w:val="auto"/>
        </w:rPr>
      </w:pPr>
      <w:r>
        <w:rPr>
          <w:rFonts w:ascii="Arial" w:cs="Arial" w:eastAsia="Arial" w:hAnsi="Arial"/>
          <w:sz w:val="18"/>
          <w:szCs w:val="18"/>
          <w:color w:val="auto"/>
        </w:rPr>
        <w:t>Advanced payments received from customers are recorded as a liability, and revenue is recognized when the Company’s performance obligations are completed. Performance obligations are completed when the product is shipped or delivered to the customer, or at the end of the exchange program if goods are not acquired prior to the termination of the contract period.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Refer to Note 13 for revenue disaggregated by type as well as further information about the deferred revenue balances and to Note 16 for revenue disaggregated by geographic region.</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 Valuation of Identifiable Intangible Assets Acquired in Business Combinations</w:t>
      </w:r>
    </w:p>
    <w:p>
      <w:pPr>
        <w:spacing w:after="0" w:line="225"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The determination of the fair value of intangible assets, which represents a significant portion of the purchase price in the Company’s acquisitions, requires the use of significant judgment with regard to (i) the fair value; and (ii) whether such intangibles are amortizable or not amortizable and, if the former, the period and the method by which the intangibles asset will be amortized. The Company estimates the fair value of acquisition-related intangible assets principally based on projections of discounted cash flows that will arise from identifiable assets of acquired businesses. Amortizable intangible assets include existing technology, trade names, distribution agreements, customer relationships and patents, and are amortized on a straight-line basis over their estimated useful lives.</w:t>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 Goodwill and Other Intangible Assets</w:t>
      </w:r>
    </w:p>
    <w:p>
      <w:pPr>
        <w:spacing w:after="0" w:line="22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Goodwill and unamortizable intangible assets acquired in a business combination and determined to have an indefinite useful life are not amortized, but instead are tested for impairment annually or more frequently if events or changes in circumstances indicate that the asset might be impaired, in accordance with the provisions of ASC 350, “Intangibles—Goodwill and Other.”</w:t>
      </w:r>
    </w:p>
    <w:p>
      <w:pPr>
        <w:spacing w:after="0" w:line="184"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6"/>
          <w:szCs w:val="16"/>
          <w:color w:val="auto"/>
        </w:rPr>
        <w:t>For the purpose of its goodwill analysis, the Company has one reporting unit. The Company conducts its annual impairment analysis in the fourth quarter of the fiscal year and more frequently if there is an indicator of impairment. The Company assesses qualitative factors of the reporting unit to determine whether it is more likely than not that the fair value of the reporting unit is less than its carrying value. If the qualitative assessment indicates a potential impairment, a quantitative analysis is performed. The Company compares the fair value of the reporting unit with its carrying amount. The Company estimates fair value using under the income approach using the discounted cash flows model, which indicates the fair value of the reporting unit based on the present value of the cash flows that the Company expects the reporting unit to generate in the future. The Company's significant estimates in the discounted cash flows model include weighted average cost of capital, long-term rate of growth and profitability of the reporting unit’s business, and working capital effects. If the carrying amount of a reporting unit exceeds its fair value, goodwill is impaired and the Company would recognize a loss equal to the excess. For indefinite-lived intangible assets if the carrying value exceeds the fair value of the asset, the Company would write down the indefinite-lived intangible asset to fair value. At December 31, 2020, the Company concluded that none of its goodwill was impaired.</w:t>
      </w:r>
    </w:p>
    <w:p>
      <w:pPr>
        <w:spacing w:after="0" w:line="168"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 evaluates indefinite-lived intangible assets for impairment annually and when events occur, or circumstances change that may reduce the fair value of the asset below its carrying amount. Events or circumstances that might require an interim evaluation include unexpected adverse business conditions, economic factors, unanticipated technological changes or competitive activities, loss of key personnel and acts by governments and courts. Refer to Note 4 for further details regarding impairment of indefinite-lived intangible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 Impairment of Long-Lived Assets</w:t>
      </w:r>
    </w:p>
    <w:p>
      <w:pPr>
        <w:spacing w:after="0" w:line="225"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The Company assesses recoverability of its long-lived assets that are held for use, such as property, plant and equipment and amortizable intangible assets in accordance with ASC 360, “Property, Plant and Equipment” when events or changes in circumstances indicate that the carrying amount of an asset or asset group may not be recoverable. Recoverability of assets or an asset group to be held and used is measured by a comparison of the carrying amount of an asset or asset group to estimated undiscounted future cash flows expected to be generated by the asset or the asset group. Cash flow projections are based on trends of historical performance and management’s estimate of future performance. If the carrying amount of the asset or asset group exceeds the estimated future cash flows, an impairment charge is recognized by the amount by which the carrying amount of the asset or asset group exceeds its estimated fair value. For the year ended December 31, 2020, the Company concluded that none of its long-lived assets were impaired.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Derivatives</w:t>
      </w:r>
    </w:p>
    <w:p>
      <w:pPr>
        <w:spacing w:after="0" w:line="225"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 The Company recognizes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AOCI, to the extent the derivative is effective at offsetting the changes in cash flows being hedged until the hedged item affects earnings.</w:t>
      </w:r>
    </w:p>
    <w:p>
      <w:pPr>
        <w:spacing w:after="0" w:line="192"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The Company only enters into derivative contracts that it intends to designate as a hedge of a forecasted transaction or the variability of cash flows to be received or paid related to a recognized asset or liability (cash flow hedge). For all hedging relationships, the Company formally documents the hedging relationship and its risk-management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The Company also formally assesses, both at the inception of the hedging relationship and on an ongoing basis, whether the derivatives that are used in hedging relationships are highly effective in offsetting changes in cash flows of hedged transactions. For derivative instruments that are designated and qualify as part of a cash flow hedging relationship,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5"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Company discontinues hedge accounting prospectively when it determines that the derivative is no longer effective in offsetting cash flows attributable to the hedged risk, the derivative expires or is sold, terminated, or exercised, the cash flow hedge is de-designated because a forecasted transaction is not probable of occurring, or management determines to remove the designation of the cash flow hedge.</w:t>
      </w:r>
    </w:p>
    <w:p>
      <w:pPr>
        <w:spacing w:after="0" w:line="184"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In all situations in which hedge accounting is discontinued and the derivative remains outstanding, the Company continues to carry the derivative at its fair value on the balance sheet and recognizes any subsequent changes in its fair value in earnings. When it is probable that a forecasted transaction will not occur, the Company discontinues hedge accounting and recognizes immediately in earnings gains and losses that were accumulated in other comprehensive income related to the hedging relationship.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Fair Value of Financial Instruments</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carrying values of the Company’s cash and cash equivalents, trade accounts receivable and trade accounts payable and short-term debt approximate their fair values because of the short maturities of those instruments. The fair value of the Company’s long-term debt approximates its carrying value and is based on the amount of future cash flows associated with the debt discounted using current borrowing rates for similar debt instruments of comparable maturity.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reporting standards define a fair value hierarchy that consists of three levels:</w:t>
      </w:r>
    </w:p>
    <w:p>
      <w:pPr>
        <w:spacing w:after="0" w:line="225" w:lineRule="exact"/>
        <w:rPr>
          <w:sz w:val="20"/>
          <w:szCs w:val="20"/>
          <w:color w:val="auto"/>
        </w:rPr>
      </w:pPr>
    </w:p>
    <w:p>
      <w:pPr>
        <w:ind w:left="780" w:right="660" w:hanging="327"/>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includes instruments for which quoted prices in active markets for identical assets or liabilities accessible to the Company at the measurement date.</w:t>
      </w:r>
    </w:p>
    <w:p>
      <w:pPr>
        <w:spacing w:after="0" w:line="170" w:lineRule="exact"/>
        <w:rPr>
          <w:rFonts w:ascii="Arial" w:cs="Arial" w:eastAsia="Arial" w:hAnsi="Arial"/>
          <w:sz w:val="18"/>
          <w:szCs w:val="18"/>
          <w:color w:val="auto"/>
        </w:rPr>
      </w:pPr>
    </w:p>
    <w:p>
      <w:pPr>
        <w:ind w:left="780" w:right="40" w:hanging="327"/>
        <w:spacing w:after="0" w:line="34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2 includes instruments for which the valuations are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23" w:lineRule="exact"/>
        <w:rPr>
          <w:rFonts w:ascii="Arial" w:cs="Arial" w:eastAsia="Arial" w:hAnsi="Arial"/>
          <w:sz w:val="16"/>
          <w:szCs w:val="16"/>
          <w:color w:val="auto"/>
        </w:rPr>
      </w:pPr>
    </w:p>
    <w:p>
      <w:pPr>
        <w:ind w:left="780" w:hanging="327"/>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includes valuations based on inputs that are unobservable and significant to the overall fair value measurement.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Stock-based Compensation</w:t>
      </w:r>
    </w:p>
    <w:p>
      <w:pPr>
        <w:spacing w:after="0" w:line="225"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The Company accounts for stock-based payment awards in accordance with the provisions of ASC 718, “Compensation—Stock Compensation”, which requires it to recognize compensation expense for all stock-based payment awards made to employees and directors including stock options, restricted stock units, and restricted stock units with a market condition related to our Fourth Amended and Restated 2000 Stock Option and Incentive Plan (as amended, the “Incentive Plan”) as well as employee stock purchases (“employee stock purchases”) related to its Employee Stock Purchase Plan (as amended, the “ESPP”). The Company issues new shares upon stock option exercises, upon vesting of restricted stock units and restricted stock units with a market condition, and under the Company’s ESPP.</w:t>
      </w:r>
    </w:p>
    <w:p>
      <w:pPr>
        <w:spacing w:after="0" w:line="192"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Stock-based compensation expense recognized is based on the value of the portion of stock-based payment awards that is ultimately expected to vest. The Company values stock-based payment awards, except restricted stock units at grant date using the Black-Scholes option-pricing model. The Company values restricted stock units with a market condition using a Monte-Carlo valuation simulation. The determination of fair value of stock-based payment awards on the date of grant using an option-pricing model or Monte-Carlo valuation simulation is affected by the Company’s stock price as well as assumptions regarding certain variables. These variables include, but are not limited to, the Company’s expected stock price volatility over the term of the awards and actual and projected stock option exercise behaviors.</w:t>
      </w:r>
    </w:p>
    <w:p>
      <w:pPr>
        <w:spacing w:after="0" w:line="178"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fair value of restricted stock units is based on the market price of the Company’s stock on the date of grant and are recorded as compensation expense on a straight-line basis over the applicable service period, which ranges from one to four years. Unvested restricted stock units are forfeited in the event of termination of employment with the Company.</w:t>
      </w:r>
    </w:p>
    <w:p>
      <w:pPr>
        <w:spacing w:after="0" w:line="184"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Stock-based compensation expense recognized under ASC 718 for the years ended December 31, 2020 and 2019 consisted of stock-based compensation expense related to stock options, the ESPP, and restricted stock units and was recorded as a component of cost of product revenues, sales and marketing expenses, general and administrative expenses, and research and development expenses. Refer to Note 10 for further details.</w:t>
      </w:r>
    </w:p>
    <w:p>
      <w:pPr>
        <w:spacing w:after="0" w:line="381" w:lineRule="exact"/>
        <w:rPr>
          <w:sz w:val="20"/>
          <w:szCs w:val="20"/>
          <w:color w:val="auto"/>
        </w:rPr>
      </w:pPr>
    </w:p>
    <w:p>
      <w:pPr>
        <w:ind w:left="480" w:right="7660" w:hanging="472"/>
        <w:spacing w:after="0" w:line="563" w:lineRule="auto"/>
        <w:tabs>
          <w:tab w:leader="none" w:pos="336"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i w:val="1"/>
          <w:iCs w:val="1"/>
          <w:color w:val="auto"/>
        </w:rPr>
        <w:t>Accounting Pronouncements to be Adopted</w:t>
      </w:r>
    </w:p>
    <w:p>
      <w:pPr>
        <w:spacing w:after="0" w:line="1"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 xml:space="preserve">In September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(ASU 2016-13), </w:t>
      </w:r>
      <w:r>
        <w:rPr>
          <w:rFonts w:ascii="Arial" w:cs="Arial" w:eastAsia="Arial" w:hAnsi="Arial"/>
          <w:sz w:val="18"/>
          <w:szCs w:val="18"/>
          <w:color w:val="auto"/>
        </w:rPr>
        <w:t>which amends the impairment model by requiring entities to use a forward-looking approach based on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that adopting ASU 2016-13 and related amendments will have on its consolidated financial position, results of operations and cash flows.</w:t>
      </w:r>
    </w:p>
    <w:p>
      <w:pPr>
        <w:spacing w:after="0" w:line="195"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enhances and simplifies various aspects of the income tax accounting guidance related to intra-period tax allocation, interim period accounting for enacted changes in tax law, and the year-to-date loss limitation in interim period tax accounting. ASU 2019-12 also amends other aspects of the guidance to reduce complexity in certain areas. ASU 2019-12 is effective for the Company on January 1, 2021. The Company has determined that the adoption of this new accounting guidance will not have a material impact on its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60" w:firstLine="324"/>
        <w:spacing w:after="0" w:line="277" w:lineRule="auto"/>
        <w:rPr>
          <w:sz w:val="20"/>
          <w:szCs w:val="20"/>
          <w:color w:val="auto"/>
        </w:rPr>
      </w:pPr>
      <w:r>
        <w:rPr>
          <w:rFonts w:ascii="Arial" w:cs="Arial" w:eastAsia="Arial" w:hAnsi="Arial"/>
          <w:sz w:val="18"/>
          <w:szCs w:val="18"/>
          <w:color w:val="auto"/>
        </w:rPr>
        <w:t>Changes in the components of accumulated other comprehensive loss, net of tax, for the years ended December 31, 2020 and 2019, respectively,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currency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Derivatives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translation</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qualifying as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benefit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2"/>
              </w:rPr>
              <w:t>hedges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5"/>
              </w:rPr>
              <w:t>pension plans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reclassified out of accumulated other comprehensive (loss) income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0"/>
              </w:rPr>
              <w:t>Affected line item in the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Year Ended December 31,</w:t>
            </w:r>
          </w:p>
        </w:tc>
      </w:tr>
      <w:tr>
        <w:trPr>
          <w:trHeight w:val="234"/>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Statements of Operations</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Reclassified From AOCI</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Derivatives qualifying as hedges</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Realized loss on derivatives qualifying as hedges Interest expense, net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16"/>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Realized loss on derivatives qualifying as hedges Debt extinguishment and related costs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39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r>
      <w:tr>
        <w:trPr>
          <w:trHeight w:val="20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pension plans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2"/>
        </w:trPr>
        <w:tc>
          <w:tcPr>
            <w:tcW w:w="394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 net losses included in net</w:t>
            </w: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periodic pension costs</w:t>
            </w:r>
          </w:p>
        </w:tc>
        <w:tc>
          <w:tcPr>
            <w:tcW w:w="39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16"/>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39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reclassifications</w:t>
            </w:r>
          </w:p>
        </w:tc>
        <w:tc>
          <w:tcPr>
            <w:tcW w:w="3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 in the carrying amount of goodwill for the year ended December 31, 2020 and 2019 are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Effect of change in currency translation</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50"/>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58,590</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Weighted</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right"/>
              <w:ind w:right="490"/>
              <w:spacing w:after="0" w:line="195"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rPr>
              <w:t>Life*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5"/>
        </w:trPr>
        <w:tc>
          <w:tcPr>
            <w:tcW w:w="3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Distribution agreements/customer</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relationships</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18,237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Existing technology</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38,761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18,087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41,222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21,524</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patents</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8,681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7,910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65,679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(32,782)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32,897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67,023</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(29,753)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37,270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38,405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Weighted average life as of December 31, 2020.</w:t>
      </w:r>
    </w:p>
    <w:p>
      <w:pPr>
        <w:spacing w:after="0" w:line="22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During the year ended December 31, 2020, the Company removed from its records approximately $3.5 million of fully amortized intangible assets and determined that $0.9 million of tradenames previously classified as indefinite-lived should be classified as amortizing due to anticipated changes in its worldwide marketing programs. During fiscal 2020 there were no impairment charges related to intangible assets.</w:t>
      </w:r>
    </w:p>
    <w:p>
      <w:pPr>
        <w:spacing w:after="0" w:line="16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During the year ended December 31, 2019, the Company recorded impairment charges of $1.5 million consisting of a charge of $0.9 million to write-off certain in-process research and development intangible assets due to a strategic shift in the direction of the project, and $0.5 million of charges to write-off certain intangible assets as a result of the decision to discontinue a product line and cease operations in its facility in North Carolina, and other charges of $0.1 million.</w:t>
      </w:r>
    </w:p>
    <w:p>
      <w:pPr>
        <w:spacing w:after="0" w:line="187" w:lineRule="exact"/>
        <w:rPr>
          <w:sz w:val="20"/>
          <w:szCs w:val="20"/>
          <w:color w:val="auto"/>
        </w:rPr>
      </w:pPr>
    </w:p>
    <w:p>
      <w:pPr>
        <w:jc w:val="both"/>
        <w:ind w:right="20" w:firstLine="450"/>
        <w:spacing w:after="0" w:line="342" w:lineRule="auto"/>
        <w:rPr>
          <w:sz w:val="20"/>
          <w:szCs w:val="20"/>
          <w:color w:val="auto"/>
        </w:rPr>
      </w:pPr>
      <w:r>
        <w:rPr>
          <w:rFonts w:ascii="Arial" w:cs="Arial" w:eastAsia="Arial" w:hAnsi="Arial"/>
          <w:sz w:val="16"/>
          <w:szCs w:val="16"/>
          <w:color w:val="auto"/>
        </w:rPr>
        <w:t>Intangible asset amortization expense was $5.7 million for each of the years ended December 31, 2020 and 2019, respectively. Estimated amortization expense of existing amortizable intangible assets for each of the five succeeding years and thereafter as of December 31, 2020 is as follows: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Expense</w:t>
            </w:r>
          </w:p>
        </w:tc>
      </w:tr>
      <w:tr>
        <w:trPr>
          <w:trHeight w:val="210"/>
        </w:trPr>
        <w:tc>
          <w:tcPr>
            <w:tcW w:w="33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5,318</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r>
      <w:tr>
        <w:trPr>
          <w:trHeight w:val="250"/>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32,897</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Information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provide details of selected balance sheet items as of the periods indicated:</w:t>
      </w:r>
    </w:p>
    <w:p>
      <w:pPr>
        <w:spacing w:after="0" w:line="2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22,262</w:t>
            </w:r>
          </w:p>
        </w:tc>
        <w:tc>
          <w:tcPr>
            <w:tcW w:w="20" w:type="dxa"/>
            <w:vAlign w:val="bottom"/>
          </w:tcPr>
          <w:p>
            <w:pPr>
              <w:spacing w:after="0"/>
              <w:rPr>
                <w:sz w:val="18"/>
                <w:szCs w:val="18"/>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22,061</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vMerge w:val="restart"/>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Customer related costs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7,478</w:t>
            </w:r>
          </w:p>
        </w:tc>
        <w:tc>
          <w:tcPr>
            <w:tcW w:w="20" w:type="dxa"/>
            <w:vAlign w:val="bottom"/>
          </w:tcPr>
          <w:p>
            <w:pPr>
              <w:spacing w:after="0"/>
              <w:rPr>
                <w:sz w:val="18"/>
                <w:szCs w:val="18"/>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vMerge w:val="restart"/>
          </w:tcPr>
          <w:p>
            <w:pPr>
              <w:ind w:left="4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Automobiles</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19,716</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3,960</w:t>
            </w:r>
          </w:p>
        </w:tc>
        <w:tc>
          <w:tcPr>
            <w:tcW w:w="20" w:type="dxa"/>
            <w:vAlign w:val="bottom"/>
          </w:tcPr>
          <w:p>
            <w:pPr>
              <w:spacing w:after="0"/>
              <w:rPr>
                <w:sz w:val="18"/>
                <w:szCs w:val="18"/>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Exit Costs</w:t>
      </w:r>
    </w:p>
    <w:p>
      <w:pPr>
        <w:spacing w:after="0" w:line="229"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 to time to transform its business.</w:t>
      </w:r>
    </w:p>
    <w:p>
      <w:pPr>
        <w:spacing w:after="0" w:line="165"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During 2019, the Company initiated a restructuring program designed to improve gross margins and operating margins while reinvesting in resources required to deliver sustained, profitable organic growth. The restructuring program entails consolidating and downsizing several sites and includes headcount reductions in Europe and North America to improve operational efficiency and reduce costs. The restructuring program is expected to be substantially completed by the first half of 2021. Costs associated with the program include headcount reductions, program management and other transition costs necessary to affect the site consolidations and other business improvements.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for accrued restructuring liability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Severance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Costs</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Impairment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exit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Non-cash charges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exit costs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Non-cash charges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As of December 31, 2020, the Company had a restructuring liability of $0.3 million which is payable within the next twelve months and has been included in other current liabilities in the consolidated balance sheet.</w:t>
      </w:r>
    </w:p>
    <w:p>
      <w:pPr>
        <w:spacing w:after="0" w:line="170"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During the year ended December 31, 2019, the Company recorded restructuring plan related impairment charges of $0.5 million to write-off certain intangible assets as a result of a decision to discontinue a product line and cease operations in its facility in North Carolina.</w:t>
      </w:r>
    </w:p>
    <w:p>
      <w:pPr>
        <w:spacing w:after="0" w:line="17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Restructuring costs of $2.0 million incurred during the year ended December 31, 2020, have been included as a component of selling, general and administrative expenses. Of the $1.4 million restructuring costs incurred during the year ended December 31, 2019, $0.5 million has been recorded as impairment of intangible assets, $0.2 million has been included in cost of revenues, and the remaining costs of $0.7 million have been included as a component of selling, general and administrative expenses.</w:t>
      </w:r>
    </w:p>
    <w:p>
      <w:pPr>
        <w:spacing w:after="0" w:line="200" w:lineRule="exact"/>
        <w:rPr>
          <w:sz w:val="20"/>
          <w:szCs w:val="20"/>
          <w:color w:val="auto"/>
        </w:rPr>
      </w:pPr>
    </w:p>
    <w:p>
      <w:pPr>
        <w:spacing w:after="0" w:line="22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In connection with the 2014 acquisitions of Multi Channel Systems MCS GmbH (“MCS”) and Triangle BioSystems, Inc. (“TBSI”), the Company entered into facility lease agreements with the former principal owners of these companies, and both became employees of the Company. The TBSI agreement expired on September 30, 2019, and the MCS agreement expires on December 31, 2024. Pursuant to these lease agreements, the Company made rent payments of approximately $0.3 million for each of the years ended December 31, 2020 and 2019, respectively.</w:t>
      </w:r>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 sponsors profit sharing retirement plans for its U.S. employees, which includes employee savings plans established under Section 401(k) of the U.S. Internal Revenue Code (the “401(k) Plans”). The 401(k) Plans cover substantially all full-time employees who meet certain eligibility requirements. Contributions to the 401(k) Plans are at the discretion of management. For each of the years ended December 31, 2020 and 2019, the Company contributed $0.7 million, respectively, to the 401(k) Plans.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The Company’s subsidiary in the United Kingdom, Biochrom Limited maintains contributory, defined benefit or defined contribution pension plans for substantially all of its employees. In 2014, these defined benefit pension plans were closed to new employees, as well as closed to the future accrual of benefits for existing employees. The provisions of ASC 715-20 require that the funded status of the Company’s pension plans be recognized in its balance sheet. ASC 715-20 does not change the measurement or income statement recognition of these plans, although it does require that plan assets and benefit obligations be measured as of the balance sheet date. The Company has historically measured the plan assets and benefit obligations as of the balance sheet date.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net period benefit (credit) expense were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42773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42773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Net amortization loss</w:t>
      </w:r>
    </w:p>
    <w:p>
      <w:pPr>
        <w:spacing w:after="0" w:line="9" w:lineRule="exact"/>
        <w:rPr>
          <w:sz w:val="20"/>
          <w:szCs w:val="20"/>
          <w:color w:val="auto"/>
        </w:rPr>
      </w:pPr>
    </w:p>
    <w:p>
      <w:pPr>
        <w:ind w:left="500" w:right="500"/>
        <w:spacing w:after="0" w:line="393" w:lineRule="auto"/>
        <w:rPr>
          <w:sz w:val="20"/>
          <w:szCs w:val="20"/>
          <w:color w:val="auto"/>
        </w:rPr>
      </w:pPr>
      <w:r>
        <w:rPr>
          <w:rFonts w:ascii="Arial" w:cs="Arial" w:eastAsia="Arial" w:hAnsi="Arial"/>
          <w:sz w:val="16"/>
          <w:szCs w:val="16"/>
          <w:color w:val="auto"/>
        </w:rPr>
        <w:t>Recognition of net loss due to settlements Net periodic benefit (credit)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-236220</wp:posOffset>
            </wp:positionV>
            <wp:extent cx="427736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1"/>
        </w:trPr>
        <w:tc>
          <w:tcPr>
            <w:tcW w:w="20" w:type="dxa"/>
            <w:vAlign w:val="bottom"/>
          </w:tcPr>
          <w:p>
            <w:pPr>
              <w:spacing w:after="0"/>
              <w:rPr>
                <w:sz w:val="18"/>
                <w:szCs w:val="18"/>
                <w:color w:val="auto"/>
              </w:rPr>
            </w:pPr>
          </w:p>
        </w:tc>
        <w:tc>
          <w:tcPr>
            <w:tcW w:w="80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484</w:t>
            </w:r>
          </w:p>
        </w:tc>
      </w:tr>
    </w:tbl>
    <w:p>
      <w:pPr>
        <w:ind w:left="2120" w:hanging="1289"/>
        <w:spacing w:after="0"/>
        <w:tabs>
          <w:tab w:leader="none" w:pos="2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(761)</w:t>
      </w:r>
    </w:p>
    <w:p>
      <w:pPr>
        <w:spacing w:after="0" w:line="19" w:lineRule="exact"/>
        <w:rPr>
          <w:sz w:val="20"/>
          <w:szCs w:val="20"/>
          <w:color w:val="auto"/>
        </w:rPr>
      </w:pPr>
    </w:p>
    <w:p>
      <w:pPr>
        <w:ind w:left="2180" w:hanging="1289"/>
        <w:spacing w:after="0"/>
        <w:tabs>
          <w:tab w:leader="none" w:pos="2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336</w:t>
      </w:r>
    </w:p>
    <w:p>
      <w:pPr>
        <w:spacing w:after="0" w:line="9" w:lineRule="exact"/>
        <w:rPr>
          <w:rFonts w:ascii="Arial" w:cs="Arial" w:eastAsia="Arial" w:hAnsi="Arial"/>
          <w:sz w:val="18"/>
          <w:szCs w:val="18"/>
          <w:color w:val="auto"/>
        </w:rPr>
      </w:pPr>
    </w:p>
    <w:p>
      <w:pPr>
        <w:ind w:left="2180" w:hanging="1199"/>
        <w:spacing w:after="0"/>
        <w:tabs>
          <w:tab w:leader="none" w:pos="2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944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tabs>
          <w:tab w:leader="none" w:pos="820" w:val="left"/>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(215) $</w:t>
      </w:r>
      <w:r>
        <w:rPr>
          <w:sz w:val="20"/>
          <w:szCs w:val="20"/>
          <w:color w:val="auto"/>
        </w:rPr>
        <w:tab/>
      </w:r>
      <w:r>
        <w:rPr>
          <w:rFonts w:ascii="Arial" w:cs="Arial" w:eastAsia="Arial" w:hAnsi="Arial"/>
          <w:sz w:val="15"/>
          <w:szCs w:val="15"/>
          <w:color w:val="auto"/>
        </w:rPr>
        <w:t>287</w:t>
      </w:r>
    </w:p>
    <w:p>
      <w:pPr>
        <w:spacing w:after="0" w:line="264" w:lineRule="exact"/>
        <w:rPr>
          <w:sz w:val="20"/>
          <w:szCs w:val="20"/>
          <w:color w:val="auto"/>
        </w:rPr>
      </w:pPr>
    </w:p>
    <w:p>
      <w:pPr>
        <w:sectPr>
          <w:pgSz w:w="11900" w:h="16838" w:orient="portrait"/>
          <w:cols w:equalWidth="0" w:num="2">
            <w:col w:w="4000" w:space="720"/>
            <w:col w:w="6520"/>
          </w:cols>
          <w:pgMar w:left="320" w:top="125" w:right="339" w:bottom="1440" w:gutter="0" w:footer="0" w:header="0"/>
          <w:type w:val="continuous"/>
        </w:sectPr>
      </w:pPr>
    </w:p>
    <w:p>
      <w:pPr>
        <w:ind w:firstLine="450"/>
        <w:spacing w:after="0" w:line="277" w:lineRule="auto"/>
        <w:rPr>
          <w:sz w:val="20"/>
          <w:szCs w:val="20"/>
          <w:color w:val="auto"/>
        </w:rPr>
      </w:pPr>
      <w:r>
        <w:rPr>
          <w:rFonts w:ascii="Arial" w:cs="Arial" w:eastAsia="Arial" w:hAnsi="Arial"/>
          <w:sz w:val="18"/>
          <w:szCs w:val="18"/>
          <w:color w:val="auto"/>
        </w:rPr>
        <w:t>The measurement date is December 31 for these plans. The funded status of the Company’s defined benefit pension plans and the amount recognized in the consolidated balance sheets at December 31, 2020 and 2019 is as follows: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20,027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18,701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Actuarial loss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Settlements due to transfers paid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25,519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20,027</w:t>
            </w: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Changes in the actuarial loss disclosed above are primarily the result of changes in the discount rate and inflation assumptions due to underlying market conditions.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21,114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17,819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Settlement due to transfers paid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23,926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21,114</w:t>
            </w: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40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406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40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Fair value of plan asset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23,926</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21,114</w:t>
            </w:r>
          </w:p>
        </w:tc>
        <w:tc>
          <w:tcPr>
            <w:tcW w:w="406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funded status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4060" w:type="dxa"/>
            <w:vAlign w:val="bottom"/>
          </w:tcPr>
          <w:p>
            <w:pPr>
              <w:spacing w:after="0"/>
              <w:rPr>
                <w:sz w:val="21"/>
                <w:szCs w:val="21"/>
                <w:color w:val="auto"/>
              </w:rPr>
            </w:pPr>
          </w:p>
        </w:tc>
      </w:tr>
      <w:tr>
        <w:trPr>
          <w:trHeight w:val="628"/>
        </w:trPr>
        <w:tc>
          <w:tcPr>
            <w:tcW w:w="46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F- 19</w:t>
            </w: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460" w:type="dxa"/>
            <w:vAlign w:val="bottom"/>
          </w:tcPr>
          <w:p>
            <w:pPr>
              <w:spacing w:after="0"/>
              <w:rPr>
                <w:sz w:val="24"/>
                <w:szCs w:val="24"/>
                <w:color w:val="auto"/>
              </w:rPr>
            </w:pPr>
          </w:p>
        </w:tc>
        <w:tc>
          <w:tcPr>
            <w:tcW w:w="5520" w:type="dxa"/>
            <w:vAlign w:val="bottom"/>
            <w:gridSpan w:val="3"/>
          </w:tcPr>
          <w:p>
            <w:pPr>
              <w:ind w:left="40"/>
              <w:spacing w:after="0"/>
              <w:rPr>
                <w:sz w:val="20"/>
                <w:szCs w:val="20"/>
                <w:color w:val="auto"/>
              </w:rPr>
            </w:pPr>
            <w:r>
              <w:rPr>
                <w:rFonts w:ascii="Arial" w:cs="Arial" w:eastAsia="Arial" w:hAnsi="Arial"/>
                <w:sz w:val="18"/>
                <w:szCs w:val="18"/>
                <w:color w:val="auto"/>
                <w:w w:val="96"/>
              </w:rPr>
              <w:t>The amounts recognized in the consolidated balance sheets consist of:</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10"/>
        </w:trPr>
        <w:tc>
          <w:tcPr>
            <w:tcW w:w="4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 assets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16"/>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0"/>
        </w:trPr>
        <w:tc>
          <w:tcPr>
            <w:tcW w:w="46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assumptions used in determining the net pension cost for these plans follows:</w:t>
      </w:r>
    </w:p>
    <w:p>
      <w:pPr>
        <w:spacing w:after="0" w:line="221"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09"/>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3.84%</w:t>
            </w:r>
          </w:p>
        </w:tc>
      </w:tr>
    </w:tbl>
    <w:p>
      <w:pPr>
        <w:spacing w:after="0" w:line="187"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discount rate assumptions used for pension accounting reflect the prevailing rates available on high-quality, fixed-income debt instruments with terms that match the average expected duration of the Company’s defined benefit pension plan obligations.</w:t>
      </w:r>
    </w:p>
    <w:p>
      <w:pPr>
        <w:spacing w:after="0" w:line="170"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Company’s mix of pension plan investments among asset classes also affects the long-term expected rate of return on plan assets. As of December 31, 2020, the Company’s actual asset mix approximated its target mix. Differences between actual and expected returns are recognized in the calculation of net periodic pension (income)/cost over the average remaining expected future working lifetime, which is approximately 15 years of active plan participants.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and asset allocations of the Company’s pension benefits as of December 31, 2020 and 2019 measurement dates were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18"/>
                <w:szCs w:val="18"/>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11,534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securities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Liability driven investment funds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4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Financial reporting standards define a fair value hierarchy that consists of three levels. The fair values of the plan assets by fair value hierarchy level as of December 31, 2020 and 2019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c>
          <w:tcPr>
            <w:tcW w:w="40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060" w:type="dxa"/>
            <w:vAlign w:val="bottom"/>
          </w:tcPr>
          <w:p>
            <w:pPr>
              <w:spacing w:after="0"/>
              <w:rPr>
                <w:sz w:val="18"/>
                <w:szCs w:val="18"/>
                <w:color w:val="auto"/>
              </w:rPr>
            </w:pPr>
          </w:p>
        </w:tc>
      </w:tr>
      <w:tr>
        <w:trPr>
          <w:trHeight w:val="195"/>
        </w:trPr>
        <w:tc>
          <w:tcPr>
            <w:tcW w:w="460" w:type="dxa"/>
            <w:vAlign w:val="bottom"/>
          </w:tcPr>
          <w:p>
            <w:pPr>
              <w:spacing w:after="0"/>
              <w:rPr>
                <w:sz w:val="16"/>
                <w:szCs w:val="16"/>
                <w:color w:val="auto"/>
              </w:rPr>
            </w:pPr>
          </w:p>
        </w:tc>
        <w:tc>
          <w:tcPr>
            <w:tcW w:w="4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Quoted Prices in Active Markets for Identical Assets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6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40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Significant Other Observable Inputs (Level 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19,600</w:t>
            </w:r>
          </w:p>
        </w:tc>
        <w:tc>
          <w:tcPr>
            <w:tcW w:w="40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Significant Other Unobservable Inputs (Level 3)</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18"/>
                <w:szCs w:val="18"/>
                <w:color w:val="auto"/>
              </w:rPr>
            </w:pPr>
          </w:p>
        </w:tc>
      </w:tr>
      <w:tr>
        <w:trPr>
          <w:trHeight w:val="209"/>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23,926</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21,114</w:t>
            </w:r>
          </w:p>
        </w:tc>
        <w:tc>
          <w:tcPr>
            <w:tcW w:w="406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629"/>
        </w:trPr>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F- 20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Level 1 assets consist of cash and cash equivalents held in the pension plans at December 31, 2020. The Level 2 assets primarily consist of investments in private investment funds that are valued using the net asset values provided by the trust or fund, including an insurance contract. Although these funds are not traded in an active market with quoted prices, the investments underlying the net asset value are based on quoted prices.</w:t>
      </w:r>
    </w:p>
    <w:p>
      <w:pPr>
        <w:spacing w:after="0" w:line="149"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Company expects to contribute at least $1.0 million to its pension plans during 2021. The benefits expected to be paid from the pension plans are $0.6 million in 2021, $0.6 million in 2022, $0.7 million in 2023, $0.8 million in 2024 and $0.8 million in 2025. The expected benefits to be paid in the five years from 2026—2030 are $4.7 million. The expected benefits are based on the same assumptions.</w:t>
      </w: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The Company has noncancelable operating leases for office space, manufacturing facilities, warehouse space, automobiles and equipment expiring at various dates through 2030.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lease expense for the year ended December 31, 2020 and 2019 are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Year Ended December 31,</w:t>
            </w: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Short term lease cost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Total lease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0"/>
        </w:trPr>
        <w:tc>
          <w:tcPr>
            <w:tcW w:w="4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2"/>
              </w:rPr>
              <w:t>Year Ended December 31,</w:t>
            </w: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195"/>
        </w:trPr>
        <w:tc>
          <w:tcPr>
            <w:tcW w:w="4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Cash paid for amounts included in the measurement of</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Right-of-use assets obtained in exchange for lease</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 use assets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7,761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8,463</w:t>
            </w:r>
          </w:p>
        </w:tc>
      </w:tr>
      <w:tr>
        <w:trPr>
          <w:trHeight w:val="216"/>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operating lease liabilities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2,111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Operating lease liabilities, long term</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7,481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8,224</w:t>
            </w:r>
          </w:p>
        </w:tc>
      </w:tr>
      <w:tr>
        <w:trPr>
          <w:trHeight w:val="25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9,592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10,648</w:t>
            </w:r>
          </w:p>
        </w:tc>
      </w:tr>
      <w:tr>
        <w:trPr>
          <w:trHeight w:val="196"/>
        </w:trPr>
        <w:tc>
          <w:tcPr>
            <w:tcW w:w="40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for operating leases, with initial or remaining terms in excess of one year at December 31, 2020,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Operating</w:t>
            </w:r>
          </w:p>
        </w:tc>
      </w:tr>
      <w:tr>
        <w:trPr>
          <w:trHeight w:val="234"/>
        </w:trPr>
        <w:tc>
          <w:tcPr>
            <w:tcW w:w="550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Leases</w:t>
            </w: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Less interest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w:t>
            </w:r>
          </w:p>
        </w:tc>
      </w:tr>
      <w:tr>
        <w:trPr>
          <w:trHeight w:val="249"/>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9,592</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Capital Stock and Stock-Based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ind w:right="20" w:firstLine="450"/>
        <w:spacing w:after="0" w:line="263"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December 31, 2020, the Company had no preferred stock issued or outstanding.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Under the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On May 16, 2019, the stockholders of the Company approved an increase of 350,000 shares of common stock in the number of shares available for issuance under the ESPP. There were 126,255 and 190,642 shares issued under the ESPP during the years ended December 31, 2020 and 2019, respectively. As of December 31, 2020, there were 192,341 shares available for issuance under the ESPP.</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2000 Stock Option and Incentive Plan, as Amended (</w:t>
      </w: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The stockholders of the Company have approved the Incentive Plan which authorizes the grant of stock options and stock-based awards to officers, employees, non-employee directors and other key persons of the Company and its subsidiaries. During 2020, the Board of Directors adopted an amendment to increase the aggregate number of shares authorized for issuance under the Incentive Plan by 3,700,000 shares which was approved by the stockholders at the Company’s 2020 Annual Meeting of Stockholders. As of December 31, 2020, there were 2,975,717 shares available for issuance under the Incentive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The Compensation Committee of the Board of Directors of the Company approves and grants deferred stock awards of Market Condition RSUs (the Market Condition RSUs) to certain members of the Company’s management team under the Incentive Plan. The vesting of the Market Condition RSUs is based on a graded-vesting schedule (one third at the end of each year for three years) and linked to the achievement of a relative total shareholder return of the Company’s common stock measured from the earlier of (i) the one- year anniversary of the award or (ii) upon a change of control (measured relative to the Nasdaq Biotechnology index and based on the 20-day trading average price before each such date).</w:t>
      </w:r>
    </w:p>
    <w:p>
      <w:pPr>
        <w:spacing w:after="0" w:line="176"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As of December 31, 2020, there are 332,622 shares of Market Condition RSUs which remain subject to a relative total shareholder return measurement which can result in vesting rates ranging from -0-% to 150% of the target number.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 The Company has elected as an accounting policy to account for forfeitures for service-based awards as they occur, with no adjustment for estimated forfeitures.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 and restricted stock unit activity under the Company’s Incentive Plan for the years ended December 31, 2020 and 2019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Market Condition RSU's</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Restricted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Condition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Stock 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Grant Date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1,956,732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1,233,762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116,944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943,424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1,652,720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605,005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Vested (RSUs)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(813,762)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(630,284)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2,266,122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1,590,450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529,491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894,154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1,027,486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332,622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(253,853)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(RSUs)</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Cancelled/Forfeited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(269,084)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(126,490)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(41,932)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Market Condition RSU - factor</w:t>
            </w:r>
          </w:p>
        </w:tc>
        <w:tc>
          <w:tcPr>
            <w:tcW w:w="1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233,055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2,637,339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1,560,461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813,031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For Market Condition RSUs granted during the year ended December 31, 2019, the total shareholder return of the Company’s common stock in 2020 relative to the Nasdaq Biotechnology index resulted in a positive performance factor adjustment and the issuance of 233,055 of additional awards during the year ended December 31, 2020.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ind w:firstLine="450"/>
        <w:spacing w:after="0" w:line="311"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Year Ended December 31, 2020</w:t>
            </w:r>
          </w:p>
        </w:tc>
      </w:tr>
      <w:tr>
        <w:trPr>
          <w:trHeight w:val="210"/>
        </w:trPr>
        <w:tc>
          <w:tcPr>
            <w:tcW w:w="424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38,640,284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37,813,580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Dilutive effect of equity awards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38,640,284</w:t>
            </w: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37,813,580</w:t>
            </w:r>
          </w:p>
        </w:tc>
      </w:tr>
    </w:tbl>
    <w:p>
      <w:pPr>
        <w:spacing w:after="0" w:line="202" w:lineRule="exact"/>
        <w:rPr>
          <w:sz w:val="20"/>
          <w:szCs w:val="20"/>
          <w:color w:val="auto"/>
        </w:rPr>
      </w:pPr>
    </w:p>
    <w:p>
      <w:pPr>
        <w:ind w:firstLine="450"/>
        <w:spacing w:after="0" w:line="342" w:lineRule="auto"/>
        <w:rPr>
          <w:sz w:val="20"/>
          <w:szCs w:val="20"/>
          <w:color w:val="auto"/>
        </w:rPr>
      </w:pPr>
      <w:r>
        <w:rPr>
          <w:rFonts w:ascii="Arial" w:cs="Arial" w:eastAsia="Arial" w:hAnsi="Arial"/>
          <w:sz w:val="16"/>
          <w:szCs w:val="16"/>
          <w:color w:val="auto"/>
        </w:rPr>
        <w:t>The Company has excluded from the shares used in calculating the diluted earnings per common share options, restricted stock units and Market Condition RSUs totaling 5,010,931 and 4,386,063, as of December 31, 2020 and 2019 respectively, as the impact of these shares would be anti-dilutive.</w:t>
      </w:r>
    </w:p>
    <w:p>
      <w:pPr>
        <w:spacing w:after="0" w:line="124"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The Company’s policy is to issue stock available from its registered but unissued stock pool through its transfer agent to satisfy stock option exercises and vesting of the restricted stock units.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outstanding and exercisable options as of December 31, 2020 (Aggregate Intrinsic Value,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Options Outstanding</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Options Exercisable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50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8"/>
              </w:rPr>
              <w:t>Range of</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50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Exercisable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Value</w:t>
            </w:r>
          </w:p>
        </w:tc>
      </w:tr>
      <w:tr>
        <w:trPr>
          <w:trHeight w:val="209"/>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5"/>
              </w:rPr>
              <w:t>2.62</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357,018</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96,488</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rPr>
              <w:t>2.63</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2.66</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717,044</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1,190</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179,264</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5"/>
              </w:rPr>
              <w:t>3.92</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568,784</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348,704</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rPr>
              <w:t>3.93</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4.38</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587,693</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587,693</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5"/>
              </w:rPr>
              <w:t>5.63</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406,800</w:t>
            </w:r>
          </w:p>
        </w:tc>
        <w:tc>
          <w:tcPr>
            <w:tcW w:w="1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401,800</w:t>
            </w:r>
          </w:p>
        </w:tc>
        <w:tc>
          <w:tcPr>
            <w:tcW w:w="1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480" w:type="dxa"/>
            <w:vAlign w:val="bottom"/>
          </w:tcPr>
          <w:p>
            <w:pPr>
              <w:jc w:val="right"/>
              <w:spacing w:after="0"/>
              <w:rPr>
                <w:sz w:val="20"/>
                <w:szCs w:val="20"/>
                <w:color w:val="auto"/>
              </w:rPr>
            </w:pPr>
            <w:r>
              <w:rPr>
                <w:rFonts w:ascii="Arial" w:cs="Arial" w:eastAsia="Arial" w:hAnsi="Arial"/>
                <w:sz w:val="18"/>
                <w:szCs w:val="18"/>
                <w:color w:val="auto"/>
                <w:w w:val="97"/>
              </w:rPr>
              <w:t>$1.78</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5.63</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2,637,339</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5.6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2,493</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1,613,949</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849</w:t>
            </w:r>
          </w:p>
        </w:tc>
      </w:tr>
      <w:tr>
        <w:trPr>
          <w:trHeight w:val="20"/>
        </w:trPr>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The aggregate intrinsic value in the preceding table represents the total pre-tax intrinsic value, based on the Company’s closing stock price of $4.29 as of December 31, 2020, which would have been received by the option holders had all option holders exercised their options as of that date. The aggregate intrinsic value of options exercised for the year ended December 31, 2020 was $92,162 and was not material for the year ended December 31, 2019. The total number of in-the-money options that were exercisable as of December 31, 2020 was 862,149.</w:t>
      </w:r>
    </w:p>
    <w:p>
      <w:pPr>
        <w:spacing w:after="0" w:line="171"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As of December 31, 2020, the total compensation costs related to unvested awards not yet recognized is $4.4 million and the weighted average period over which it is expected to be recognized is approximately 2.3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and Expense Information under Stock-Based-Payment Accounting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Stock-based compensation expense related to stock options, restricted stock units, Market Condition RSU’s and the ESPP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was allocated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42773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5715</wp:posOffset>
            </wp:positionV>
            <wp:extent cx="427736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21590</wp:posOffset>
            </wp:positionV>
            <wp:extent cx="427736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stock-based compensation expenses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195"/>
        </w:trPr>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65</w:t>
            </w:r>
          </w:p>
        </w:tc>
        <w:tc>
          <w:tcPr>
            <w:tcW w:w="6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43</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2,710</w:t>
            </w:r>
          </w:p>
        </w:tc>
      </w:tr>
      <w:tr>
        <w:trPr>
          <w:trHeight w:val="230"/>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10"/>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980" w:space="720"/>
            <w:col w:w="6540"/>
          </w:cols>
          <w:pgMar w:left="320" w:top="125" w:right="339" w:bottom="1440" w:gutter="0" w:footer="0" w:header="0"/>
          <w:type w:val="continuous"/>
        </w:sectPr>
      </w:pP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weighted-average estimated fair value per share of stock options granted during the year ended December 31, 2020 and 2019 was $1.21 and $1.40, respectively, using the Black-Scholes option-pricing model with the following weighted-average assumptions: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weighted average estimated fair value per share of the Market Condition RSUs granted during the year ended December 31, 2020 and 2019 was $2.98 and $1.98, respectively, using a Monte-Carlo valuation simulation, with the following weighted-average assumptions: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09"/>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The Company used historical volatility to calculate the expected volatility. Historical volatility was determined by calculating the mean reversion of the daily adjusted closing stock price. The risk-free interest rate assumption is based upon observed U.S. Treasury bill interest rates (risk-free) appropriate for the term of the Company’s stock options. The expected holding period of stock options represents the period of time options are expected to be outstanding and were based on historical experience. The vesting period ranges from one to four years and the contractual life is ten years.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Long Term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and December 31, 2019, the Company’s borrowings were comprised of the following:</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Revolving line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unamortized deferred financing costs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48,007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53,817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Less: current installments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Less: excess cash flow sweep</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(4,093)</w:t>
            </w: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unamortized deferred financing costs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46,286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46,917</w:t>
            </w: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amounts of debt maturing during the next five years are as follows: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37,400</w:t>
            </w:r>
          </w:p>
        </w:tc>
      </w:tr>
      <w:tr>
        <w:trPr>
          <w:trHeight w:val="209"/>
        </w:trPr>
        <w:tc>
          <w:tcPr>
            <w:tcW w:w="552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49,400</w:t>
            </w:r>
          </w:p>
        </w:tc>
      </w:tr>
      <w:tr>
        <w:trPr>
          <w:trHeight w:val="20"/>
        </w:trPr>
        <w:tc>
          <w:tcPr>
            <w:tcW w:w="5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6"/>
          <w:szCs w:val="16"/>
          <w:color w:val="auto"/>
        </w:rPr>
        <w:t>On December 22, 2020, the Company entered into a Credit Agreement (the “Credit Agreement”) with Citizens Bank, N.A., Wells Fargo Bank, National Association, and Silicon Valley Bank, (together, the “Lenders”). The Credit Agreement provides for a term loan of $40.0 million and a $25.0 million senior revolving credit facility (including a $10.0 million sub-facility for the issuance of letters of credit and a $ 10.0 million swingline loan sub-facility) (collectively, the “Citizens Credit Facility”). The Company’s obligations under the Credit Agreement are guaranteed by certain of the Company’s direct, domestic wholly-owned subsidiaries; none of the Company’s direct or indirect foreign subsidiaries has guaranteed the Citizens Credit Facility. The Company’s obligations under the Credit Agreement are secured by substantially all of the assets of Harvard Bioscience, Inc. and each guarantor (including all or a portion of the equity interests in certain of the Company’s domestic and foreign subsidiaries). The Citizens Credit Facility matures on December 22, 2025. Issuance costs of $1.3 million are amortized over the contractual term to maturity date on a straight-line basis, which approximates the effective interest method. As of December 31, 2020, available borrowing capacity under the revolving line of credit was $15.6 million.</w:t>
      </w:r>
    </w:p>
    <w:p>
      <w:pPr>
        <w:spacing w:after="0" w:line="166"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6"/>
          <w:szCs w:val="16"/>
          <w:color w:val="auto"/>
        </w:rPr>
        <w:t>The Credit Agreement replaces the Company’s prior credit facility (the “Prior Credit Facility”) for which Cerberus Business Finance, LLC, served as collateral agent and administrative agent. The Prior Credit Facility consisted of a revolving credit facility and a term loan and was scheduled to expire on January 31, 2023. On December 22, 2020, the Company paid the Prior Credit Facility outstanding borrowing balance of $46.7 million, paid $0.6 million in debt extinguishment costs, and wrote off the remaining balance of its unamortized debt issuance cost which amounted to $0.8 million. The write-off of the unamortized debt issuance costs is included in the Other expense – debt extinguishment and related costs in the Consolidated Statements of Operations. The Company financed the payoff of the outstanding borrowings under the Prior Credit Facility with borrowings under the Citizens Credit Facility.</w:t>
      </w:r>
    </w:p>
    <w:p>
      <w:pPr>
        <w:spacing w:after="0" w:line="164"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6"/>
          <w:szCs w:val="16"/>
          <w:color w:val="auto"/>
        </w:rPr>
        <w:t>Borrowings under the Citizens Credit Facility will, at the option of the Company, bear interest at either (i) a rate per annum based on LIBOR for an interest period of one, two, three or six months, plus an applicable interest rate margin determined as provided in the Credit Agreement (a “LIBOR Loan”), or (ii) an alternative base rate plus an applicable interest rate margin, each as determined as provided in the Credit Agreement (an “ABR Loan”). LIBOR interest under the Credit Agreement is subject to applicable market rates and a floor of 0.50 %. The alternative base rate is based on the Citizens Bank prime rate or the federal funds effective rate of the Federal Reserve Bank of New York and is subject to a floor of 1.0%. The applicable interest rate margin varies from 2.0% per annum to 3.25% per annum for LIBOR Loans, and from 1.5% per annum to 3.0% per annum for ABR Loans, in each case depending on the Company’s consolidated leverage ratio and is determined in accordance with a pricing grid set forth in the Credit Agreement (the “Pricing Grid”). Interest on LIBOR Loans is payable in arrears on the last day of each applicable interest period, and interest on ABR Loans is payable in arrears at the end of each calendar quarter. There are no prepayment penalties in the event the Company elects to prepay and terminate the Citizens Credit Facility prior to its scheduled maturity date, subject to LIBOR breakage and redeployment costs in certain circumstances.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color w:val="auto"/>
        </w:rPr>
        <w:t>Commencing on March 31, 2021, the outstanding term loans amortizes in equal quarterly installments equal to $0.5 million per quarter on such date and during each of the next three quarters thereafter, $0.75 million per quarter during the next eight quarters thereafter and $1.0 million per quarter thereafter, with a balloon payment at maturity. Furthermore, within ninety days after the end of the Company’s fiscal year ended December 31, 2021 and for each fiscal year thereafter,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Amounts outstanding under the revolving credit facility can be repaid at any time but are due in full at maturity.</w:t>
      </w:r>
    </w:p>
    <w:p>
      <w:pPr>
        <w:spacing w:after="0" w:line="177"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The Credit Agreement requires the Company pay (i) a fee on the average daily unused amount of the revolving loan of the Citizens Credit Facility payable at a rate which varies from 0.25% to 0.50% depending on the Company’s consolidated net leverage ratio, as determined in accordance with the Pricing Grid, (ii) a fee for each outstanding letter of credit at a rate per annum equal to the applicable interest rate margin for LIBOR Loans, as determined in accordance with the Pricing Grid, multiplied by the average daily amount available to be drawn under such letter of credit, and (iii) to the letter-of-credit issuer, a fronting fee which shall be at a rate agreed upon by the Company and the Lenders based on the average daily amount of the outstanding aggregate letter-of-credit obligations under the Credit Agreement.</w:t>
      </w:r>
    </w:p>
    <w:p>
      <w:pPr>
        <w:spacing w:after="0" w:line="192"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The Credit Agreement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each of which will be tested at the end of each fiscal quarter of the Company. The Credit Agreement also includes customary events of default.</w:t>
      </w:r>
    </w:p>
    <w:p>
      <w:pPr>
        <w:spacing w:after="0" w:line="171"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As of December 31, 2020, the weighted effective interest rate on the Credit Agreement borrowings was 3.25%. The carrying value of the debt approximates fair value because the interest rate under the obligation approximates market rates of interest available to the Company for similar instruments.</w:t>
      </w:r>
    </w:p>
    <w:p>
      <w:pPr>
        <w:spacing w:after="0" w:line="184"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On April 18, 2020, the Company entered into a promissory note with PNC Bank, National Association, which provided for a loan in the amount of $6.1 million (the “PPP Loan”) pursuant to the Paycheck Protection Program (the “PPP”) of the Coronavirus Aid, Relief, and Economic Security Act (the “CARES Act”) administered by the U.S. Small Business Administration (the “SBA”). On April 23, 2020, the SBA, in consultation with the U.S. Department of the Treasury issued guidance regarding consideration of alternate available sources of liquidity and its impact on qualification for PPP loans. The Company reassessed its business plans and liquidity available under its existing credit facility and elected to repay all PPP funds. The PPP Loan was repaid in full on May 4, 2020.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84" w:lineRule="exact"/>
        <w:rPr>
          <w:sz w:val="20"/>
          <w:szCs w:val="20"/>
          <w:color w:val="auto"/>
        </w:rPr>
      </w:pPr>
    </w:p>
    <w:p>
      <w:pPr>
        <w:jc w:val="both"/>
        <w:ind w:firstLine="450"/>
        <w:spacing w:after="0" w:line="296"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61" w:lineRule="exact"/>
        <w:rPr>
          <w:sz w:val="20"/>
          <w:szCs w:val="20"/>
          <w:color w:val="auto"/>
        </w:rPr>
      </w:pPr>
    </w:p>
    <w:p>
      <w:pPr>
        <w:jc w:val="both"/>
        <w:ind w:firstLine="450"/>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and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78"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On January 31, 2018, the Company entered into the Prior Credit Facility, which comprised of a $64.0 million term loan and up to a $25.0 million revolving line of credit. Shortly after entering into the Prior Credit Facility, the Company entered into an interest rate swap contract with PNC Bank with a notional amount of $36.0 million and a termination date of January 1, 2023 in order to hedge the risk of changes in the effective benchmark interest rate (LIBOR) associated with the Company’s Term Loan. The swap contract converted specific variable-rate debt into fixed-rate debt and fixed the LIBOR rate associated with a portion of the term loan under the Prior Credit Facility at 2.72%. The interest rate swap was designated as a cash flow hedge instrument in accordance with ASC 815 “Derivatives and Hedging”.</w:t>
      </w:r>
    </w:p>
    <w:p>
      <w:pPr>
        <w:spacing w:after="0" w:line="19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In connection with the Credit Agreement entered into on December 22, 2020, the Company paid $0.5 million to cancel its outstanding interest rate swap agreement with PNC Bank (notional value of $23.0 million). The cancellation amount represented the fair value of the contracts at the time and was recorded as debt extinguishment and related costs in the Consolidated Statements of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notional amount and fair value of the Company’s derivative instruments as of December 31, 2019.</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91"/>
              </w:rPr>
              <w:t>31-Dec-19</w:t>
            </w:r>
          </w:p>
        </w:tc>
        <w:tc>
          <w:tcPr>
            <w:tcW w:w="0" w:type="dxa"/>
            <w:vAlign w:val="bottom"/>
          </w:tcPr>
          <w:p>
            <w:pPr>
              <w:spacing w:after="0"/>
              <w:rPr>
                <w:sz w:val="1"/>
                <w:szCs w:val="1"/>
                <w:color w:val="auto"/>
              </w:rPr>
            </w:pPr>
          </w:p>
        </w:tc>
      </w:tr>
      <w:tr>
        <w:trPr>
          <w:trHeight w:val="210"/>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instruments</w:t>
            </w:r>
          </w:p>
        </w:tc>
        <w:tc>
          <w:tcPr>
            <w:tcW w:w="336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Balance sheet classification</w:t>
            </w: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Notional Amount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Fair Value (a)</w:t>
            </w:r>
          </w:p>
        </w:tc>
        <w:tc>
          <w:tcPr>
            <w:tcW w:w="0" w:type="dxa"/>
            <w:vAlign w:val="bottom"/>
          </w:tcPr>
          <w:p>
            <w:pPr>
              <w:spacing w:after="0"/>
              <w:rPr>
                <w:sz w:val="1"/>
                <w:szCs w:val="1"/>
                <w:color w:val="auto"/>
              </w:rPr>
            </w:pPr>
          </w:p>
        </w:tc>
      </w:tr>
      <w:tr>
        <w:trPr>
          <w:trHeight w:val="209"/>
        </w:trPr>
        <w:tc>
          <w:tcPr>
            <w:tcW w:w="232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4"/>
          </w:tcPr>
          <w:p>
            <w:pPr>
              <w:jc w:val="center"/>
              <w:ind w:right="9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See Note 12 for the fair value measurements related to these financial instruments.</w:t>
      </w:r>
    </w:p>
    <w:p>
      <w:pPr>
        <w:spacing w:after="0" w:line="225" w:lineRule="exact"/>
        <w:rPr>
          <w:sz w:val="20"/>
          <w:szCs w:val="20"/>
          <w:color w:val="auto"/>
        </w:rPr>
      </w:pPr>
    </w:p>
    <w:p>
      <w:pPr>
        <w:jc w:val="both"/>
        <w:ind w:firstLine="450"/>
        <w:spacing w:after="0" w:line="293" w:lineRule="auto"/>
        <w:rPr>
          <w:sz w:val="20"/>
          <w:szCs w:val="20"/>
          <w:color w:val="auto"/>
        </w:rPr>
      </w:pPr>
      <w:r>
        <w:rPr>
          <w:rFonts w:ascii="Arial" w:cs="Arial" w:eastAsia="Arial" w:hAnsi="Arial"/>
          <w:sz w:val="16"/>
          <w:szCs w:val="16"/>
          <w:color w:val="auto"/>
        </w:rPr>
        <w:t>All of the Company’s derivative instruments are designated as hedging instruments. 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16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years ended December 31, 2020 and 2019:</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Derivatives in Hedging Relationships</w:t>
            </w:r>
          </w:p>
        </w:tc>
        <w:tc>
          <w:tcPr>
            <w:tcW w:w="33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Amount of gain (loss) recognized in</w:t>
            </w:r>
          </w:p>
        </w:tc>
      </w:tr>
      <w:tr>
        <w:trPr>
          <w:trHeight w:val="216"/>
        </w:trPr>
        <w:tc>
          <w:tcPr>
            <w:tcW w:w="5660" w:type="dxa"/>
            <w:vAlign w:val="bottom"/>
          </w:tcPr>
          <w:p>
            <w:pPr>
              <w:spacing w:after="0"/>
              <w:rPr>
                <w:sz w:val="18"/>
                <w:szCs w:val="18"/>
                <w:color w:val="auto"/>
              </w:rPr>
            </w:pPr>
          </w:p>
        </w:tc>
        <w:tc>
          <w:tcPr>
            <w:tcW w:w="33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OCI on derivative (effective portion)</w:t>
            </w:r>
          </w:p>
        </w:tc>
      </w:tr>
      <w:tr>
        <w:trPr>
          <w:trHeight w:val="234"/>
        </w:trPr>
        <w:tc>
          <w:tcPr>
            <w:tcW w:w="5660" w:type="dxa"/>
            <w:vAlign w:val="bottom"/>
          </w:tcPr>
          <w:p>
            <w:pPr>
              <w:spacing w:after="0"/>
              <w:rPr>
                <w:sz w:val="20"/>
                <w:szCs w:val="20"/>
                <w:color w:val="auto"/>
              </w:rPr>
            </w:pPr>
          </w:p>
        </w:tc>
        <w:tc>
          <w:tcPr>
            <w:tcW w:w="278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90"/>
              </w:rPr>
              <w:t>Year Ended December 31,</w:t>
            </w:r>
          </w:p>
        </w:tc>
        <w:tc>
          <w:tcPr>
            <w:tcW w:w="540" w:type="dxa"/>
            <w:vAlign w:val="bottom"/>
            <w:tcBorders>
              <w:bottom w:val="single" w:sz="8" w:color="auto"/>
            </w:tcBorders>
          </w:tcPr>
          <w:p>
            <w:pPr>
              <w:spacing w:after="0"/>
              <w:rPr>
                <w:sz w:val="20"/>
                <w:szCs w:val="20"/>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color w:val="auto"/>
              </w:rPr>
              <w:t>(in thousands)</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700" w:type="dxa"/>
            <w:vAlign w:val="bottom"/>
            <w:gridSpan w:val="3"/>
            <w:shd w:val="clear" w:color="auto" w:fill="CCEEFF"/>
          </w:tcPr>
          <w:p>
            <w:pPr>
              <w:jc w:val="right"/>
              <w:ind w:right="890"/>
              <w:spacing w:after="0"/>
              <w:rPr>
                <w:sz w:val="20"/>
                <w:szCs w:val="20"/>
                <w:color w:val="auto"/>
              </w:rPr>
            </w:pPr>
            <w:r>
              <w:rPr>
                <w:rFonts w:ascii="Arial" w:cs="Arial" w:eastAsia="Arial" w:hAnsi="Arial"/>
                <w:sz w:val="18"/>
                <w:szCs w:val="18"/>
                <w:color w:val="auto"/>
              </w:rPr>
              <w:t>(206)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reclassifications out of accumulated other comprehensive loss for the year ended December 31,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Details about AOCI Components</w:t>
            </w:r>
          </w:p>
        </w:tc>
        <w:tc>
          <w:tcPr>
            <w:tcW w:w="29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Amount reclassified from AOCI</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89"/>
              </w:rPr>
              <w:t>into income (effective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90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amount reclassified</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 thousands)</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into income (effective portion)</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w w:val="90"/>
              </w:rPr>
              <w:t>Debt extinguishment and related</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Interest rate swaps settlement</w:t>
            </w: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5"/>
              </w:rPr>
              <w:t>costs</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1"/>
                <w:szCs w:val="21"/>
                <w:color w:val="auto"/>
              </w:rPr>
            </w:pPr>
          </w:p>
        </w:tc>
        <w:tc>
          <w:tcPr>
            <w:tcW w:w="2700" w:type="dxa"/>
            <w:vAlign w:val="bottom"/>
            <w:shd w:val="clear" w:color="auto" w:fill="CCEEFF"/>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60" w:type="dxa"/>
            <w:vAlign w:val="bottom"/>
          </w:tcPr>
          <w:p>
            <w:pPr>
              <w:spacing w:after="0"/>
              <w:rPr>
                <w:sz w:val="24"/>
                <w:szCs w:val="24"/>
                <w:color w:val="auto"/>
              </w:rPr>
            </w:pPr>
          </w:p>
        </w:tc>
        <w:tc>
          <w:tcPr>
            <w:tcW w:w="28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F- 27</w:t>
            </w: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the fair value hierarchy for those assets or liabilities measured at fair value on a recurring basis: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9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9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5"/>
              </w:rPr>
              <w:t>Fair Value as of December 31, 2019</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3</w:t>
            </w: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10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assets and liabilities carried at fair value include, when applicable, derivative instruments used to hedge the Company’s interest rate risks. The fair value of the Company’s interest rate swap agreements was based on LIBOR yield curves at the reporting date.</w:t>
      </w:r>
    </w:p>
    <w:p>
      <w:pPr>
        <w:spacing w:after="0" w:line="18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The Company had no interest rate swap agreements outstanding as of December 31, 2020, as they were cancelled on December 22, 2020, in connection with the new Credit Agreement as described in Note 11.</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Revenues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represents a disaggregation of revenue from contracts with customers for the years ended December 31, 2020 and 2019:</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92"/>
              </w:rPr>
              <w:t>Year Ended December 31,</w:t>
            </w: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97,473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4,627</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w:t>
            </w: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116,176</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Changes in deferred revenue from service contracts and advance payments from customers for the years ended December 31, 2020 and 2019 were as follow:</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 2020</w:t>
            </w:r>
          </w:p>
        </w:tc>
      </w:tr>
      <w:tr>
        <w:trPr>
          <w:trHeight w:val="191"/>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Service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Customer</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294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Contracts</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Advances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rPr>
              <w:t>Deferral of revenue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4,631</w:t>
            </w:r>
          </w:p>
        </w:tc>
      </w:tr>
      <w:tr>
        <w:trPr>
          <w:trHeight w:val="216"/>
        </w:trPr>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deferred revenue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w w:val="95"/>
              </w:rPr>
              <w:t>Effect of foreign currency translation</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r>
    </w:tbl>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 2019</w:t>
            </w:r>
          </w:p>
        </w:tc>
      </w:tr>
      <w:tr>
        <w:trPr>
          <w:trHeight w:val="191"/>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Service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Customer</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294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Contracts</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Advances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rPr>
              <w:t>Deferral of revenue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3,247</w:t>
            </w:r>
          </w:p>
        </w:tc>
      </w:tr>
      <w:tr>
        <w:trPr>
          <w:trHeight w:val="216"/>
        </w:trPr>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deferred revenue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r>
      <w:tr>
        <w:trPr>
          <w:trHeight w:val="216"/>
        </w:trPr>
        <w:tc>
          <w:tcPr>
            <w:tcW w:w="2940" w:type="dxa"/>
            <w:vAlign w:val="bottom"/>
          </w:tcPr>
          <w:p>
            <w:pPr>
              <w:ind w:left="160"/>
              <w:spacing w:after="0"/>
              <w:rPr>
                <w:sz w:val="20"/>
                <w:szCs w:val="20"/>
                <w:color w:val="auto"/>
              </w:rPr>
            </w:pPr>
            <w:r>
              <w:rPr>
                <w:rFonts w:ascii="Arial" w:cs="Arial" w:eastAsia="Arial" w:hAnsi="Arial"/>
                <w:sz w:val="18"/>
                <w:szCs w:val="18"/>
                <w:color w:val="auto"/>
                <w:w w:val="95"/>
              </w:rPr>
              <w:t>Effect of foreign currency translation</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9"/>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Allowance for doubtful accounts is based on the Company’s assessment of the collectability of customer accounts. A rollforward of allowance for doubtful accounts is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427736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beginning of period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5715</wp:posOffset>
            </wp:positionV>
            <wp:extent cx="42773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auto"/>
        </w:rPr>
        <w:t>Charge-offs and other recoveries</w:t>
      </w:r>
    </w:p>
    <w:p>
      <w:pPr>
        <w:spacing w:after="0" w:line="9" w:lineRule="exact"/>
        <w:rPr>
          <w:sz w:val="20"/>
          <w:szCs w:val="20"/>
          <w:color w:val="auto"/>
        </w:rPr>
      </w:pPr>
    </w:p>
    <w:p>
      <w:pPr>
        <w:ind w:left="460" w:right="660" w:firstLine="162"/>
        <w:spacing w:after="0" w:line="323" w:lineRule="auto"/>
        <w:rPr>
          <w:sz w:val="20"/>
          <w:szCs w:val="20"/>
          <w:color w:val="auto"/>
        </w:rPr>
      </w:pPr>
      <w:r>
        <w:rPr>
          <w:rFonts w:ascii="Arial" w:cs="Arial" w:eastAsia="Arial" w:hAnsi="Arial"/>
          <w:sz w:val="18"/>
          <w:szCs w:val="18"/>
          <w:color w:val="auto"/>
        </w:rPr>
        <w:t>Effect of foreign currency translation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-207645</wp:posOffset>
            </wp:positionV>
            <wp:extent cx="427736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195"/>
        </w:trPr>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325</w:t>
            </w:r>
          </w:p>
        </w:tc>
        <w:tc>
          <w:tcPr>
            <w:tcW w:w="6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332</w:t>
            </w:r>
          </w:p>
        </w:tc>
      </w:tr>
      <w:tr>
        <w:trPr>
          <w:trHeight w:val="216"/>
        </w:trPr>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3960" w:space="720"/>
            <w:col w:w="6560"/>
          </w:cols>
          <w:pgMar w:left="320" w:top="125" w:right="339" w:bottom="1440" w:gutter="0" w:footer="0" w:header="0"/>
          <w:type w:val="continuous"/>
        </w:sectPr>
      </w:pPr>
    </w:p>
    <w:p>
      <w:pPr>
        <w:spacing w:after="0" w:line="25"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No customer accounted for more than 10% of the revenues for the years ended December 31, 2020, and 2019. At December 31, 2020 and 2019, no customer accounted for more than 10% of net accounts receivable.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Beginning</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(Charges)\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Ending</w:t>
            </w:r>
          </w:p>
        </w:tc>
        <w:tc>
          <w:tcPr>
            <w:tcW w:w="18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Additions</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Credits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Balance</w:t>
            </w:r>
          </w:p>
        </w:tc>
        <w:tc>
          <w:tcPr>
            <w:tcW w:w="180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1800" w:type="dxa"/>
            <w:vAlign w:val="bottom"/>
          </w:tcPr>
          <w:p>
            <w:pPr>
              <w:spacing w:after="0"/>
              <w:rPr>
                <w:sz w:val="20"/>
                <w:szCs w:val="20"/>
                <w:color w:val="auto"/>
              </w:rPr>
            </w:pPr>
          </w:p>
        </w:tc>
      </w:tr>
      <w:tr>
        <w:trPr>
          <w:trHeight w:val="634"/>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color w:val="auto"/>
              </w:rPr>
              <w:t>F- 29</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Income Tax</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tax expense (benefit) for years ended December 31, 2020 and 2019 consisted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 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20320</wp:posOffset>
            </wp:positionV>
            <wp:extent cx="42773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and state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427736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29210</wp:posOffset>
            </wp:positionV>
            <wp:extent cx="427736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and state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427736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income tax (benefit) expense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r>
      <w:tr>
        <w:trPr>
          <w:trHeight w:val="210"/>
        </w:trPr>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411"/>
        </w:trPr>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10"/>
        </w:trPr>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09"/>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960" w:space="720"/>
            <w:col w:w="6560"/>
          </w:cols>
          <w:pgMar w:left="320" w:top="125" w:right="339" w:bottom="1440" w:gutter="0" w:footer="0" w:header="0"/>
          <w:type w:val="continuous"/>
        </w:sectPr>
      </w:pPr>
    </w:p>
    <w:p>
      <w:pPr>
        <w:spacing w:after="0" w:line="2"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The effective tax rate for the year ended December 31, 2020 was (7.1)% as compared with 14.9% for the same period in 2019. The difference between the Company’s effective tax rate year over year was primarily attributable to changes in the mix of pre-tax income and losses at individual subsidiaries as well as the impact of different tax rates in certain foreign jurisdictions, and the impact of the change in valuation allowance.</w:t>
      </w:r>
    </w:p>
    <w:p>
      <w:pPr>
        <w:spacing w:after="0" w:line="16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Income tax benefit for the years ended December 31, 2020 and 2019 differed from the amount computed by applying the U.S. federal income tax rate of 21% to pre-tax operations income as a result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8"/>
                <w:szCs w:val="18"/>
                <w:b w:val="1"/>
                <w:bCs w:val="1"/>
                <w:color w:val="auto"/>
                <w:w w:val="95"/>
              </w:rPr>
              <w:t>Year Ended December 31,</w:t>
            </w:r>
          </w:p>
        </w:tc>
        <w:tc>
          <w:tcPr>
            <w:tcW w:w="880" w:type="dxa"/>
            <w:vAlign w:val="bottom"/>
            <w:tcBorders>
              <w:bottom w:val="single" w:sz="8" w:color="auto"/>
            </w:tcBorders>
          </w:tcPr>
          <w:p>
            <w:pPr>
              <w:spacing w:after="0"/>
              <w:rPr>
                <w:sz w:val="20"/>
                <w:szCs w:val="20"/>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18"/>
                <w:szCs w:val="18"/>
                <w:color w:val="auto"/>
              </w:rPr>
            </w:pPr>
          </w:p>
        </w:tc>
      </w:tr>
      <w:tr>
        <w:trPr>
          <w:trHeight w:val="20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"expected" income tax benefit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21.0%</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Increase (decrease) in income taxes resulting from:</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Permanent differences, net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Foreign tax rate differential</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income tax benefit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Non-deductible stock compensation expense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Change in reserve for uncertain tax position</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2.0%</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Impact of change to prior year tax accruals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Change in valuation allowance allocated to income tax</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98"/>
              </w:rPr>
              <w:t>(29.2)%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10.5%</w:t>
            </w:r>
          </w:p>
        </w:tc>
      </w:tr>
      <w:tr>
        <w:trPr>
          <w:trHeight w:val="216"/>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Total income tax expense (benefit)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14.8%</w:t>
            </w:r>
          </w:p>
        </w:tc>
      </w:tr>
      <w:tr>
        <w:trPr>
          <w:trHeight w:val="20"/>
        </w:trPr>
        <w:tc>
          <w:tcPr>
            <w:tcW w:w="46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7480" w:type="dxa"/>
            <w:vAlign w:val="bottom"/>
            <w:gridSpan w:val="11"/>
          </w:tcPr>
          <w:p>
            <w:pPr>
              <w:spacing w:after="0"/>
              <w:rPr>
                <w:sz w:val="20"/>
                <w:szCs w:val="20"/>
                <w:color w:val="auto"/>
              </w:rPr>
            </w:pPr>
            <w:r>
              <w:rPr>
                <w:rFonts w:ascii="Arial" w:cs="Arial" w:eastAsia="Arial" w:hAnsi="Arial"/>
                <w:sz w:val="18"/>
                <w:szCs w:val="18"/>
                <w:color w:val="auto"/>
                <w:w w:val="92"/>
              </w:rPr>
              <w:t>The Company’s policy is to account for Global Intangible Low-Taxed income (GILTI) as a period cost.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7480" w:type="dxa"/>
            <w:vAlign w:val="bottom"/>
            <w:gridSpan w:val="11"/>
          </w:tcPr>
          <w:p>
            <w:pPr>
              <w:spacing w:after="0"/>
              <w:rPr>
                <w:sz w:val="20"/>
                <w:szCs w:val="20"/>
                <w:color w:val="auto"/>
              </w:rPr>
            </w:pPr>
            <w:r>
              <w:rPr>
                <w:rFonts w:ascii="Arial" w:cs="Arial" w:eastAsia="Arial" w:hAnsi="Arial"/>
                <w:sz w:val="18"/>
                <w:szCs w:val="18"/>
                <w:color w:val="auto"/>
              </w:rPr>
              <w:t>Income tax (benefit) expense is based on the following pre-tax (loss) income from operations: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9"/>
          </w:tcPr>
          <w:p>
            <w:pPr>
              <w:jc w:val="right"/>
              <w:ind w:right="950"/>
              <w:spacing w:after="0"/>
              <w:rPr>
                <w:sz w:val="20"/>
                <w:szCs w:val="20"/>
                <w:color w:val="auto"/>
              </w:rPr>
            </w:pPr>
            <w:r>
              <w:rPr>
                <w:rFonts w:ascii="Arial" w:cs="Arial" w:eastAsia="Arial" w:hAnsi="Arial"/>
                <w:sz w:val="18"/>
                <w:szCs w:val="18"/>
                <w:b w:val="1"/>
                <w:bCs w:val="1"/>
                <w:color w:val="auto"/>
                <w:w w:val="92"/>
              </w:rPr>
              <w:t>Year Ended December 31,</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28"/>
        </w:trPr>
        <w:tc>
          <w:tcPr>
            <w:tcW w:w="46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F- 30</w:t>
            </w:r>
          </w:p>
        </w:tc>
        <w:tc>
          <w:tcPr>
            <w:tcW w:w="6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The tax effects of temporary differences that give rise to significant components of the deferred tax assets and deferred tax liabilities at December 31, 2020 and 2019 are as follows: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Year Ended December 31,</w:t>
            </w: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16"/>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loss and credit carryforwards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w:t>
            </w: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16"/>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interest expense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Stock compensation</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16"/>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liability</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25,325</w:t>
            </w: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(16,682)</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(13,745)</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w:t>
            </w:r>
          </w:p>
        </w:tc>
      </w:tr>
      <w:tr>
        <w:trPr>
          <w:trHeight w:val="210"/>
        </w:trPr>
        <w:tc>
          <w:tcPr>
            <w:tcW w:w="4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Indefinite-lived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2,048</w:t>
            </w:r>
          </w:p>
        </w:tc>
      </w:tr>
      <w:tr>
        <w:trPr>
          <w:trHeight w:val="216"/>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Definite-lived intangible 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Right-of-use asset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1,580</w:t>
            </w:r>
          </w:p>
        </w:tc>
      </w:tr>
      <w:tr>
        <w:trPr>
          <w:trHeight w:val="216"/>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w:t>
            </w:r>
          </w:p>
        </w:tc>
      </w:tr>
      <w:tr>
        <w:trPr>
          <w:trHeight w:val="249"/>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liability,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 assets and liabilities by classification on the consolidated balance sheets were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Year Ended December 31,</w:t>
            </w: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4"/>
              </w:rPr>
              <w:t>Deferred tax assets (included in other long-term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r>
      <w:tr>
        <w:trPr>
          <w:trHeight w:val="25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liability,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r>
    </w:tbl>
    <w:p>
      <w:pPr>
        <w:spacing w:after="0" w:line="202"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8"/>
          <w:szCs w:val="18"/>
          <w:color w:val="auto"/>
        </w:rPr>
        <w:t>As of December 31, 2020 and 2019, the Company maintained a total valuation allowance of $16.7 million and $13.7 million, respectively, which relates to foreign, federal, and state deferred tax assets in both years. The valuation allowance is based on estimates of taxable income in each of the jurisdictions in which the Company operates and the period over which deferred tax assets will be recoverable. The net change in total valuation allowance for each of the years ended December 31, 2020 and December 31, 2019 was an increase of $2.9 million and a decrease of $(0.2) million, respectively. The movement in the valuation allowance in 2020 is primarily due to increases in the valuation allowance against net operating losses (NOLs) as a result of changes made by the Coronavirus Aid, Relief, and Economic Security Act (“CARES Act”) and movement of $0.7 million was recorded to equity during the year ended December 31, 2020 related to the UK pension asset. The movement in the valuation allowance in 2019 is primarily due to a change in estimate of the realizability of certain U.S. deferred tax assets offset by changes in UK pension asset and the expiration of U.S. state credits with full valuation allowances.</w:t>
      </w:r>
    </w:p>
    <w:p>
      <w:pPr>
        <w:spacing w:after="0" w:line="196"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6"/>
          <w:szCs w:val="16"/>
          <w:color w:val="auto"/>
        </w:rPr>
        <w:t>At December 31, 2020, the Company had U.S. federal net operating loss carryforwards of $28.1 million, of which $22.8 million expires between 2021 and 2037, with the remainder having an unlimited carryforward period. The Company’s state net operating loss carryforwards of $19.0 million expire between 2021 and 2040. The Company has net operating loss carryforwards of $7.3 million in certain foreign jurisdictions, partially offset by valuation allowances, as well as $0.2 million non-U.S. research and development credits. The Company has foreign tax credits of $0.2 million which begin to expire in 2021, as well as $8.5 million of research and development tax credit carryforwards which begin to expire in 2021. Approximately $1.0 million of the research and development tax credit carryforwards are offset by a reserve for uncertain tax positions. The Company had $0.8 million of alternative minimum tax credit carryforwards which are not subject to expiration and become refundable under the 2017 Tax Cuts and Jobs Act. In addition, the Company had a total of $3.2 million of state investment tax credit carryforwards, research and development tax credit carryforwards, and EZ credit carryforwards, which begin to expire in 2021. The Internal Revenue Code (IRC) limits the amounts of net operating loss carryforwards or credits that a company may use in any one year in the event of a change in ownership under IRC Sections 382 or 383. As a result of the DSI acquisition as well as other acquisitions in prior years, certain losses and credit carryforwards are subject to these limitations. The Company has provided a full or partial valuation allowance for the portion of state NOLs and federal and state credit carryforwards the Company expects will expire before use.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50"/>
        <w:spacing w:after="0" w:line="263" w:lineRule="auto"/>
        <w:rPr>
          <w:sz w:val="20"/>
          <w:szCs w:val="20"/>
          <w:color w:val="auto"/>
        </w:rPr>
      </w:pPr>
      <w:r>
        <w:rPr>
          <w:rFonts w:ascii="Arial" w:cs="Arial" w:eastAsia="Arial" w:hAnsi="Arial"/>
          <w:sz w:val="18"/>
          <w:szCs w:val="18"/>
          <w:color w:val="auto"/>
        </w:rPr>
        <w:t>As of December 31, 2020 and December 31, 2019, cash and cash equivalents held by the Company’s foreign subsidiaries was $2.5 million and $3.5 million, respectively. As of December 31, 2020, the Company has determined the potential income tax and withholding liability related to available cash balances at foreign subsidiaries to be immaterial.</w:t>
      </w:r>
    </w:p>
    <w:p>
      <w:pPr>
        <w:spacing w:after="0" w:line="18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At December 31, 2020 and 2019 the amount of unrecognized tax benefits that would affect the Company’s effective tax rate are shown in the table below:</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(in thousands)</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Additions based on tax positions of prior years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Decreases based on tax positions of prior years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Additions based on tax positions of current years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Decreases based on tax positions of acquired entities</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Additions based on tax positions of prior years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Decreases based on tax positions of prior years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Additions based on tax positions of current years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In 2019, a foreign income tax audit was closed without payment and a reserve for $0.1 million was reversed, and the Company settled U.S. state income tax liabilities of $0.4 million. In addition, the Company reduced the reserve on tax positions of acquired entities by $0.1 million and recorded a reserve of $0.1 million related to upcoming audits. In 2020, income tax examinations began at two foreign subsidiaries and related reserves were increased approximately $0.3 million and certain state income tax issues were settled for $0.1 million.</w:t>
      </w:r>
    </w:p>
    <w:p>
      <w:pPr>
        <w:spacing w:after="0" w:line="187"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The Company anticipates that the total unrecognized tax benefits will be reduced within the next 12 months by approximately $0.3 million due to the expected settlement of certain positions related to ongoing audits at foreign subsidiaries. The total amount of unrecognized tax benefits that, if recognized, would impact the effective tax rate is $1.7 million. The Company classifies interest and penalties related to unrecognized tax benefits as a component of income tax expense, which has not been significant during the years ended December 31, 2020 and 2019, respectively.</w:t>
      </w:r>
    </w:p>
    <w:p>
      <w:pPr>
        <w:spacing w:after="0" w:line="171"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The Company or one of its subsidiaries files income tax returns in the U.S. federal jurisdiction, and various states and foreign jurisdictions. With few exceptions, the Company is no longer subject to income tax examinations by tax authorities in foreign jurisdictions for years before 2016. In the U.S., the Company's net operating loss and tax credit carryforward amounts remain subject to federal and state examination for tax years starting in 2001 as a result of tax losses incurred in prior years. There are currently no pending federal or state tax examinations. The Company is subject to audits by various foreign taxing jurisdictions.</w:t>
      </w:r>
    </w:p>
    <w:p>
      <w:pPr>
        <w:spacing w:after="0" w:line="188"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color w:val="auto"/>
        </w:rPr>
        <w:t>On March 27, 2020, the CARES Act was signed into law. Under the CARES Act, the limitation on the deduction of business interest under Section 163j of the Internal Revenue Code was increased to 50% of adjusted taxable income (from 30%) for taxable years beginning in 2019 or 2020. In addition, the CARES Act corrected the Tax Cuts and Jobs Act to provide that net operating losses with unlimited carryover period are those arising in tax years beginning after December 31, 2017, rather than in tax years ending after that date. This change impacted $5.3 million of NOLs from the DSI acquisition in 2018, which no longer have an unlimited carryforward period. As a result, the Company increased the valuation allowance against these NOLs by $1.1 million. Finally, the CARES Act permits the delay of payment of employer payroll taxes from the effective date of the Act through December 31, 2020. Any payments deferred will be due 50% by December 31, 2021, and the remaining 50% by December 31,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840" w:hanging="508"/>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9"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color w:val="auto"/>
        </w:rPr>
        <w:t>On April 14, 2017, representatives for the estate of an individual plaintiff filed a wrongful death complaint with the Suffolk Superior Court, in the County of Suffolk, Massachusetts, against the Company and other defendants, including Biostage, Inc. (f/k/a Harvard Apparatus Regenerative Technology, Inc.), our former subsidiary that was spun off in 2013, as well as another third party. The complaint seeks payment for an unspecified amount of damages and alleges that the plaintiff sustained terminal injuries allegedly caused by products, including synthetic trachea scaffold and bioreactors, provided by certain of the named defendants and utilized in connection with surgeries performed by third parties in Europe in 2012 and 2013. The Company intends to vigorously defend this case by counsel provided by the liability insurance carrier for Biostage, Inc. While the Company believes that the claims made in this lawsuit are without merit, the Company is unable to predict the ultimate outcome of this litigation.</w:t>
      </w:r>
    </w:p>
    <w:p>
      <w:pPr>
        <w:spacing w:after="0" w:line="177"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for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Segment and Related Information</w:t>
      </w:r>
    </w:p>
    <w:p>
      <w:pPr>
        <w:spacing w:after="0" w:line="229"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Operating segments are determined by products and services provided by each segment, internal organization structure, the manner in which operations are managed, criteria used by the Chief Operating Decision Maker, or CODM, to assess the segment performance, as well as resource allocation and the availability of discrete financial information. The Company has one operating segment and therefore segment results and consolidated results are the same.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additional selected financial information of the Company’s operations by geographic location.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by geographic destination consist of the following:</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92"/>
              </w:rPr>
              <w:t>Year Ended December 31,</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42,054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29,938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35,128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Rest of the world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w:t>
            </w: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116,176</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Long-lived assets by geographic area consist of the following:</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Germany</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5,468</w:t>
            </w:r>
          </w:p>
        </w:tc>
      </w:tr>
      <w:tr>
        <w:trPr>
          <w:trHeight w:val="216"/>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Total long-lived assets (a)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44,618</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50,509</w:t>
            </w:r>
          </w:p>
        </w:tc>
      </w:tr>
      <w:tr>
        <w:trPr>
          <w:trHeight w:val="20"/>
        </w:trPr>
        <w:tc>
          <w:tcPr>
            <w:tcW w:w="4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right="1660" w:firstLine="196"/>
        <w:spacing w:after="0" w:line="498" w:lineRule="auto"/>
        <w:tabs>
          <w:tab w:leader="none" w:pos="9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operating lease right-of-use assets, property, plant and equipment, net and amortizable intangible assets, net. Net assets by geographic area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c>
          <w:tcPr>
            <w:tcW w:w="40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06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37,726</w:t>
            </w:r>
          </w:p>
        </w:tc>
        <w:tc>
          <w:tcPr>
            <w:tcW w:w="40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Germany</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18,697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17,340</w:t>
            </w:r>
          </w:p>
        </w:tc>
        <w:tc>
          <w:tcPr>
            <w:tcW w:w="40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40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 of the world</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16,660</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15,374</w:t>
            </w:r>
          </w:p>
        </w:tc>
        <w:tc>
          <w:tcPr>
            <w:tcW w:w="406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81,694</w:t>
            </w:r>
          </w:p>
        </w:tc>
        <w:tc>
          <w:tcPr>
            <w:tcW w:w="4060" w:type="dxa"/>
            <w:vAlign w:val="bottom"/>
          </w:tcPr>
          <w:p>
            <w:pPr>
              <w:spacing w:after="0"/>
              <w:rPr>
                <w:sz w:val="21"/>
                <w:szCs w:val="21"/>
                <w:color w:val="auto"/>
              </w:rPr>
            </w:pPr>
          </w:p>
        </w:tc>
      </w:tr>
      <w:tr>
        <w:trPr>
          <w:trHeight w:val="628"/>
        </w:trPr>
        <w:tc>
          <w:tcPr>
            <w:tcW w:w="46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F- 34</w:t>
            </w: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7140" w:type="dxa"/>
            <w:vAlign w:val="bottom"/>
            <w:gridSpan w:val="2"/>
          </w:tcPr>
          <w:p>
            <w:pPr>
              <w:ind w:left="2500"/>
              <w:spacing w:after="0"/>
              <w:rPr>
                <w:sz w:val="20"/>
                <w:szCs w:val="20"/>
                <w:color w:val="auto"/>
              </w:rPr>
            </w:pPr>
            <w:r>
              <w:rPr>
                <w:rFonts w:ascii="Arial" w:cs="Arial" w:eastAsia="Arial" w:hAnsi="Arial"/>
                <w:sz w:val="18"/>
                <w:szCs w:val="18"/>
                <w:color w:val="auto"/>
              </w:rPr>
              <w:t>HARVARD BIOSCIENCE, INC.</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Date: March 17, 2021</w:t>
            </w:r>
          </w:p>
        </w:tc>
        <w:tc>
          <w:tcPr>
            <w:tcW w:w="7140" w:type="dxa"/>
            <w:vAlign w:val="bottom"/>
            <w:gridSpan w:val="2"/>
          </w:tcPr>
          <w:p>
            <w:pPr>
              <w:ind w:left="2500"/>
              <w:spacing w:after="0"/>
              <w:rPr>
                <w:sz w:val="20"/>
                <w:szCs w:val="20"/>
                <w:color w:val="auto"/>
              </w:rPr>
            </w:pPr>
            <w:r>
              <w:rPr>
                <w:rFonts w:ascii="Arial" w:cs="Arial" w:eastAsia="Arial" w:hAnsi="Arial"/>
                <w:sz w:val="18"/>
                <w:szCs w:val="18"/>
                <w:color w:val="auto"/>
              </w:rPr>
              <w:t>By:   /s/ JAMES GREEN</w:t>
            </w:r>
          </w:p>
        </w:tc>
      </w:tr>
      <w:tr>
        <w:trPr>
          <w:trHeight w:val="195"/>
        </w:trPr>
        <w:tc>
          <w:tcPr>
            <w:tcW w:w="4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Green</w:t>
            </w:r>
          </w:p>
        </w:tc>
      </w:tr>
      <w:tr>
        <w:trPr>
          <w:trHeight w:val="230"/>
        </w:trPr>
        <w:tc>
          <w:tcPr>
            <w:tcW w:w="41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542"/>
        </w:trPr>
        <w:tc>
          <w:tcPr>
            <w:tcW w:w="4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exhibits are filed as part of this Annual Report on Form 10-K. Where such filing is made by incorporation by reference to a previously filed document, such document is identified.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0"/>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1"/>
              </w:rPr>
              <w:t>Description</w:t>
            </w:r>
          </w:p>
        </w:tc>
        <w:tc>
          <w:tcPr>
            <w:tcW w:w="22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80" w:type="dxa"/>
            <w:vAlign w:val="bottom"/>
            <w:gridSpan w:val="11"/>
          </w:tcPr>
          <w:p>
            <w:pPr>
              <w:ind w:left="600"/>
              <w:spacing w:after="0"/>
              <w:rPr>
                <w:sz w:val="20"/>
                <w:szCs w:val="20"/>
                <w:color w:val="auto"/>
              </w:rPr>
            </w:pPr>
            <w:r>
              <w:rPr>
                <w:rFonts w:ascii="Arial" w:cs="Arial" w:eastAsia="Arial" w:hAnsi="Arial"/>
                <w:sz w:val="18"/>
                <w:szCs w:val="18"/>
                <w:color w:val="auto"/>
              </w:rPr>
              <w:t>Method of Filing</w:t>
            </w:r>
          </w:p>
        </w:tc>
      </w:tr>
      <w:tr>
        <w:trPr>
          <w:trHeight w:val="20"/>
        </w:trPr>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ind w:right="130"/>
              <w:spacing w:after="0" w:line="196" w:lineRule="exact"/>
              <w:rPr>
                <w:rFonts w:ascii="Arial" w:cs="Arial" w:eastAsia="Arial" w:hAnsi="Arial"/>
                <w:sz w:val="18"/>
                <w:szCs w:val="18"/>
                <w:color w:val="0000EE"/>
                <w:w w:val="91"/>
              </w:rPr>
            </w:pPr>
            <w:hyperlink r:id="rId87">
              <w:r>
                <w:rPr>
                  <w:rFonts w:ascii="Arial" w:cs="Arial" w:eastAsia="Arial" w:hAnsi="Arial"/>
                  <w:sz w:val="18"/>
                  <w:szCs w:val="18"/>
                  <w:u w:val="single" w:color="auto"/>
                  <w:color w:val="0000EE"/>
                  <w:w w:val="91"/>
                </w:rPr>
                <w:t>2.1</w:t>
              </w:r>
            </w:hyperlink>
            <w:r>
              <w:rPr>
                <w:rFonts w:ascii="Arial" w:cs="Arial" w:eastAsia="Arial" w:hAnsi="Arial"/>
                <w:sz w:val="18"/>
                <w:szCs w:val="18"/>
                <w:color w:val="000000"/>
                <w:w w:val="91"/>
              </w:rPr>
              <w:t>§</w:t>
            </w:r>
          </w:p>
        </w:tc>
        <w:tc>
          <w:tcPr>
            <w:tcW w:w="41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Separation and Distribution Agreement between Harvard</w:t>
              </w:r>
            </w:hyperlink>
          </w:p>
        </w:tc>
        <w:tc>
          <w:tcPr>
            <w:tcW w:w="1040" w:type="dxa"/>
            <w:vAlign w:val="bottom"/>
            <w:gridSpan w:val="7"/>
          </w:tcPr>
          <w:p>
            <w:pPr>
              <w:spacing w:after="0"/>
              <w:rPr>
                <w:sz w:val="17"/>
                <w:szCs w:val="17"/>
                <w:color w:val="auto"/>
              </w:rPr>
            </w:pPr>
          </w:p>
        </w:tc>
        <w:tc>
          <w:tcPr>
            <w:tcW w:w="47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Previously filed as an exhibit to the Company’s Current Report on</w:t>
              </w:r>
            </w:hyperlink>
          </w:p>
        </w:tc>
        <w:tc>
          <w:tcPr>
            <w:tcW w:w="1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Bioscience, Inc. and Biostage, Inc. (f/k/a Harvard Apparatus</w:t>
              </w:r>
            </w:hyperlink>
          </w:p>
        </w:tc>
        <w:tc>
          <w:tcPr>
            <w:tcW w:w="800" w:type="dxa"/>
            <w:vAlign w:val="bottom"/>
            <w:gridSpan w:val="5"/>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Form 8-K (filed November 6, 2013) and incorporated by reference</w:t>
              </w:r>
            </w:hyperlink>
          </w:p>
        </w:tc>
        <w:tc>
          <w:tcPr>
            <w:tcW w:w="1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160" w:type="dxa"/>
            <w:vAlign w:val="bottom"/>
            <w:gridSpan w:val="14"/>
          </w:tcPr>
          <w:p>
            <w:pPr>
              <w:spacing w:after="0" w:line="196" w:lineRule="exact"/>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Regenerative Technology, Inc.) dated as of October 31, 2013.</w:t>
              </w:r>
            </w:hyperlink>
          </w:p>
        </w:tc>
        <w:tc>
          <w:tcPr>
            <w:tcW w:w="4940" w:type="dxa"/>
            <w:vAlign w:val="bottom"/>
            <w:gridSpan w:val="13"/>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thereto.</w:t>
              </w:r>
            </w:hyperlink>
          </w:p>
        </w:tc>
      </w:tr>
      <w:tr>
        <w:trPr>
          <w:trHeight w:val="20"/>
        </w:trPr>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ind w:right="130"/>
              <w:spacing w:after="0" w:line="196" w:lineRule="exact"/>
              <w:rPr>
                <w:rFonts w:ascii="Arial" w:cs="Arial" w:eastAsia="Arial" w:hAnsi="Arial"/>
                <w:sz w:val="18"/>
                <w:szCs w:val="18"/>
                <w:color w:val="0000EE"/>
                <w:w w:val="91"/>
              </w:rPr>
            </w:pPr>
            <w:hyperlink r:id="rId88">
              <w:r>
                <w:rPr>
                  <w:rFonts w:ascii="Arial" w:cs="Arial" w:eastAsia="Arial" w:hAnsi="Arial"/>
                  <w:sz w:val="18"/>
                  <w:szCs w:val="18"/>
                  <w:u w:val="single" w:color="auto"/>
                  <w:color w:val="0000EE"/>
                  <w:w w:val="91"/>
                </w:rPr>
                <w:t>2.2</w:t>
              </w:r>
            </w:hyperlink>
            <w:r>
              <w:rPr>
                <w:rFonts w:ascii="Arial" w:cs="Arial" w:eastAsia="Arial" w:hAnsi="Arial"/>
                <w:sz w:val="18"/>
                <w:szCs w:val="18"/>
                <w:color w:val="000000"/>
                <w:w w:val="91"/>
              </w:rPr>
              <w:t>§</w:t>
            </w:r>
          </w:p>
        </w:tc>
        <w:tc>
          <w:tcPr>
            <w:tcW w:w="43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Purchase Agreement, dated as of January 22, 2018, between</w:t>
              </w:r>
            </w:hyperlink>
          </w:p>
        </w:tc>
        <w:tc>
          <w:tcPr>
            <w:tcW w:w="820" w:type="dxa"/>
            <w:vAlign w:val="bottom"/>
            <w:gridSpan w:val="6"/>
          </w:tcPr>
          <w:p>
            <w:pPr>
              <w:spacing w:after="0"/>
              <w:rPr>
                <w:sz w:val="17"/>
                <w:szCs w:val="17"/>
                <w:color w:val="auto"/>
              </w:rPr>
            </w:pPr>
          </w:p>
        </w:tc>
        <w:tc>
          <w:tcPr>
            <w:tcW w:w="47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Previously filed as an exhibit to the Company’s Current Report on</w:t>
              </w:r>
            </w:hyperlink>
          </w:p>
        </w:tc>
        <w:tc>
          <w:tcPr>
            <w:tcW w:w="1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160" w:type="dxa"/>
            <w:vAlign w:val="bottom"/>
            <w:gridSpan w:val="14"/>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Harvard Bioscience, Inc., Denville Scientific, Inc, and Thomas</w:t>
              </w:r>
            </w:hyperlink>
          </w:p>
        </w:tc>
        <w:tc>
          <w:tcPr>
            <w:tcW w:w="4940" w:type="dxa"/>
            <w:vAlign w:val="bottom"/>
            <w:gridSpan w:val="13"/>
          </w:tcPr>
          <w:p>
            <w:pPr>
              <w:spacing w:after="0" w:line="196" w:lineRule="exact"/>
              <w:rPr>
                <w:rFonts w:ascii="Arial" w:cs="Arial" w:eastAsia="Arial" w:hAnsi="Arial"/>
                <w:sz w:val="18"/>
                <w:szCs w:val="18"/>
                <w:color w:val="0000EE"/>
                <w:w w:val="95"/>
              </w:rPr>
            </w:pPr>
            <w:hyperlink r:id="rId88">
              <w:r>
                <w:rPr>
                  <w:rFonts w:ascii="Arial" w:cs="Arial" w:eastAsia="Arial" w:hAnsi="Arial"/>
                  <w:sz w:val="18"/>
                  <w:szCs w:val="18"/>
                  <w:color w:val="0000EE"/>
                  <w:w w:val="95"/>
                </w:rPr>
                <w:t>Form 8-K (filed January 26, 2018) and incorporated by reference</w:t>
              </w:r>
            </w:hyperlink>
          </w:p>
        </w:tc>
      </w:tr>
      <w:tr>
        <w:trPr>
          <w:trHeight w:val="196"/>
        </w:trPr>
        <w:tc>
          <w:tcPr>
            <w:tcW w:w="1140" w:type="dxa"/>
            <w:vAlign w:val="bottom"/>
          </w:tcPr>
          <w:p>
            <w:pPr>
              <w:spacing w:after="0"/>
              <w:rPr>
                <w:sz w:val="17"/>
                <w:szCs w:val="17"/>
                <w:color w:val="auto"/>
              </w:rPr>
            </w:pPr>
          </w:p>
        </w:tc>
        <w:tc>
          <w:tcPr>
            <w:tcW w:w="4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Scientific, LLC.</w:t>
              </w:r>
            </w:hyperlink>
          </w:p>
        </w:tc>
        <w:tc>
          <w:tcPr>
            <w:tcW w:w="640" w:type="dxa"/>
            <w:vAlign w:val="bottom"/>
            <w:gridSpan w:val="3"/>
          </w:tcPr>
          <w:p>
            <w:pPr>
              <w:spacing w:after="0"/>
              <w:rPr>
                <w:sz w:val="17"/>
                <w:szCs w:val="17"/>
                <w:color w:val="auto"/>
              </w:rPr>
            </w:pPr>
          </w:p>
        </w:tc>
        <w:tc>
          <w:tcPr>
            <w:tcW w:w="46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thereto.</w:t>
              </w:r>
            </w:hyperlink>
          </w:p>
        </w:tc>
        <w:tc>
          <w:tcPr>
            <w:tcW w:w="26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ind w:right="110"/>
              <w:spacing w:after="0" w:line="196" w:lineRule="exact"/>
              <w:rPr>
                <w:rFonts w:ascii="Arial" w:cs="Arial" w:eastAsia="Arial" w:hAnsi="Arial"/>
                <w:sz w:val="18"/>
                <w:szCs w:val="18"/>
                <w:u w:val="single" w:color="auto"/>
                <w:color w:val="0000EE"/>
                <w:w w:val="99"/>
              </w:rPr>
            </w:pPr>
            <w:hyperlink r:id="rId89">
              <w:r>
                <w:rPr>
                  <w:rFonts w:ascii="Arial" w:cs="Arial" w:eastAsia="Arial" w:hAnsi="Arial"/>
                  <w:sz w:val="18"/>
                  <w:szCs w:val="18"/>
                  <w:u w:val="single" w:color="auto"/>
                  <w:color w:val="0000EE"/>
                  <w:w w:val="99"/>
                </w:rPr>
                <w:t>3(i)</w:t>
              </w:r>
            </w:hyperlink>
          </w:p>
        </w:tc>
        <w:tc>
          <w:tcPr>
            <w:tcW w:w="5160" w:type="dxa"/>
            <w:vAlign w:val="bottom"/>
            <w:gridSpan w:val="14"/>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Second Amended and Restated Certificate of Incorporation of</w:t>
              </w:r>
            </w:hyperlink>
          </w:p>
        </w:tc>
        <w:tc>
          <w:tcPr>
            <w:tcW w:w="4940" w:type="dxa"/>
            <w:vAlign w:val="bottom"/>
            <w:gridSpan w:val="13"/>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Previously filed as an exhibit to the Company’s Registration</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18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Harvard Bioscience, Inc.</w:t>
              </w:r>
            </w:hyperlink>
          </w:p>
        </w:tc>
        <w:tc>
          <w:tcPr>
            <w:tcW w:w="2660" w:type="dxa"/>
            <w:vAlign w:val="bottom"/>
            <w:gridSpan w:val="8"/>
          </w:tcPr>
          <w:p>
            <w:pPr>
              <w:spacing w:after="0"/>
              <w:rPr>
                <w:sz w:val="18"/>
                <w:szCs w:val="18"/>
                <w:color w:val="auto"/>
              </w:rPr>
            </w:pPr>
          </w:p>
        </w:tc>
        <w:tc>
          <w:tcPr>
            <w:tcW w:w="700" w:type="dxa"/>
            <w:vAlign w:val="bottom"/>
            <w:gridSpan w:val="4"/>
          </w:tcPr>
          <w:p>
            <w:pPr>
              <w:spacing w:after="0"/>
              <w:rPr>
                <w:sz w:val="18"/>
                <w:szCs w:val="18"/>
                <w:color w:val="auto"/>
              </w:rPr>
            </w:pPr>
          </w:p>
        </w:tc>
        <w:tc>
          <w:tcPr>
            <w:tcW w:w="49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Statement on Form S-1/A (File No. 333-45996) (filed on November</w:t>
              </w:r>
            </w:hyperlink>
          </w:p>
        </w:tc>
        <w:tc>
          <w:tcPr>
            <w:tcW w:w="40" w:type="dxa"/>
            <w:vAlign w:val="bottom"/>
          </w:tcPr>
          <w:p>
            <w:pPr>
              <w:spacing w:after="0"/>
              <w:rPr>
                <w:sz w:val="18"/>
                <w:szCs w:val="18"/>
                <w:color w:val="auto"/>
              </w:rPr>
            </w:pPr>
          </w:p>
        </w:tc>
      </w:tr>
      <w:tr>
        <w:trPr>
          <w:trHeight w:val="176"/>
        </w:trPr>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40" w:type="dxa"/>
            <w:vAlign w:val="bottom"/>
            <w:gridSpan w:val="13"/>
          </w:tcPr>
          <w:p>
            <w:pPr>
              <w:spacing w:after="0" w:line="176" w:lineRule="exact"/>
              <w:rPr>
                <w:rFonts w:ascii="Arial" w:cs="Arial" w:eastAsia="Arial" w:hAnsi="Arial"/>
                <w:sz w:val="18"/>
                <w:szCs w:val="18"/>
                <w:color w:val="0000EE"/>
              </w:rPr>
            </w:pPr>
            <w:hyperlink r:id="rId89">
              <w:r>
                <w:rPr>
                  <w:rFonts w:ascii="Arial" w:cs="Arial" w:eastAsia="Arial" w:hAnsi="Arial"/>
                  <w:sz w:val="18"/>
                  <w:szCs w:val="18"/>
                  <w:color w:val="0000EE"/>
                </w:rPr>
                <w:t>9, 2000) and incorporated by reference thereto.</w:t>
              </w:r>
            </w:hyperlink>
          </w:p>
        </w:tc>
      </w:tr>
      <w:tr>
        <w:trPr>
          <w:trHeight w:val="20"/>
        </w:trPr>
        <w:tc>
          <w:tcPr>
            <w:tcW w:w="11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1140" w:type="dxa"/>
            <w:vAlign w:val="bottom"/>
          </w:tcPr>
          <w:p>
            <w:pPr>
              <w:jc w:val="center"/>
              <w:ind w:right="130"/>
              <w:spacing w:after="0" w:line="196" w:lineRule="exact"/>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3(ii)</w:t>
              </w:r>
            </w:hyperlink>
          </w:p>
        </w:tc>
        <w:tc>
          <w:tcPr>
            <w:tcW w:w="5160" w:type="dxa"/>
            <w:vAlign w:val="bottom"/>
            <w:gridSpan w:val="14"/>
          </w:tcPr>
          <w:p>
            <w:pPr>
              <w:spacing w:after="0" w:line="196" w:lineRule="exact"/>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Amended and Restated By-laws of Harvard Bioscience, Inc.</w:t>
              </w:r>
            </w:hyperlink>
          </w:p>
        </w:tc>
        <w:tc>
          <w:tcPr>
            <w:tcW w:w="4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Previously filed as an exhibit to the Company’s Registration</w:t>
              </w:r>
            </w:hyperlink>
          </w:p>
        </w:tc>
        <w:tc>
          <w:tcPr>
            <w:tcW w:w="60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Statement on Form S-1/A (File No. 333-45996) (filed on November</w:t>
              </w:r>
            </w:hyperlink>
          </w:p>
        </w:tc>
        <w:tc>
          <w:tcPr>
            <w:tcW w:w="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40" w:type="dxa"/>
            <w:vAlign w:val="bottom"/>
            <w:gridSpan w:val="13"/>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9, 2000) and incorporated by reference thereto.</w:t>
              </w:r>
            </w:hyperlink>
          </w:p>
        </w:tc>
      </w:tr>
      <w:tr>
        <w:trPr>
          <w:trHeight w:val="20"/>
        </w:trPr>
        <w:tc>
          <w:tcPr>
            <w:tcW w:w="11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1140" w:type="dxa"/>
            <w:vAlign w:val="bottom"/>
          </w:tcPr>
          <w:p>
            <w:pPr>
              <w:jc w:val="center"/>
              <w:ind w:right="130"/>
              <w:spacing w:after="0" w:line="196" w:lineRule="exact"/>
              <w:rPr>
                <w:rFonts w:ascii="Arial" w:cs="Arial" w:eastAsia="Arial" w:hAnsi="Arial"/>
                <w:sz w:val="18"/>
                <w:szCs w:val="18"/>
                <w:u w:val="single" w:color="auto"/>
                <w:color w:val="0000EE"/>
                <w:w w:val="95"/>
              </w:rPr>
            </w:pPr>
            <w:hyperlink r:id="rId91">
              <w:r>
                <w:rPr>
                  <w:rFonts w:ascii="Arial" w:cs="Arial" w:eastAsia="Arial" w:hAnsi="Arial"/>
                  <w:sz w:val="18"/>
                  <w:szCs w:val="18"/>
                  <w:u w:val="single" w:color="auto"/>
                  <w:color w:val="0000EE"/>
                  <w:w w:val="95"/>
                </w:rPr>
                <w:t>3.1</w:t>
              </w:r>
            </w:hyperlink>
          </w:p>
        </w:tc>
        <w:tc>
          <w:tcPr>
            <w:tcW w:w="5160" w:type="dxa"/>
            <w:vAlign w:val="bottom"/>
            <w:gridSpan w:val="14"/>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Amendment No. 1 to Amended and Restated Bylaws of Harvard</w:t>
              </w:r>
            </w:hyperlink>
          </w:p>
        </w:tc>
        <w:tc>
          <w:tcPr>
            <w:tcW w:w="4940" w:type="dxa"/>
            <w:vAlign w:val="bottom"/>
            <w:gridSpan w:val="13"/>
          </w:tcPr>
          <w:p>
            <w:pPr>
              <w:spacing w:after="0" w:line="196" w:lineRule="exact"/>
              <w:rPr>
                <w:rFonts w:ascii="Arial" w:cs="Arial" w:eastAsia="Arial" w:hAnsi="Arial"/>
                <w:sz w:val="18"/>
                <w:szCs w:val="18"/>
                <w:color w:val="0000EE"/>
                <w:w w:val="94"/>
              </w:rPr>
            </w:pPr>
            <w:hyperlink r:id="rId91">
              <w:r>
                <w:rPr>
                  <w:rFonts w:ascii="Arial" w:cs="Arial" w:eastAsia="Arial" w:hAnsi="Arial"/>
                  <w:sz w:val="18"/>
                  <w:szCs w:val="18"/>
                  <w:color w:val="0000EE"/>
                  <w:w w:val="94"/>
                </w:rPr>
                <w:t>Previously filed as an exhibit to the Company’s Current Report on</w:t>
              </w:r>
            </w:hyperlink>
          </w:p>
        </w:tc>
      </w:tr>
      <w:tr>
        <w:trPr>
          <w:trHeight w:val="196"/>
        </w:trPr>
        <w:tc>
          <w:tcPr>
            <w:tcW w:w="1140" w:type="dxa"/>
            <w:vAlign w:val="bottom"/>
          </w:tcPr>
          <w:p>
            <w:pPr>
              <w:spacing w:after="0"/>
              <w:rPr>
                <w:sz w:val="17"/>
                <w:szCs w:val="17"/>
                <w:color w:val="auto"/>
              </w:rPr>
            </w:pPr>
          </w:p>
        </w:tc>
        <w:tc>
          <w:tcPr>
            <w:tcW w:w="4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Bioscience, Inc. (as adopted October 30, 2007)</w:t>
              </w:r>
            </w:hyperlink>
          </w:p>
        </w:tc>
        <w:tc>
          <w:tcPr>
            <w:tcW w:w="520" w:type="dxa"/>
            <w:vAlign w:val="bottom"/>
            <w:gridSpan w:val="2"/>
          </w:tcPr>
          <w:p>
            <w:pPr>
              <w:spacing w:after="0"/>
              <w:rPr>
                <w:sz w:val="17"/>
                <w:szCs w:val="17"/>
                <w:color w:val="auto"/>
              </w:rPr>
            </w:pPr>
          </w:p>
        </w:tc>
        <w:tc>
          <w:tcPr>
            <w:tcW w:w="47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8-K (filed on November 1, 2007) and incorporated by</w:t>
              </w:r>
            </w:hyperlink>
          </w:p>
        </w:tc>
        <w:tc>
          <w:tcPr>
            <w:tcW w:w="1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91">
              <w:r>
                <w:rPr>
                  <w:rFonts w:ascii="Arial" w:cs="Arial" w:eastAsia="Arial" w:hAnsi="Arial"/>
                  <w:sz w:val="18"/>
                  <w:szCs w:val="18"/>
                  <w:color w:val="0000EE"/>
                  <w:w w:val="87"/>
                </w:rPr>
                <w:t>reference thereto.</w:t>
              </w:r>
            </w:hyperlink>
          </w:p>
        </w:tc>
        <w:tc>
          <w:tcPr>
            <w:tcW w:w="3080" w:type="dxa"/>
            <w:vAlign w:val="bottom"/>
            <w:tcBorders>
              <w:top w:val="single" w:sz="8" w:color="0000EE"/>
            </w:tcBorders>
            <w:gridSpan w:val="4"/>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196"/>
        </w:trPr>
        <w:tc>
          <w:tcPr>
            <w:tcW w:w="1140" w:type="dxa"/>
            <w:vAlign w:val="bottom"/>
          </w:tcPr>
          <w:p>
            <w:pPr>
              <w:jc w:val="center"/>
              <w:ind w:right="130"/>
              <w:spacing w:after="0" w:line="196" w:lineRule="exact"/>
              <w:rPr>
                <w:rFonts w:ascii="Arial" w:cs="Arial" w:eastAsia="Arial" w:hAnsi="Arial"/>
                <w:sz w:val="18"/>
                <w:szCs w:val="18"/>
                <w:u w:val="single" w:color="auto"/>
                <w:color w:val="0000EE"/>
                <w:w w:val="95"/>
              </w:rPr>
            </w:pPr>
            <w:hyperlink r:id="rId92">
              <w:r>
                <w:rPr>
                  <w:rFonts w:ascii="Arial" w:cs="Arial" w:eastAsia="Arial" w:hAnsi="Arial"/>
                  <w:sz w:val="18"/>
                  <w:szCs w:val="18"/>
                  <w:u w:val="single" w:color="auto"/>
                  <w:color w:val="0000EE"/>
                  <w:w w:val="95"/>
                </w:rPr>
                <w:t>4.1</w:t>
              </w:r>
            </w:hyperlink>
          </w:p>
        </w:tc>
        <w:tc>
          <w:tcPr>
            <w:tcW w:w="48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 xml:space="preserve">Specimen certificate for shares of Common Stock,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0.01 par value,</w:t>
              </w:r>
            </w:hyperlink>
          </w:p>
        </w:tc>
        <w:tc>
          <w:tcPr>
            <w:tcW w:w="320" w:type="dxa"/>
            <w:vAlign w:val="bottom"/>
          </w:tcPr>
          <w:p>
            <w:pPr>
              <w:spacing w:after="0"/>
              <w:rPr>
                <w:sz w:val="17"/>
                <w:szCs w:val="17"/>
                <w:color w:val="auto"/>
              </w:rPr>
            </w:pPr>
          </w:p>
        </w:tc>
        <w:tc>
          <w:tcPr>
            <w:tcW w:w="4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Previously filed as an exhibit to the Company’s Registration</w:t>
              </w:r>
            </w:hyperlink>
          </w:p>
        </w:tc>
        <w:tc>
          <w:tcPr>
            <w:tcW w:w="600" w:type="dxa"/>
            <w:vAlign w:val="bottom"/>
            <w:gridSpan w:val="7"/>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5160" w:type="dxa"/>
            <w:vAlign w:val="bottom"/>
            <w:gridSpan w:val="14"/>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of Harvard Bioscience, Inc.</w:t>
              </w:r>
            </w:hyperlink>
          </w:p>
        </w:tc>
        <w:tc>
          <w:tcPr>
            <w:tcW w:w="4940" w:type="dxa"/>
            <w:vAlign w:val="bottom"/>
            <w:gridSpan w:val="13"/>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Statement on Form S-1/A (File No. 333-45996) (filed on November</w:t>
              </w:r>
            </w:hyperlink>
          </w:p>
        </w:tc>
      </w:tr>
      <w:tr>
        <w:trPr>
          <w:trHeight w:val="176"/>
        </w:trPr>
        <w:tc>
          <w:tcPr>
            <w:tcW w:w="1140" w:type="dxa"/>
            <w:vAlign w:val="bottom"/>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r:id="rId92">
              <w:r>
                <w:rPr>
                  <w:rFonts w:ascii="Arial" w:cs="Arial" w:eastAsia="Arial" w:hAnsi="Arial"/>
                  <w:sz w:val="18"/>
                  <w:szCs w:val="18"/>
                  <w:color w:val="0000EE"/>
                </w:rPr>
                <w:t>9, 2000) and incorporated by reference thereto.</w:t>
              </w:r>
            </w:hyperlink>
          </w:p>
        </w:tc>
        <w:tc>
          <w:tcPr>
            <w:tcW w:w="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160" w:type="dxa"/>
            <w:vAlign w:val="bottom"/>
            <w:gridSpan w:val="14"/>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1140" w:type="dxa"/>
            <w:vAlign w:val="bottom"/>
          </w:tcPr>
          <w:p>
            <w:pPr>
              <w:jc w:val="center"/>
              <w:ind w:right="130"/>
              <w:spacing w:after="0" w:line="196" w:lineRule="exact"/>
              <w:rPr>
                <w:rFonts w:ascii="Arial" w:cs="Arial" w:eastAsia="Arial" w:hAnsi="Arial"/>
                <w:sz w:val="18"/>
                <w:szCs w:val="18"/>
                <w:u w:val="single" w:color="auto"/>
                <w:color w:val="0000EE"/>
                <w:w w:val="95"/>
              </w:rPr>
            </w:pPr>
            <w:hyperlink r:id="rId93">
              <w:r>
                <w:rPr>
                  <w:rFonts w:ascii="Arial" w:cs="Arial" w:eastAsia="Arial" w:hAnsi="Arial"/>
                  <w:sz w:val="18"/>
                  <w:szCs w:val="18"/>
                  <w:u w:val="single" w:color="auto"/>
                  <w:color w:val="0000EE"/>
                  <w:w w:val="95"/>
                </w:rPr>
                <w:t>4.2</w:t>
              </w:r>
            </w:hyperlink>
          </w:p>
        </w:tc>
        <w:tc>
          <w:tcPr>
            <w:tcW w:w="5160" w:type="dxa"/>
            <w:vAlign w:val="bottom"/>
            <w:gridSpan w:val="14"/>
          </w:tcPr>
          <w:p>
            <w:pPr>
              <w:spacing w:after="0" w:line="196" w:lineRule="exact"/>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Description of Securities</w:t>
              </w:r>
            </w:hyperlink>
          </w:p>
        </w:tc>
        <w:tc>
          <w:tcPr>
            <w:tcW w:w="47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Previously filed as an exhibit to the Company’s Annual Report on</w:t>
              </w:r>
            </w:hyperlink>
          </w:p>
        </w:tc>
        <w:tc>
          <w:tcPr>
            <w:tcW w:w="1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Form 10-K (filed March 16, 2020) and incorporated by reference</w:t>
              </w:r>
            </w:hyperlink>
          </w:p>
        </w:tc>
        <w:tc>
          <w:tcPr>
            <w:tcW w:w="2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40" w:type="dxa"/>
            <w:vAlign w:val="bottom"/>
            <w:gridSpan w:val="13"/>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thereto</w:t>
              </w:r>
            </w:hyperlink>
          </w:p>
        </w:tc>
      </w:tr>
      <w:tr>
        <w:trPr>
          <w:trHeight w:val="810"/>
        </w:trPr>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40" w:hanging="906"/>
        <w:spacing w:after="0" w:line="277" w:lineRule="auto"/>
        <w:tabs>
          <w:tab w:leader="none" w:pos="1120" w:val="left"/>
        </w:tabs>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10.1 #</w:t>
        </w:r>
      </w:hyperlink>
      <w:r>
        <w:rPr>
          <w:rFonts w:ascii="Arial" w:cs="Arial" w:eastAsia="Arial" w:hAnsi="Arial"/>
          <w:sz w:val="18"/>
          <w:szCs w:val="18"/>
          <w:u w:val="single" w:color="auto"/>
          <w:color w:val="0000EE"/>
        </w:rPr>
        <w:tab/>
      </w:r>
      <w:hyperlink r:id="rId94">
        <w:r>
          <w:rPr>
            <w:rFonts w:ascii="Arial" w:cs="Arial" w:eastAsia="Arial" w:hAnsi="Arial"/>
            <w:sz w:val="18"/>
            <w:szCs w:val="18"/>
            <w:u w:val="single" w:color="auto"/>
            <w:color w:val="0000EE"/>
          </w:rPr>
          <w:t>Harvard Bioscience, Inc. Fourth Amended and Restated 2000 Stock</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Option and Incentive Plan</w:t>
        </w:r>
      </w:hyperlink>
    </w:p>
    <w:p>
      <w:pPr>
        <w:spacing w:after="0" w:line="170" w:lineRule="exact"/>
        <w:rPr>
          <w:rFonts w:ascii="Arial" w:cs="Arial" w:eastAsia="Arial" w:hAnsi="Arial"/>
          <w:sz w:val="18"/>
          <w:szCs w:val="18"/>
          <w:u w:val="single" w:color="auto"/>
          <w:color w:val="0000EE"/>
        </w:rPr>
      </w:pPr>
    </w:p>
    <w:p>
      <w:pPr>
        <w:ind w:left="1140" w:right="560" w:hanging="838"/>
        <w:spacing w:after="0" w:line="277" w:lineRule="auto"/>
        <w:tabs>
          <w:tab w:leader="none" w:pos="1120" w:val="left"/>
        </w:tabs>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95">
        <w:r>
          <w:rPr>
            <w:rFonts w:ascii="Arial" w:cs="Arial" w:eastAsia="Arial" w:hAnsi="Arial"/>
            <w:sz w:val="18"/>
            <w:szCs w:val="18"/>
            <w:u w:val="single" w:color="auto"/>
            <w:color w:val="0000EE"/>
          </w:rPr>
          <w:t>Harvard Bioscience, Inc. Employee Stock Purchase Plan, as</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amended</w:t>
        </w:r>
      </w:hyperlink>
    </w:p>
    <w:p>
      <w:pPr>
        <w:spacing w:after="0" w:line="170" w:lineRule="exact"/>
        <w:rPr>
          <w:rFonts w:ascii="Arial" w:cs="Arial" w:eastAsia="Arial" w:hAnsi="Arial"/>
          <w:sz w:val="18"/>
          <w:szCs w:val="18"/>
          <w:u w:val="single" w:color="auto"/>
          <w:color w:val="0000EE"/>
        </w:rPr>
      </w:pPr>
    </w:p>
    <w:p>
      <w:pPr>
        <w:ind w:left="300"/>
        <w:spacing w:after="0"/>
        <w:tabs>
          <w:tab w:leader="none" w:pos="1120" w:val="left"/>
        </w:tabs>
        <w:rPr>
          <w:rFonts w:ascii="Arial" w:cs="Arial" w:eastAsia="Arial" w:hAnsi="Arial"/>
          <w:sz w:val="16"/>
          <w:szCs w:val="16"/>
          <w:u w:val="single" w:color="auto"/>
          <w:color w:val="0000EE"/>
        </w:rPr>
      </w:pPr>
      <w:hyperlink r:id="rId96">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96">
        <w:r>
          <w:rPr>
            <w:rFonts w:ascii="Arial" w:cs="Arial" w:eastAsia="Arial" w:hAnsi="Arial"/>
            <w:sz w:val="16"/>
            <w:szCs w:val="16"/>
            <w:u w:val="single" w:color="auto"/>
            <w:color w:val="0000EE"/>
          </w:rPr>
          <w:t>Form of Director Indemnification Agreement</w:t>
        </w:r>
      </w:hyperlink>
    </w:p>
    <w:p>
      <w:pPr>
        <w:spacing w:after="0" w:line="200" w:lineRule="exact"/>
        <w:rPr>
          <w:sz w:val="20"/>
          <w:szCs w:val="20"/>
          <w:color w:val="auto"/>
        </w:rPr>
      </w:pPr>
    </w:p>
    <w:p>
      <w:pPr>
        <w:spacing w:after="0" w:line="241" w:lineRule="exact"/>
        <w:rPr>
          <w:sz w:val="20"/>
          <w:szCs w:val="20"/>
          <w:color w:val="auto"/>
        </w:rPr>
      </w:pPr>
    </w:p>
    <w:p>
      <w:pPr>
        <w:ind w:left="1140" w:right="140" w:hanging="912"/>
        <w:spacing w:after="0" w:line="255" w:lineRule="auto"/>
        <w:tabs>
          <w:tab w:leader="none" w:pos="1120" w:val="left"/>
        </w:tabs>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10.4 +</w:t>
        </w:r>
      </w:hyperlink>
      <w:r>
        <w:rPr>
          <w:rFonts w:ascii="Arial" w:cs="Arial" w:eastAsia="Arial" w:hAnsi="Arial"/>
          <w:sz w:val="18"/>
          <w:szCs w:val="18"/>
          <w:u w:val="single" w:color="auto"/>
          <w:color w:val="0000EE"/>
        </w:rPr>
        <w:tab/>
      </w:r>
      <w:hyperlink r:id="rId97">
        <w:r>
          <w:rPr>
            <w:rFonts w:ascii="Arial" w:cs="Arial" w:eastAsia="Arial" w:hAnsi="Arial"/>
            <w:sz w:val="18"/>
            <w:szCs w:val="18"/>
            <w:u w:val="single" w:color="auto"/>
            <w:color w:val="0000EE"/>
          </w:rPr>
          <w:t>Trademark License Agreement, dated December 19, 2002, by and</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between Harvard Bioscience, Inc. and President and Fellows of</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Harvard College.</w:t>
        </w:r>
      </w:hyperlink>
    </w:p>
    <w:p>
      <w:pPr>
        <w:spacing w:after="0" w:line="3" w:lineRule="exact"/>
        <w:rPr>
          <w:rFonts w:ascii="Arial" w:cs="Arial" w:eastAsia="Arial" w:hAnsi="Arial"/>
          <w:sz w:val="18"/>
          <w:szCs w:val="18"/>
          <w:u w:val="single" w:color="auto"/>
          <w:color w:val="0000EE"/>
        </w:rPr>
      </w:pPr>
    </w:p>
    <w:p>
      <w:pPr>
        <w:ind w:left="1140" w:right="140" w:hanging="838"/>
        <w:spacing w:after="0" w:line="260" w:lineRule="auto"/>
        <w:tabs>
          <w:tab w:leader="none" w:pos="1120" w:val="left"/>
        </w:tabs>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98">
        <w:r>
          <w:rPr>
            <w:rFonts w:ascii="Arial" w:cs="Arial" w:eastAsia="Arial" w:hAnsi="Arial"/>
            <w:sz w:val="18"/>
            <w:szCs w:val="18"/>
            <w:u w:val="single" w:color="auto"/>
            <w:color w:val="0000EE"/>
          </w:rPr>
          <w:t>Lease Agreement Between Seven October Hill, LLC and Harvard</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Bioscience, Inc. dated December 30, 2005.</w:t>
        </w:r>
      </w:hyperlink>
    </w:p>
    <w:p>
      <w:pPr>
        <w:spacing w:after="0" w:line="185" w:lineRule="exact"/>
        <w:rPr>
          <w:rFonts w:ascii="Arial" w:cs="Arial" w:eastAsia="Arial" w:hAnsi="Arial"/>
          <w:sz w:val="18"/>
          <w:szCs w:val="18"/>
          <w:u w:val="single" w:color="auto"/>
          <w:color w:val="0000EE"/>
        </w:rPr>
      </w:pPr>
    </w:p>
    <w:p>
      <w:pPr>
        <w:ind w:left="240"/>
        <w:spacing w:after="0"/>
        <w:tabs>
          <w:tab w:leader="none" w:pos="1120" w:val="left"/>
        </w:tabs>
        <w:rPr>
          <w:rFonts w:ascii="Arial" w:cs="Arial" w:eastAsia="Arial" w:hAnsi="Arial"/>
          <w:sz w:val="16"/>
          <w:szCs w:val="16"/>
          <w:u w:val="single" w:color="auto"/>
          <w:color w:val="0000EE"/>
        </w:rPr>
      </w:pPr>
      <w:hyperlink r:id="rId99">
        <w:r>
          <w:rPr>
            <w:rFonts w:ascii="Arial" w:cs="Arial" w:eastAsia="Arial" w:hAnsi="Arial"/>
            <w:sz w:val="18"/>
            <w:szCs w:val="18"/>
            <w:u w:val="single" w:color="auto"/>
            <w:color w:val="0000EE"/>
          </w:rPr>
          <w:t>10.6 #</w:t>
        </w:r>
      </w:hyperlink>
      <w:r>
        <w:rPr>
          <w:rFonts w:ascii="Arial" w:cs="Arial" w:eastAsia="Arial" w:hAnsi="Arial"/>
          <w:sz w:val="18"/>
          <w:szCs w:val="18"/>
          <w:color w:val="0000EE"/>
        </w:rPr>
        <w:tab/>
      </w:r>
      <w:hyperlink r:id="rId99">
        <w:r>
          <w:rPr>
            <w:rFonts w:ascii="Arial" w:cs="Arial" w:eastAsia="Arial" w:hAnsi="Arial"/>
            <w:sz w:val="16"/>
            <w:szCs w:val="16"/>
            <w:u w:val="single" w:color="auto"/>
            <w:color w:val="0000EE"/>
          </w:rPr>
          <w:t>Form of Incentive Stock Option Agreement (Executive Officers)</w:t>
        </w:r>
        <w:r>
          <w:rPr>
            <w:rFonts w:ascii="Arial" w:cs="Arial" w:eastAsia="Arial" w:hAnsi="Arial"/>
            <w:sz w:val="16"/>
            <w:szCs w:val="16"/>
            <w:color w:val="0000EE"/>
          </w:rPr>
          <w:t>.</w:t>
        </w:r>
      </w:hyperlink>
    </w:p>
    <w:p>
      <w:pPr>
        <w:spacing w:after="0" w:line="200" w:lineRule="exact"/>
        <w:rPr>
          <w:sz w:val="20"/>
          <w:szCs w:val="20"/>
          <w:color w:val="auto"/>
        </w:rPr>
      </w:pPr>
    </w:p>
    <w:p>
      <w:pPr>
        <w:spacing w:after="0" w:line="241" w:lineRule="exact"/>
        <w:rPr>
          <w:sz w:val="20"/>
          <w:szCs w:val="20"/>
          <w:color w:val="auto"/>
        </w:rPr>
      </w:pPr>
    </w:p>
    <w:p>
      <w:pPr>
        <w:ind w:left="1140" w:right="540" w:hanging="906"/>
        <w:spacing w:after="0" w:line="277" w:lineRule="auto"/>
        <w:tabs>
          <w:tab w:leader="none" w:pos="1120" w:val="left"/>
        </w:tabs>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10.7 #</w:t>
        </w:r>
      </w:hyperlink>
      <w:r>
        <w:rPr>
          <w:rFonts w:ascii="Arial" w:cs="Arial" w:eastAsia="Arial" w:hAnsi="Arial"/>
          <w:sz w:val="18"/>
          <w:szCs w:val="18"/>
          <w:u w:val="single" w:color="auto"/>
          <w:color w:val="0000EE"/>
        </w:rPr>
        <w:tab/>
      </w:r>
      <w:hyperlink r:id="rId100">
        <w:r>
          <w:rPr>
            <w:rFonts w:ascii="Arial" w:cs="Arial" w:eastAsia="Arial" w:hAnsi="Arial"/>
            <w:sz w:val="18"/>
            <w:szCs w:val="18"/>
            <w:u w:val="single" w:color="auto"/>
            <w:color w:val="0000EE"/>
          </w:rPr>
          <w:t>Form of Non-Qualified Stock Option Agreement (Executive</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Officers).</w:t>
        </w:r>
      </w:hyperlink>
    </w:p>
    <w:p>
      <w:pPr>
        <w:spacing w:after="0" w:line="170" w:lineRule="exact"/>
        <w:rPr>
          <w:rFonts w:ascii="Arial" w:cs="Arial" w:eastAsia="Arial" w:hAnsi="Arial"/>
          <w:sz w:val="18"/>
          <w:szCs w:val="18"/>
          <w:u w:val="single" w:color="auto"/>
          <w:color w:val="0000EE"/>
        </w:rPr>
      </w:pPr>
    </w:p>
    <w:p>
      <w:pPr>
        <w:ind w:left="1140" w:right="160" w:hanging="906"/>
        <w:spacing w:after="0" w:line="277" w:lineRule="auto"/>
        <w:tabs>
          <w:tab w:leader="none" w:pos="1120" w:val="left"/>
        </w:tabs>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10.8 #</w:t>
        </w:r>
      </w:hyperlink>
      <w:r>
        <w:rPr>
          <w:rFonts w:ascii="Arial" w:cs="Arial" w:eastAsia="Arial" w:hAnsi="Arial"/>
          <w:sz w:val="18"/>
          <w:szCs w:val="18"/>
          <w:u w:val="single" w:color="auto"/>
          <w:color w:val="0000EE"/>
        </w:rPr>
        <w:tab/>
      </w:r>
      <w:hyperlink r:id="rId101">
        <w:r>
          <w:rPr>
            <w:rFonts w:ascii="Arial" w:cs="Arial" w:eastAsia="Arial" w:hAnsi="Arial"/>
            <w:sz w:val="18"/>
            <w:szCs w:val="18"/>
            <w:u w:val="single" w:color="auto"/>
            <w:color w:val="0000EE"/>
          </w:rPr>
          <w:t>Form of Non-Qualified Stock Option Agreement (Non-Employee</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Directors).</w:t>
        </w:r>
      </w:hyperlink>
    </w:p>
    <w:p>
      <w:pPr>
        <w:spacing w:after="0" w:line="170" w:lineRule="exact"/>
        <w:rPr>
          <w:rFonts w:ascii="Arial" w:cs="Arial" w:eastAsia="Arial" w:hAnsi="Arial"/>
          <w:sz w:val="18"/>
          <w:szCs w:val="18"/>
          <w:u w:val="single" w:color="auto"/>
          <w:color w:val="0000EE"/>
        </w:rPr>
      </w:pPr>
    </w:p>
    <w:p>
      <w:pPr>
        <w:ind w:left="1140" w:right="40" w:hanging="838"/>
        <w:spacing w:after="0" w:line="255" w:lineRule="auto"/>
        <w:tabs>
          <w:tab w:leader="none" w:pos="1120" w:val="left"/>
        </w:tabs>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r:id="rId102">
        <w:r>
          <w:rPr>
            <w:rFonts w:ascii="Arial" w:cs="Arial" w:eastAsia="Arial" w:hAnsi="Arial"/>
            <w:sz w:val="18"/>
            <w:szCs w:val="18"/>
            <w:u w:val="single" w:color="auto"/>
            <w:color w:val="0000EE"/>
          </w:rPr>
          <w:t>Amendment No. 2, dated as of May 22, 2010, to Lease Agreement,</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as subsequently amended, between Seven October Hill LLC and</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Harvard Bioscience, Inc.</w:t>
        </w:r>
      </w:hyperlink>
    </w:p>
    <w:p>
      <w:pPr>
        <w:spacing w:after="0" w:line="3" w:lineRule="exact"/>
        <w:rPr>
          <w:rFonts w:ascii="Arial" w:cs="Arial" w:eastAsia="Arial" w:hAnsi="Arial"/>
          <w:sz w:val="18"/>
          <w:szCs w:val="18"/>
          <w:u w:val="single" w:color="auto"/>
          <w:color w:val="0000EE"/>
        </w:rPr>
      </w:pPr>
    </w:p>
    <w:p>
      <w:pPr>
        <w:ind w:left="200"/>
        <w:spacing w:after="0"/>
        <w:tabs>
          <w:tab w:leader="none" w:pos="1120" w:val="left"/>
        </w:tabs>
        <w:rPr>
          <w:rFonts w:ascii="Arial" w:cs="Arial" w:eastAsia="Arial" w:hAnsi="Arial"/>
          <w:sz w:val="16"/>
          <w:szCs w:val="16"/>
          <w:u w:val="single" w:color="auto"/>
          <w:color w:val="0000EE"/>
        </w:rPr>
      </w:pPr>
      <w:hyperlink r:id="rId103">
        <w:r>
          <w:rPr>
            <w:rFonts w:ascii="Arial" w:cs="Arial" w:eastAsia="Arial" w:hAnsi="Arial"/>
            <w:sz w:val="18"/>
            <w:szCs w:val="18"/>
            <w:u w:val="single" w:color="auto"/>
            <w:color w:val="0000EE"/>
          </w:rPr>
          <w:t>10.10 #</w:t>
        </w:r>
      </w:hyperlink>
      <w:r>
        <w:rPr>
          <w:rFonts w:ascii="Arial" w:cs="Arial" w:eastAsia="Arial" w:hAnsi="Arial"/>
          <w:sz w:val="18"/>
          <w:szCs w:val="18"/>
          <w:u w:val="single" w:color="auto"/>
          <w:color w:val="0000EE"/>
        </w:rPr>
        <w:tab/>
      </w:r>
      <w:hyperlink r:id="rId103">
        <w:r>
          <w:rPr>
            <w:rFonts w:ascii="Arial" w:cs="Arial" w:eastAsia="Arial" w:hAnsi="Arial"/>
            <w:sz w:val="16"/>
            <w:szCs w:val="16"/>
            <w:u w:val="single" w:color="auto"/>
            <w:color w:val="0000EE"/>
          </w:rPr>
          <w:t>Form of Deferred Stock Award Agreement</w:t>
        </w:r>
      </w:hyperlink>
    </w:p>
    <w:p>
      <w:pPr>
        <w:spacing w:after="0" w:line="200" w:lineRule="exact"/>
        <w:rPr>
          <w:sz w:val="20"/>
          <w:szCs w:val="20"/>
          <w:color w:val="auto"/>
        </w:rPr>
      </w:pPr>
    </w:p>
    <w:p>
      <w:pPr>
        <w:spacing w:after="0" w:line="227" w:lineRule="exact"/>
        <w:rPr>
          <w:sz w:val="20"/>
          <w:szCs w:val="20"/>
          <w:color w:val="auto"/>
        </w:rPr>
      </w:pPr>
    </w:p>
    <w:p>
      <w:pPr>
        <w:ind w:left="1140" w:right="40" w:hanging="880"/>
        <w:spacing w:after="0" w:line="263" w:lineRule="auto"/>
        <w:tabs>
          <w:tab w:leader="none" w:pos="1120" w:val="left"/>
        </w:tabs>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10.11</w:t>
        </w:r>
      </w:hyperlink>
      <w:r>
        <w:rPr>
          <w:rFonts w:ascii="Arial" w:cs="Arial" w:eastAsia="Arial" w:hAnsi="Arial"/>
          <w:sz w:val="18"/>
          <w:szCs w:val="18"/>
          <w:u w:val="single" w:color="auto"/>
          <w:color w:val="0000EE"/>
        </w:rPr>
        <w:tab/>
      </w:r>
      <w:hyperlink r:id="rId104">
        <w:r>
          <w:rPr>
            <w:rFonts w:ascii="Arial" w:cs="Arial" w:eastAsia="Arial" w:hAnsi="Arial"/>
            <w:sz w:val="18"/>
            <w:szCs w:val="18"/>
            <w:u w:val="single" w:color="auto"/>
            <w:color w:val="0000EE"/>
          </w:rPr>
          <w:t>Amendment No. 3, dated as of May 30, 2014, to Lease Agreement,</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as subsequently amended, between Seven October Hill LLC and</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Harvard Bioscience, Inc.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12" w:lineRule="exact"/>
        <w:rPr>
          <w:rFonts w:ascii="Arial" w:cs="Arial" w:eastAsia="Arial" w:hAnsi="Arial"/>
          <w:sz w:val="18"/>
          <w:szCs w:val="18"/>
          <w:u w:val="single" w:color="auto"/>
          <w:color w:val="0000EE"/>
        </w:rPr>
      </w:pPr>
    </w:p>
    <w:p>
      <w:pPr>
        <w:ind w:right="20"/>
        <w:spacing w:after="0" w:line="255" w:lineRule="auto"/>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Previously filed as an exhibit to the Company’s Quarterly Report on</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Form 10-Q (filed August 10, 2020) and incorporated by reference</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thereto.</w:t>
        </w:r>
      </w:hyperlink>
    </w:p>
    <w:p>
      <w:pPr>
        <w:spacing w:after="0" w:line="3" w:lineRule="exact"/>
        <w:rPr>
          <w:rFonts w:ascii="Arial" w:cs="Arial" w:eastAsia="Arial" w:hAnsi="Arial"/>
          <w:sz w:val="18"/>
          <w:szCs w:val="18"/>
          <w:u w:val="single" w:color="auto"/>
          <w:color w:val="0000EE"/>
        </w:rPr>
      </w:pPr>
    </w:p>
    <w:p>
      <w:pPr>
        <w:ind w:right="160"/>
        <w:spacing w:after="0" w:line="250" w:lineRule="auto"/>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Previously disclosed as Appendix A to the Company’s Proxy</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Statement on Schedule 14A (filed April 5, 2019) and incorporated</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by reference thereto</w:t>
        </w:r>
      </w:hyperlink>
    </w:p>
    <w:p>
      <w:pPr>
        <w:spacing w:after="0" w:line="1" w:lineRule="exact"/>
        <w:rPr>
          <w:rFonts w:ascii="Arial" w:cs="Arial" w:eastAsia="Arial" w:hAnsi="Arial"/>
          <w:sz w:val="18"/>
          <w:szCs w:val="18"/>
          <w:u w:val="single" w:color="auto"/>
          <w:color w:val="0000EE"/>
        </w:rPr>
      </w:pPr>
    </w:p>
    <w:p>
      <w:pPr>
        <w:ind w:right="20"/>
        <w:spacing w:after="0" w:line="250" w:lineRule="auto"/>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Previously filed as an exhibit to the Company’s Quarterly Report on</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Form 10-Q (filed May 8, 2020) and incorporated by reference</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20"/>
        <w:spacing w:after="0" w:line="250" w:lineRule="auto"/>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Previously filed as an exhibit to the Company’s Quarterly Report on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Form 10-Q (filed May 15, 2003) and incorporated by reference</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160"/>
        <w:spacing w:after="0" w:line="250" w:lineRule="auto"/>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Form 8-K (filed January 4, 2006) and incorporated by reference</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jc w:val="both"/>
        <w:ind w:right="180"/>
        <w:spacing w:after="0" w:line="250" w:lineRule="auto"/>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Form 10-K (filed March 16, 2006) and incorporated by reference</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jc w:val="both"/>
        <w:ind w:right="180"/>
        <w:spacing w:after="0" w:line="250" w:lineRule="auto"/>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Form 10-K (filed March 16, 2006) and incorporated by reference</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jc w:val="both"/>
        <w:ind w:right="180"/>
        <w:spacing w:after="0" w:line="250" w:lineRule="auto"/>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Form 10-K (filed March 16, 2006) and incorporated by reference</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spacing w:after="0" w:line="323" w:lineRule="auto"/>
        <w:rPr>
          <w:rFonts w:ascii="Arial" w:cs="Arial" w:eastAsia="Arial" w:hAnsi="Arial"/>
          <w:sz w:val="16"/>
          <w:szCs w:val="16"/>
          <w:u w:val="single" w:color="auto"/>
          <w:color w:val="0000EE"/>
        </w:rPr>
      </w:pPr>
      <w:hyperlink r:id="rId102">
        <w:r>
          <w:rPr>
            <w:rFonts w:ascii="Arial" w:cs="Arial" w:eastAsia="Arial" w:hAnsi="Arial"/>
            <w:sz w:val="16"/>
            <w:szCs w:val="16"/>
            <w:u w:val="single" w:color="auto"/>
            <w:color w:val="0000EE"/>
          </w:rPr>
          <w:t>Previously filed as an exhibit to the Company’s Current Report on</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Form 8-K (filed June 3, 2010) and incorporated by reference thereto</w:t>
        </w:r>
      </w:hyperlink>
    </w:p>
    <w:p>
      <w:pPr>
        <w:spacing w:after="0" w:line="138" w:lineRule="exact"/>
        <w:rPr>
          <w:sz w:val="20"/>
          <w:szCs w:val="20"/>
          <w:color w:val="auto"/>
        </w:rPr>
      </w:pPr>
    </w:p>
    <w:p>
      <w:pPr>
        <w:jc w:val="both"/>
        <w:ind w:right="180"/>
        <w:spacing w:after="0" w:line="255"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Form 10-K (filed March 16, 2011) and incorporated by reference</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thereto</w:t>
        </w:r>
      </w:hyperlink>
    </w:p>
    <w:p>
      <w:pPr>
        <w:spacing w:after="0" w:line="3" w:lineRule="exact"/>
        <w:rPr>
          <w:rFonts w:ascii="Arial" w:cs="Arial" w:eastAsia="Arial" w:hAnsi="Arial"/>
          <w:sz w:val="18"/>
          <w:szCs w:val="18"/>
          <w:u w:val="single" w:color="auto"/>
          <w:color w:val="0000EE"/>
        </w:rPr>
      </w:pPr>
    </w:p>
    <w:p>
      <w:pPr>
        <w:ind w:right="20"/>
        <w:spacing w:after="0" w:line="255" w:lineRule="auto"/>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Previously filed as an exhibit to the Company’s Quarterly Report on</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Form 10-Q (filed August 7, 2014) and incorporated by reference</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thereto</w:t>
        </w:r>
      </w:hyperlink>
    </w:p>
    <w:p>
      <w:pPr>
        <w:sectPr>
          <w:pgSz w:w="11900" w:h="16838" w:orient="portrait"/>
          <w:cols w:equalWidth="0" w:num="2">
            <w:col w:w="6020" w:space="280"/>
            <w:col w:w="49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00"/>
        <w:spacing w:after="0"/>
        <w:tabs>
          <w:tab w:leader="none" w:pos="1120" w:val="left"/>
        </w:tabs>
        <w:rPr>
          <w:rFonts w:ascii="Arial" w:cs="Arial" w:eastAsia="Arial" w:hAnsi="Arial"/>
          <w:sz w:val="16"/>
          <w:szCs w:val="16"/>
          <w:u w:val="single" w:color="auto"/>
          <w:color w:val="0000EE"/>
        </w:rPr>
      </w:pPr>
      <w:hyperlink r:id="rId106">
        <w:r>
          <w:rPr>
            <w:rFonts w:ascii="Arial" w:cs="Arial" w:eastAsia="Arial" w:hAnsi="Arial"/>
            <w:sz w:val="18"/>
            <w:szCs w:val="18"/>
            <w:u w:val="single" w:color="auto"/>
            <w:color w:val="0000EE"/>
          </w:rPr>
          <w:t>10.12 #</w:t>
        </w:r>
      </w:hyperlink>
      <w:r>
        <w:rPr>
          <w:rFonts w:ascii="Arial" w:cs="Arial" w:eastAsia="Arial" w:hAnsi="Arial"/>
          <w:sz w:val="18"/>
          <w:szCs w:val="18"/>
          <w:u w:val="single" w:color="auto"/>
          <w:color w:val="0000EE"/>
        </w:rPr>
        <w:tab/>
      </w:r>
      <w:hyperlink r:id="rId106">
        <w:r>
          <w:rPr>
            <w:rFonts w:ascii="Arial" w:cs="Arial" w:eastAsia="Arial" w:hAnsi="Arial"/>
            <w:sz w:val="16"/>
            <w:szCs w:val="16"/>
            <w:u w:val="single" w:color="auto"/>
            <w:color w:val="0000EE"/>
          </w:rPr>
          <w:t>Form of Market Condition Deferred Stock Award Agreement</w:t>
        </w:r>
      </w:hyperlink>
    </w:p>
    <w:p>
      <w:pPr>
        <w:spacing w:after="0" w:line="200" w:lineRule="exact"/>
        <w:rPr>
          <w:sz w:val="20"/>
          <w:szCs w:val="20"/>
          <w:color w:val="auto"/>
        </w:rPr>
      </w:pPr>
    </w:p>
    <w:p>
      <w:pPr>
        <w:spacing w:after="0" w:line="241" w:lineRule="exact"/>
        <w:rPr>
          <w:sz w:val="20"/>
          <w:szCs w:val="20"/>
          <w:color w:val="auto"/>
        </w:rPr>
      </w:pPr>
    </w:p>
    <w:p>
      <w:pPr>
        <w:ind w:left="1140" w:right="280" w:hanging="883"/>
        <w:spacing w:after="0" w:line="269" w:lineRule="auto"/>
        <w:tabs>
          <w:tab w:leader="none" w:pos="1120" w:val="left"/>
        </w:tabs>
        <w:rPr>
          <w:rFonts w:ascii="Arial" w:cs="Arial" w:eastAsia="Arial" w:hAnsi="Arial"/>
          <w:sz w:val="17"/>
          <w:szCs w:val="17"/>
          <w:u w:val="single" w:color="auto"/>
          <w:color w:val="0000EE"/>
        </w:rPr>
      </w:pPr>
      <w:hyperlink r:id="rId107">
        <w:r>
          <w:rPr>
            <w:rFonts w:ascii="Arial" w:cs="Arial" w:eastAsia="Arial" w:hAnsi="Arial"/>
            <w:sz w:val="18"/>
            <w:szCs w:val="18"/>
            <w:u w:val="single" w:color="auto"/>
            <w:color w:val="0000EE"/>
          </w:rPr>
          <w:t>10.13</w:t>
        </w:r>
      </w:hyperlink>
      <w:r>
        <w:rPr>
          <w:rFonts w:ascii="Arial" w:cs="Arial" w:eastAsia="Arial" w:hAnsi="Arial"/>
          <w:sz w:val="18"/>
          <w:szCs w:val="18"/>
          <w:u w:val="single" w:color="auto"/>
          <w:color w:val="0000EE"/>
        </w:rPr>
        <w:tab/>
      </w:r>
      <w:hyperlink r:id="rId107">
        <w:r>
          <w:rPr>
            <w:rFonts w:ascii="Arial" w:cs="Arial" w:eastAsia="Arial" w:hAnsi="Arial"/>
            <w:sz w:val="17"/>
            <w:szCs w:val="17"/>
            <w:u w:val="single" w:color="auto"/>
            <w:color w:val="0000EE"/>
          </w:rPr>
          <w:t>Lease Agreement, dated as of August 15, 2008, between AX US</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L.P. (as assigned to it by New Brighton 14th Street LLC), Ryan</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Companies US, Inc. and Data Sciences International, Inc. (as</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assigned to it by Transoma Medical, Inc.)</w:t>
        </w:r>
      </w:hyperlink>
    </w:p>
    <w:p>
      <w:pPr>
        <w:spacing w:after="0" w:line="2" w:lineRule="exact"/>
        <w:rPr>
          <w:rFonts w:ascii="Arial" w:cs="Arial" w:eastAsia="Arial" w:hAnsi="Arial"/>
          <w:sz w:val="17"/>
          <w:szCs w:val="17"/>
          <w:u w:val="single" w:color="auto"/>
          <w:color w:val="0000EE"/>
        </w:rPr>
      </w:pPr>
    </w:p>
    <w:p>
      <w:pPr>
        <w:ind w:left="1140" w:right="60" w:hanging="883"/>
        <w:spacing w:after="0" w:line="265" w:lineRule="auto"/>
        <w:tabs>
          <w:tab w:leader="none" w:pos="1120" w:val="left"/>
        </w:tabs>
        <w:rPr>
          <w:rFonts w:ascii="Arial" w:cs="Arial" w:eastAsia="Arial" w:hAnsi="Arial"/>
          <w:sz w:val="17"/>
          <w:szCs w:val="17"/>
          <w:u w:val="single" w:color="auto"/>
          <w:color w:val="0000EE"/>
        </w:rPr>
      </w:pPr>
      <w:hyperlink r:id="rId108">
        <w:r>
          <w:rPr>
            <w:rFonts w:ascii="Arial" w:cs="Arial" w:eastAsia="Arial" w:hAnsi="Arial"/>
            <w:sz w:val="18"/>
            <w:szCs w:val="18"/>
            <w:u w:val="single" w:color="auto"/>
            <w:color w:val="0000EE"/>
          </w:rPr>
          <w:t>10.14</w:t>
        </w:r>
      </w:hyperlink>
      <w:r>
        <w:rPr>
          <w:rFonts w:ascii="Arial" w:cs="Arial" w:eastAsia="Arial" w:hAnsi="Arial"/>
          <w:sz w:val="18"/>
          <w:szCs w:val="18"/>
          <w:u w:val="single" w:color="auto"/>
          <w:color w:val="0000EE"/>
        </w:rPr>
        <w:tab/>
      </w:r>
      <w:hyperlink r:id="rId108">
        <w:r>
          <w:rPr>
            <w:rFonts w:ascii="Arial" w:cs="Arial" w:eastAsia="Arial" w:hAnsi="Arial"/>
            <w:sz w:val="17"/>
            <w:szCs w:val="17"/>
            <w:u w:val="single" w:color="auto"/>
            <w:color w:val="0000EE"/>
          </w:rPr>
          <w:t>First Amendment to Lease Agreement, dated as of February 26,</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2008, between AX US L.P. (as assigned to it by New Brighton 14th</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Street LLC), Ryan Companies US, Inc. and Data Sciences</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International, Inc. (as assigned to it by Transoma Medical, Inc.).</w:t>
        </w:r>
      </w:hyperlink>
    </w:p>
    <w:p>
      <w:pPr>
        <w:spacing w:after="0" w:line="1" w:lineRule="exact"/>
        <w:rPr>
          <w:rFonts w:ascii="Arial" w:cs="Arial" w:eastAsia="Arial" w:hAnsi="Arial"/>
          <w:sz w:val="17"/>
          <w:szCs w:val="17"/>
          <w:u w:val="single" w:color="auto"/>
          <w:color w:val="0000EE"/>
        </w:rPr>
      </w:pPr>
    </w:p>
    <w:p>
      <w:pPr>
        <w:ind w:left="1140" w:right="60" w:hanging="883"/>
        <w:spacing w:after="0" w:line="265" w:lineRule="auto"/>
        <w:tabs>
          <w:tab w:leader="none" w:pos="1120" w:val="left"/>
        </w:tabs>
        <w:rPr>
          <w:rFonts w:ascii="Arial" w:cs="Arial" w:eastAsia="Arial" w:hAnsi="Arial"/>
          <w:sz w:val="17"/>
          <w:szCs w:val="17"/>
          <w:u w:val="single" w:color="auto"/>
          <w:color w:val="0000EE"/>
        </w:rPr>
      </w:pPr>
      <w:hyperlink r:id="rId109">
        <w:r>
          <w:rPr>
            <w:rFonts w:ascii="Arial" w:cs="Arial" w:eastAsia="Arial" w:hAnsi="Arial"/>
            <w:sz w:val="18"/>
            <w:szCs w:val="18"/>
            <w:u w:val="single" w:color="auto"/>
            <w:color w:val="0000EE"/>
          </w:rPr>
          <w:t>10.15</w:t>
        </w:r>
      </w:hyperlink>
      <w:r>
        <w:rPr>
          <w:rFonts w:ascii="Arial" w:cs="Arial" w:eastAsia="Arial" w:hAnsi="Arial"/>
          <w:sz w:val="18"/>
          <w:szCs w:val="18"/>
          <w:u w:val="single" w:color="auto"/>
          <w:color w:val="0000EE"/>
        </w:rPr>
        <w:tab/>
      </w:r>
      <w:hyperlink r:id="rId109">
        <w:r>
          <w:rPr>
            <w:rFonts w:ascii="Arial" w:cs="Arial" w:eastAsia="Arial" w:hAnsi="Arial"/>
            <w:sz w:val="17"/>
            <w:szCs w:val="17"/>
            <w:u w:val="single" w:color="auto"/>
            <w:color w:val="0000EE"/>
          </w:rPr>
          <w:t>Second Amendment to Lease Agreement, dated as of August 4,</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2008, between AX US L.P. (as assigned to it by New Brighton 14th</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Street LLC), Ryan Companies US, Inc. and Data Sciences</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International, Inc. (as assigned to it by Transoma Medical, Inc.)</w:t>
        </w:r>
      </w:hyperlink>
    </w:p>
    <w:p>
      <w:pPr>
        <w:spacing w:after="0" w:line="1" w:lineRule="exact"/>
        <w:rPr>
          <w:rFonts w:ascii="Arial" w:cs="Arial" w:eastAsia="Arial" w:hAnsi="Arial"/>
          <w:sz w:val="17"/>
          <w:szCs w:val="17"/>
          <w:u w:val="single" w:color="auto"/>
          <w:color w:val="0000EE"/>
        </w:rPr>
      </w:pPr>
    </w:p>
    <w:p>
      <w:pPr>
        <w:ind w:left="1140" w:right="200" w:hanging="883"/>
        <w:spacing w:after="0" w:line="281" w:lineRule="auto"/>
        <w:tabs>
          <w:tab w:leader="none" w:pos="1120" w:val="left"/>
        </w:tabs>
        <w:rPr>
          <w:rFonts w:ascii="Arial" w:cs="Arial" w:eastAsia="Arial" w:hAnsi="Arial"/>
          <w:sz w:val="16"/>
          <w:szCs w:val="16"/>
          <w:u w:val="single" w:color="auto"/>
          <w:color w:val="0000EE"/>
        </w:rPr>
      </w:pPr>
      <w:hyperlink r:id="rId110">
        <w:r>
          <w:rPr>
            <w:rFonts w:ascii="Arial" w:cs="Arial" w:eastAsia="Arial" w:hAnsi="Arial"/>
            <w:sz w:val="18"/>
            <w:szCs w:val="18"/>
            <w:u w:val="single" w:color="auto"/>
            <w:color w:val="0000EE"/>
          </w:rPr>
          <w:t>10.16</w:t>
        </w:r>
      </w:hyperlink>
      <w:r>
        <w:rPr>
          <w:rFonts w:ascii="Arial" w:cs="Arial" w:eastAsia="Arial" w:hAnsi="Arial"/>
          <w:sz w:val="18"/>
          <w:szCs w:val="18"/>
          <w:u w:val="single" w:color="auto"/>
          <w:color w:val="0000EE"/>
        </w:rPr>
        <w:tab/>
      </w:r>
      <w:hyperlink r:id="rId110">
        <w:r>
          <w:rPr>
            <w:rFonts w:ascii="Arial" w:cs="Arial" w:eastAsia="Arial" w:hAnsi="Arial"/>
            <w:sz w:val="16"/>
            <w:szCs w:val="16"/>
            <w:u w:val="single" w:color="auto"/>
            <w:color w:val="0000EE"/>
          </w:rPr>
          <w:t>Third Amendment to Lease Agreement, entered into as of</w:t>
        </w:r>
      </w:hyperlink>
      <w:r>
        <w:rPr>
          <w:rFonts w:ascii="Arial" w:cs="Arial" w:eastAsia="Arial" w:hAnsi="Arial"/>
          <w:sz w:val="16"/>
          <w:szCs w:val="16"/>
          <w:u w:val="single" w:color="auto"/>
          <w:color w:val="0000EE"/>
        </w:rPr>
        <w:t xml:space="preserve"> </w:t>
      </w:r>
      <w:hyperlink r:id="rId110">
        <w:r>
          <w:rPr>
            <w:rFonts w:ascii="Arial" w:cs="Arial" w:eastAsia="Arial" w:hAnsi="Arial"/>
            <w:sz w:val="16"/>
            <w:szCs w:val="16"/>
            <w:u w:val="single" w:color="auto"/>
            <w:color w:val="0000EE"/>
          </w:rPr>
          <w:t>November 1, 2018, with an effective date as of October 25, 2018,</w:t>
        </w:r>
      </w:hyperlink>
      <w:r>
        <w:rPr>
          <w:rFonts w:ascii="Arial" w:cs="Arial" w:eastAsia="Arial" w:hAnsi="Arial"/>
          <w:sz w:val="16"/>
          <w:szCs w:val="16"/>
          <w:u w:val="single" w:color="auto"/>
          <w:color w:val="0000EE"/>
        </w:rPr>
        <w:t xml:space="preserve"> </w:t>
      </w:r>
      <w:hyperlink r:id="rId110">
        <w:r>
          <w:rPr>
            <w:rFonts w:ascii="Arial" w:cs="Arial" w:eastAsia="Arial" w:hAnsi="Arial"/>
            <w:sz w:val="16"/>
            <w:szCs w:val="16"/>
            <w:u w:val="single" w:color="auto"/>
            <w:color w:val="0000EE"/>
          </w:rPr>
          <w:t>between Data Sciences International, Inc. and AX US L.P.</w:t>
        </w:r>
      </w:hyperlink>
    </w:p>
    <w:p>
      <w:pPr>
        <w:spacing w:after="0" w:line="2" w:lineRule="exact"/>
        <w:rPr>
          <w:rFonts w:ascii="Arial" w:cs="Arial" w:eastAsia="Arial" w:hAnsi="Arial"/>
          <w:sz w:val="16"/>
          <w:szCs w:val="16"/>
          <w:u w:val="single" w:color="auto"/>
          <w:color w:val="0000EE"/>
        </w:rPr>
      </w:pPr>
    </w:p>
    <w:p>
      <w:pPr>
        <w:ind w:left="1140" w:right="360" w:hanging="951"/>
        <w:spacing w:after="0" w:line="250" w:lineRule="auto"/>
        <w:tabs>
          <w:tab w:leader="none" w:pos="1120" w:val="left"/>
        </w:tabs>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10.17 #</w:t>
        </w:r>
      </w:hyperlink>
      <w:r>
        <w:rPr>
          <w:rFonts w:ascii="Arial" w:cs="Arial" w:eastAsia="Arial" w:hAnsi="Arial"/>
          <w:sz w:val="18"/>
          <w:szCs w:val="18"/>
          <w:u w:val="single" w:color="auto"/>
          <w:color w:val="0000EE"/>
        </w:rPr>
        <w:tab/>
      </w:r>
      <w:hyperlink r:id="rId111">
        <w:r>
          <w:rPr>
            <w:rFonts w:ascii="Arial" w:cs="Arial" w:eastAsia="Arial" w:hAnsi="Arial"/>
            <w:sz w:val="18"/>
            <w:szCs w:val="18"/>
            <w:u w:val="single" w:color="auto"/>
            <w:color w:val="0000EE"/>
          </w:rPr>
          <w:t>Employment Agreement between Harvard Bioscience, Inc. and</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James Green.</w:t>
        </w:r>
      </w:hyperlink>
    </w:p>
    <w:p>
      <w:pPr>
        <w:spacing w:after="0" w:line="1" w:lineRule="exact"/>
        <w:rPr>
          <w:rFonts w:ascii="Arial" w:cs="Arial" w:eastAsia="Arial" w:hAnsi="Arial"/>
          <w:sz w:val="18"/>
          <w:szCs w:val="18"/>
          <w:u w:val="single" w:color="auto"/>
          <w:color w:val="0000EE"/>
        </w:rPr>
      </w:pPr>
    </w:p>
    <w:p>
      <w:pPr>
        <w:ind w:left="1140" w:right="360" w:hanging="951"/>
        <w:spacing w:after="0" w:line="260" w:lineRule="auto"/>
        <w:tabs>
          <w:tab w:leader="none" w:pos="1120" w:val="left"/>
        </w:tabs>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10.18 #</w:t>
        </w:r>
      </w:hyperlink>
      <w:r>
        <w:rPr>
          <w:rFonts w:ascii="Arial" w:cs="Arial" w:eastAsia="Arial" w:hAnsi="Arial"/>
          <w:sz w:val="18"/>
          <w:szCs w:val="18"/>
          <w:u w:val="single" w:color="auto"/>
          <w:color w:val="0000EE"/>
        </w:rPr>
        <w:tab/>
      </w:r>
      <w:hyperlink r:id="rId112">
        <w:r>
          <w:rPr>
            <w:rFonts w:ascii="Arial" w:cs="Arial" w:eastAsia="Arial" w:hAnsi="Arial"/>
            <w:sz w:val="18"/>
            <w:szCs w:val="18"/>
            <w:u w:val="single" w:color="auto"/>
            <w:color w:val="0000EE"/>
          </w:rPr>
          <w:t>Employment Agreement between Harvard Bioscience, Inc. and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Michael Rossi.</w:t>
        </w:r>
      </w:hyperlink>
    </w:p>
    <w:p>
      <w:pPr>
        <w:spacing w:after="0" w:line="185" w:lineRule="exact"/>
        <w:rPr>
          <w:rFonts w:ascii="Arial" w:cs="Arial" w:eastAsia="Arial" w:hAnsi="Arial"/>
          <w:sz w:val="18"/>
          <w:szCs w:val="18"/>
          <w:u w:val="single" w:color="auto"/>
          <w:color w:val="0000EE"/>
        </w:rPr>
      </w:pPr>
    </w:p>
    <w:p>
      <w:pPr>
        <w:ind w:left="1140" w:right="360" w:hanging="951"/>
        <w:spacing w:after="0" w:line="277" w:lineRule="auto"/>
        <w:tabs>
          <w:tab w:leader="none" w:pos="1120" w:val="left"/>
        </w:tabs>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10.19 #</w:t>
        </w:r>
      </w:hyperlink>
      <w:r>
        <w:rPr>
          <w:rFonts w:ascii="Arial" w:cs="Arial" w:eastAsia="Arial" w:hAnsi="Arial"/>
          <w:sz w:val="18"/>
          <w:szCs w:val="18"/>
          <w:u w:val="single" w:color="auto"/>
          <w:color w:val="0000EE"/>
        </w:rPr>
        <w:tab/>
      </w:r>
      <w:hyperlink r:id="rId113">
        <w:r>
          <w:rPr>
            <w:rFonts w:ascii="Arial" w:cs="Arial" w:eastAsia="Arial" w:hAnsi="Arial"/>
            <w:sz w:val="18"/>
            <w:szCs w:val="18"/>
            <w:u w:val="single" w:color="auto"/>
            <w:color w:val="0000EE"/>
          </w:rPr>
          <w:t>Employment Agreement between Harvard Bioscience, Inc. and</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Yash Singh.</w:t>
        </w:r>
      </w:hyperlink>
    </w:p>
    <w:p>
      <w:pPr>
        <w:spacing w:after="0" w:line="170" w:lineRule="exact"/>
        <w:rPr>
          <w:rFonts w:ascii="Arial" w:cs="Arial" w:eastAsia="Arial" w:hAnsi="Arial"/>
          <w:sz w:val="18"/>
          <w:szCs w:val="18"/>
          <w:u w:val="single" w:color="auto"/>
          <w:color w:val="0000EE"/>
        </w:rPr>
      </w:pPr>
    </w:p>
    <w:p>
      <w:pPr>
        <w:ind w:left="1140" w:right="100" w:hanging="883"/>
        <w:spacing w:after="0" w:line="277" w:lineRule="auto"/>
        <w:tabs>
          <w:tab w:leader="none" w:pos="1120" w:val="left"/>
        </w:tabs>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10.20</w:t>
        </w:r>
      </w:hyperlink>
      <w:r>
        <w:rPr>
          <w:rFonts w:ascii="Arial" w:cs="Arial" w:eastAsia="Arial" w:hAnsi="Arial"/>
          <w:sz w:val="18"/>
          <w:szCs w:val="18"/>
          <w:u w:val="single" w:color="auto"/>
          <w:color w:val="0000EE"/>
        </w:rPr>
        <w:tab/>
      </w:r>
      <w:hyperlink r:id="rId114">
        <w:r>
          <w:rPr>
            <w:rFonts w:ascii="Arial" w:cs="Arial" w:eastAsia="Arial" w:hAnsi="Arial"/>
            <w:sz w:val="18"/>
            <w:szCs w:val="18"/>
            <w:u w:val="single" w:color="auto"/>
            <w:color w:val="0000EE"/>
          </w:rPr>
          <w:t>Consulting Agreement, dated as of March 2, 2020, by and between</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Harvard Bioscience, Inc. and Chane Graziano.</w:t>
        </w:r>
      </w:hyperlink>
    </w:p>
    <w:p>
      <w:pPr>
        <w:spacing w:after="0" w:line="170" w:lineRule="exact"/>
        <w:rPr>
          <w:rFonts w:ascii="Arial" w:cs="Arial" w:eastAsia="Arial" w:hAnsi="Arial"/>
          <w:sz w:val="18"/>
          <w:szCs w:val="18"/>
          <w:u w:val="single" w:color="auto"/>
          <w:color w:val="0000EE"/>
        </w:rPr>
      </w:pPr>
    </w:p>
    <w:p>
      <w:pPr>
        <w:ind w:left="1140" w:hanging="883"/>
        <w:spacing w:after="0" w:line="255" w:lineRule="auto"/>
        <w:tabs>
          <w:tab w:leader="none" w:pos="1120" w:val="left"/>
        </w:tabs>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10.21</w:t>
        </w:r>
      </w:hyperlink>
      <w:r>
        <w:rPr>
          <w:rFonts w:ascii="Arial" w:cs="Arial" w:eastAsia="Arial" w:hAnsi="Arial"/>
          <w:sz w:val="18"/>
          <w:szCs w:val="18"/>
          <w:u w:val="single" w:color="auto"/>
          <w:color w:val="0000EE"/>
        </w:rPr>
        <w:tab/>
      </w:r>
      <w:hyperlink r:id="rId115">
        <w:r>
          <w:rPr>
            <w:rFonts w:ascii="Arial" w:cs="Arial" w:eastAsia="Arial" w:hAnsi="Arial"/>
            <w:sz w:val="18"/>
            <w:szCs w:val="18"/>
            <w:u w:val="single" w:color="auto"/>
            <w:color w:val="0000EE"/>
          </w:rPr>
          <w:t>Credit Agreement dated as of December 22, 2020 among Harvard</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Bioscience, Inc., as borrower, the lenders party thereto, and Citizens</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Bank, N.A., as administrative agent.</w:t>
        </w:r>
      </w:hyperlink>
    </w:p>
    <w:p>
      <w:pPr>
        <w:spacing w:after="0" w:line="3" w:lineRule="exact"/>
        <w:rPr>
          <w:rFonts w:ascii="Arial" w:cs="Arial" w:eastAsia="Arial" w:hAnsi="Arial"/>
          <w:sz w:val="18"/>
          <w:szCs w:val="18"/>
          <w:u w:val="single" w:color="auto"/>
          <w:color w:val="0000EE"/>
        </w:rPr>
      </w:pPr>
    </w:p>
    <w:p>
      <w:pPr>
        <w:ind w:left="1140" w:right="240" w:hanging="883"/>
        <w:spacing w:after="0" w:line="250" w:lineRule="auto"/>
        <w:tabs>
          <w:tab w:leader="none" w:pos="1120" w:val="left"/>
        </w:tabs>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10.22</w:t>
        </w:r>
      </w:hyperlink>
      <w:r>
        <w:rPr>
          <w:rFonts w:ascii="Arial" w:cs="Arial" w:eastAsia="Arial" w:hAnsi="Arial"/>
          <w:sz w:val="18"/>
          <w:szCs w:val="18"/>
          <w:u w:val="single" w:color="auto"/>
          <w:color w:val="0000EE"/>
        </w:rPr>
        <w:tab/>
      </w:r>
      <w:hyperlink r:id="rId116">
        <w:r>
          <w:rPr>
            <w:rFonts w:ascii="Arial" w:cs="Arial" w:eastAsia="Arial" w:hAnsi="Arial"/>
            <w:sz w:val="18"/>
            <w:szCs w:val="18"/>
            <w:u w:val="single" w:color="auto"/>
            <w:color w:val="0000EE"/>
          </w:rPr>
          <w:t>Pledge and Security Agreement dated as of December 22, 2020</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among Harvard Bioscience, Inc., certain of Harvard Bioscience’s</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direct and indirect subsidiaries and Citizens Bank, N.A., as</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administrative agent.</w:t>
        </w:r>
      </w:hyperlink>
    </w:p>
    <w:p>
      <w:pPr>
        <w:spacing w:after="0" w:line="2" w:lineRule="exact"/>
        <w:rPr>
          <w:rFonts w:ascii="Arial" w:cs="Arial" w:eastAsia="Arial" w:hAnsi="Arial"/>
          <w:sz w:val="18"/>
          <w:szCs w:val="18"/>
          <w:u w:val="single" w:color="auto"/>
          <w:color w:val="0000EE"/>
        </w:rPr>
      </w:pPr>
    </w:p>
    <w:p>
      <w:pPr>
        <w:ind w:left="1140" w:hanging="883"/>
        <w:spacing w:after="0" w:line="253" w:lineRule="auto"/>
        <w:tabs>
          <w:tab w:leader="none" w:pos="1120" w:val="left"/>
        </w:tabs>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10.23</w:t>
        </w:r>
      </w:hyperlink>
      <w:r>
        <w:rPr>
          <w:rFonts w:ascii="Arial" w:cs="Arial" w:eastAsia="Arial" w:hAnsi="Arial"/>
          <w:sz w:val="18"/>
          <w:szCs w:val="18"/>
          <w:u w:val="single" w:color="auto"/>
          <w:color w:val="0000EE"/>
        </w:rPr>
        <w:tab/>
      </w:r>
      <w:hyperlink r:id="rId117">
        <w:r>
          <w:rPr>
            <w:rFonts w:ascii="Arial" w:cs="Arial" w:eastAsia="Arial" w:hAnsi="Arial"/>
            <w:sz w:val="18"/>
            <w:szCs w:val="18"/>
            <w:u w:val="single" w:color="auto"/>
            <w:color w:val="0000EE"/>
          </w:rPr>
          <w:t>Guarantee Agreement dated as of December 22, 2020 among</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Harvard Bioscience, Inc., certain of Harvard Bioscience’s direct and</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indirect subsidiaries and Citizens Bank, N.A., as administrative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agent.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28" w:lineRule="exact"/>
        <w:rPr>
          <w:rFonts w:ascii="Arial" w:cs="Arial" w:eastAsia="Arial" w:hAnsi="Arial"/>
          <w:sz w:val="18"/>
          <w:szCs w:val="18"/>
          <w:u w:val="single" w:color="auto"/>
          <w:color w:val="0000EE"/>
        </w:rPr>
      </w:pPr>
    </w:p>
    <w:p>
      <w:pPr>
        <w:jc w:val="both"/>
        <w:ind w:right="180"/>
        <w:spacing w:after="0" w:line="255" w:lineRule="auto"/>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Form 10-K (filed March 16, 2020) and incorporated by reference</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thereto</w:t>
        </w:r>
      </w:hyperlink>
    </w:p>
    <w:p>
      <w:pPr>
        <w:spacing w:after="0" w:line="3" w:lineRule="exact"/>
        <w:rPr>
          <w:rFonts w:ascii="Arial" w:cs="Arial" w:eastAsia="Arial" w:hAnsi="Arial"/>
          <w:sz w:val="18"/>
          <w:szCs w:val="18"/>
          <w:u w:val="single" w:color="auto"/>
          <w:color w:val="0000EE"/>
        </w:rPr>
      </w:pPr>
    </w:p>
    <w:p>
      <w:pPr>
        <w:jc w:val="both"/>
        <w:ind w:right="180"/>
        <w:spacing w:after="0" w:line="255" w:lineRule="auto"/>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Form 10-K (filed March 16, 2018) and incorporated by reference</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thereto</w:t>
        </w:r>
      </w:hyperlink>
    </w:p>
    <w:p>
      <w:pPr>
        <w:spacing w:after="0" w:line="190" w:lineRule="exact"/>
        <w:rPr>
          <w:rFonts w:ascii="Arial" w:cs="Arial" w:eastAsia="Arial" w:hAnsi="Arial"/>
          <w:sz w:val="18"/>
          <w:szCs w:val="18"/>
          <w:u w:val="single" w:color="auto"/>
          <w:color w:val="0000EE"/>
        </w:rPr>
      </w:pPr>
    </w:p>
    <w:p>
      <w:pPr>
        <w:jc w:val="both"/>
        <w:ind w:right="180"/>
        <w:spacing w:after="0" w:line="263" w:lineRule="auto"/>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Form 10-K (filed March 16, 2018) and incorporated by reference</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thereto</w:t>
        </w:r>
      </w:hyperlink>
    </w:p>
    <w:p>
      <w:pPr>
        <w:spacing w:after="0" w:line="184" w:lineRule="exact"/>
        <w:rPr>
          <w:rFonts w:ascii="Arial" w:cs="Arial" w:eastAsia="Arial" w:hAnsi="Arial"/>
          <w:sz w:val="18"/>
          <w:szCs w:val="18"/>
          <w:u w:val="single" w:color="auto"/>
          <w:color w:val="0000EE"/>
        </w:rPr>
      </w:pPr>
    </w:p>
    <w:p>
      <w:pPr>
        <w:jc w:val="both"/>
        <w:ind w:right="180"/>
        <w:spacing w:after="0" w:line="263" w:lineRule="auto"/>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Form 10-K (filed March 16, 2018) and incorporated by reference</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thereto</w:t>
        </w:r>
      </w:hyperlink>
    </w:p>
    <w:p>
      <w:pPr>
        <w:spacing w:after="0" w:line="184" w:lineRule="exact"/>
        <w:rPr>
          <w:rFonts w:ascii="Arial" w:cs="Arial" w:eastAsia="Arial" w:hAnsi="Arial"/>
          <w:sz w:val="18"/>
          <w:szCs w:val="18"/>
          <w:u w:val="single" w:color="auto"/>
          <w:color w:val="0000EE"/>
        </w:rPr>
      </w:pPr>
    </w:p>
    <w:p>
      <w:pPr>
        <w:jc w:val="both"/>
        <w:ind w:right="120"/>
        <w:spacing w:after="0" w:line="255" w:lineRule="auto"/>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Form 8-K (filed November 7, 2018) and incorporated by reference</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thereto.</w:t>
        </w:r>
      </w:hyperlink>
    </w:p>
    <w:p>
      <w:pPr>
        <w:spacing w:after="0" w:line="3" w:lineRule="exact"/>
        <w:rPr>
          <w:rFonts w:ascii="Arial" w:cs="Arial" w:eastAsia="Arial" w:hAnsi="Arial"/>
          <w:sz w:val="18"/>
          <w:szCs w:val="18"/>
          <w:u w:val="single" w:color="auto"/>
          <w:color w:val="0000EE"/>
        </w:rPr>
      </w:pPr>
    </w:p>
    <w:p>
      <w:pPr>
        <w:spacing w:after="0" w:line="250" w:lineRule="auto"/>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Form 8-K (filed July 8, 2019) and incorporated by reference thereto.</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Form 8-K (filed July 19, 2019) and incorporated by reference</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thereto.</w:t>
        </w:r>
      </w:hyperlink>
    </w:p>
    <w:p>
      <w:pPr>
        <w:spacing w:after="0" w:line="2" w:lineRule="exact"/>
        <w:rPr>
          <w:rFonts w:ascii="Arial" w:cs="Arial" w:eastAsia="Arial" w:hAnsi="Arial"/>
          <w:sz w:val="18"/>
          <w:szCs w:val="18"/>
          <w:u w:val="single" w:color="auto"/>
          <w:color w:val="0000EE"/>
        </w:rPr>
      </w:pPr>
    </w:p>
    <w:p>
      <w:pPr>
        <w:jc w:val="both"/>
        <w:ind w:right="120"/>
        <w:spacing w:after="0" w:line="250" w:lineRule="auto"/>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Form 8-K (filed November 1, 2019) and incorporated by reference</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160"/>
        <w:spacing w:after="0" w:line="250" w:lineRule="auto"/>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Form 8-K (filed March 6, 2020) and incorporated by reference</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60"/>
        <w:spacing w:after="0" w:line="250" w:lineRule="auto"/>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Form 8-K (filed December 23, 2020) and incorporated by reference</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60"/>
        <w:spacing w:after="0" w:line="255" w:lineRule="auto"/>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Form 8-K (filed December 23, 2020) and incorporated by reference</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thereto.</w:t>
        </w:r>
      </w:hyperlink>
    </w:p>
    <w:p>
      <w:pPr>
        <w:spacing w:after="0" w:line="190" w:lineRule="exact"/>
        <w:rPr>
          <w:rFonts w:ascii="Arial" w:cs="Arial" w:eastAsia="Arial" w:hAnsi="Arial"/>
          <w:sz w:val="18"/>
          <w:szCs w:val="18"/>
          <w:u w:val="single" w:color="auto"/>
          <w:color w:val="0000EE"/>
        </w:rPr>
      </w:pPr>
    </w:p>
    <w:p>
      <w:pPr>
        <w:ind w:right="60"/>
        <w:spacing w:after="0" w:line="263" w:lineRule="auto"/>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Form 8-K (filed December 23, 2020) and incorporated by reference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thereto.</w:t>
        </w:r>
      </w:hyperlink>
    </w:p>
    <w:p>
      <w:pPr>
        <w:sectPr>
          <w:pgSz w:w="11900" w:h="16838" w:orient="portrait"/>
          <w:cols w:equalWidth="0" w:num="2">
            <w:col w:w="6060" w:space="240"/>
            <w:col w:w="49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00"/>
        <w:spacing w:after="0"/>
        <w:tabs>
          <w:tab w:leader="none" w:pos="1120" w:val="left"/>
        </w:tabs>
        <w:rPr>
          <w:sz w:val="20"/>
          <w:szCs w:val="20"/>
          <w:color w:val="auto"/>
        </w:rPr>
      </w:pPr>
      <w:r>
        <w:rPr>
          <w:rFonts w:ascii="Arial" w:cs="Arial" w:eastAsia="Arial" w:hAnsi="Arial"/>
          <w:sz w:val="18"/>
          <w:szCs w:val="18"/>
          <w:u w:val="single" w:color="auto"/>
          <w:color w:val="0000EE"/>
        </w:rPr>
        <w:t>21.1</w:t>
      </w:r>
      <w:r>
        <w:rPr>
          <w:sz w:val="20"/>
          <w:szCs w:val="20"/>
          <w:color w:val="auto"/>
        </w:rPr>
        <w:tab/>
      </w:r>
      <w:r>
        <w:rPr>
          <w:rFonts w:ascii="Arial" w:cs="Arial" w:eastAsia="Arial" w:hAnsi="Arial"/>
          <w:sz w:val="16"/>
          <w:szCs w:val="16"/>
          <w:u w:val="single" w:color="auto"/>
          <w:color w:val="0000EE"/>
        </w:rPr>
        <w:t>Subsidiaries of the Registrant</w:t>
      </w:r>
    </w:p>
    <w:p>
      <w:pPr>
        <w:spacing w:after="0" w:line="23" w:lineRule="exact"/>
        <w:rPr>
          <w:sz w:val="20"/>
          <w:szCs w:val="20"/>
          <w:color w:val="auto"/>
        </w:rPr>
      </w:pPr>
    </w:p>
    <w:p>
      <w:pPr>
        <w:ind w:left="300"/>
        <w:spacing w:after="0"/>
        <w:tabs>
          <w:tab w:leader="none" w:pos="1120" w:val="left"/>
        </w:tabs>
        <w:rPr>
          <w:rFonts w:ascii="Arial" w:cs="Arial" w:eastAsia="Arial" w:hAnsi="Arial"/>
          <w:sz w:val="16"/>
          <w:szCs w:val="16"/>
          <w:u w:val="single" w:color="auto"/>
          <w:color w:val="0000EE"/>
        </w:rPr>
      </w:pPr>
      <w:hyperlink w:anchor="page72">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72">
        <w:r>
          <w:rPr>
            <w:rFonts w:ascii="Arial" w:cs="Arial" w:eastAsia="Arial" w:hAnsi="Arial"/>
            <w:sz w:val="16"/>
            <w:szCs w:val="16"/>
            <w:u w:val="single" w:color="auto"/>
            <w:color w:val="0000EE"/>
          </w:rPr>
          <w:t>Consent of Grant Thornton LLP</w:t>
        </w:r>
      </w:hyperlink>
    </w:p>
    <w:p>
      <w:pPr>
        <w:spacing w:after="0" w:line="9" w:lineRule="exact"/>
        <w:rPr>
          <w:sz w:val="20"/>
          <w:szCs w:val="20"/>
          <w:color w:val="auto"/>
        </w:rPr>
      </w:pPr>
    </w:p>
    <w:p>
      <w:pPr>
        <w:ind w:left="1140" w:hanging="838"/>
        <w:spacing w:after="0" w:line="250" w:lineRule="auto"/>
        <w:tabs>
          <w:tab w:leader="none" w:pos="1120" w:val="left"/>
        </w:tabs>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73">
        <w:r>
          <w:rPr>
            <w:rFonts w:ascii="Arial" w:cs="Arial" w:eastAsia="Arial" w:hAnsi="Arial"/>
            <w:sz w:val="18"/>
            <w:szCs w:val="18"/>
            <w:u w:val="single" w:color="auto"/>
            <w:color w:val="0000EE"/>
          </w:rPr>
          <w:t>Certification of Chief Financial Officer of Harvard Bioscience, Inc.,</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pursuant to Rules 13a-15(e) and 15d-15(e), as adopted pursuant to</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Section 302 of the Sarbanes-Oxley Act of 2002</w:t>
        </w:r>
      </w:hyperlink>
    </w:p>
    <w:p>
      <w:pPr>
        <w:spacing w:after="0" w:line="1" w:lineRule="exact"/>
        <w:rPr>
          <w:rFonts w:ascii="Arial" w:cs="Arial" w:eastAsia="Arial" w:hAnsi="Arial"/>
          <w:sz w:val="18"/>
          <w:szCs w:val="18"/>
          <w:u w:val="single" w:color="auto"/>
          <w:color w:val="0000EE"/>
        </w:rPr>
      </w:pPr>
    </w:p>
    <w:p>
      <w:pPr>
        <w:ind w:left="1140" w:right="320" w:hanging="838"/>
        <w:spacing w:after="0" w:line="281" w:lineRule="auto"/>
        <w:tabs>
          <w:tab w:leader="none" w:pos="1120" w:val="left"/>
        </w:tabs>
        <w:rPr>
          <w:rFonts w:ascii="Arial" w:cs="Arial" w:eastAsia="Arial" w:hAnsi="Arial"/>
          <w:sz w:val="16"/>
          <w:szCs w:val="16"/>
          <w:u w:val="single" w:color="auto"/>
          <w:color w:val="0000EE"/>
        </w:rPr>
      </w:pPr>
      <w:hyperlink w:anchor="page74">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74">
        <w:r>
          <w:rPr>
            <w:rFonts w:ascii="Arial" w:cs="Arial" w:eastAsia="Arial" w:hAnsi="Arial"/>
            <w:sz w:val="16"/>
            <w:szCs w:val="16"/>
            <w:u w:val="single" w:color="auto"/>
            <w:color w:val="0000EE"/>
          </w:rPr>
          <w:t>Certification of Chief Executive Officer of Harvard Bioscience,</w:t>
        </w:r>
      </w:hyperlink>
      <w:r>
        <w:rPr>
          <w:rFonts w:ascii="Arial" w:cs="Arial" w:eastAsia="Arial" w:hAnsi="Arial"/>
          <w:sz w:val="16"/>
          <w:szCs w:val="16"/>
          <w:u w:val="single" w:color="auto"/>
          <w:color w:val="0000EE"/>
        </w:rPr>
        <w:t xml:space="preserve"> </w:t>
      </w:r>
      <w:hyperlink w:anchor="page74">
        <w:r>
          <w:rPr>
            <w:rFonts w:ascii="Arial" w:cs="Arial" w:eastAsia="Arial" w:hAnsi="Arial"/>
            <w:sz w:val="16"/>
            <w:szCs w:val="16"/>
            <w:u w:val="single" w:color="auto"/>
            <w:color w:val="0000EE"/>
          </w:rPr>
          <w:t>Inc., pursuant to Rules 13a-15(e) and 15d-15(e), as adopted</w:t>
        </w:r>
      </w:hyperlink>
      <w:r>
        <w:rPr>
          <w:rFonts w:ascii="Arial" w:cs="Arial" w:eastAsia="Arial" w:hAnsi="Arial"/>
          <w:sz w:val="16"/>
          <w:szCs w:val="16"/>
          <w:u w:val="single" w:color="auto"/>
          <w:color w:val="0000EE"/>
        </w:rPr>
        <w:t xml:space="preserve"> </w:t>
      </w:r>
      <w:hyperlink w:anchor="page74">
        <w:r>
          <w:rPr>
            <w:rFonts w:ascii="Arial" w:cs="Arial" w:eastAsia="Arial" w:hAnsi="Arial"/>
            <w:sz w:val="16"/>
            <w:szCs w:val="16"/>
            <w:u w:val="single" w:color="auto"/>
            <w:color w:val="0000EE"/>
          </w:rPr>
          <w:t>pursuant to Section 302 of the Sarbanes-Oxley Act of 2002</w:t>
        </w:r>
      </w:hyperlink>
    </w:p>
    <w:p>
      <w:pPr>
        <w:spacing w:after="0" w:line="2" w:lineRule="exact"/>
        <w:rPr>
          <w:rFonts w:ascii="Arial" w:cs="Arial" w:eastAsia="Arial" w:hAnsi="Arial"/>
          <w:sz w:val="16"/>
          <w:szCs w:val="16"/>
          <w:u w:val="single" w:color="auto"/>
          <w:color w:val="0000EE"/>
        </w:rPr>
      </w:pPr>
    </w:p>
    <w:p>
      <w:pPr>
        <w:jc w:val="both"/>
        <w:ind w:left="1140" w:hanging="838"/>
        <w:spacing w:after="0" w:line="250" w:lineRule="auto"/>
        <w:tabs>
          <w:tab w:leader="none" w:pos="1120" w:val="left"/>
        </w:tabs>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75">
        <w:r>
          <w:rPr>
            <w:rFonts w:ascii="Arial" w:cs="Arial" w:eastAsia="Arial" w:hAnsi="Arial"/>
            <w:sz w:val="18"/>
            <w:szCs w:val="18"/>
            <w:u w:val="single" w:color="auto"/>
            <w:color w:val="0000EE"/>
          </w:rPr>
          <w:t>Certification of Chief Financial Officer of Harvard Bioscience, Inc.,</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pursuant to 18 U.S.C. Section 1350, as adopted pursuant to Section</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906 of the Sarbanes-Oxley Act of 2002</w:t>
        </w:r>
      </w:hyperlink>
    </w:p>
    <w:p>
      <w:pPr>
        <w:spacing w:after="0" w:line="1" w:lineRule="exact"/>
        <w:rPr>
          <w:rFonts w:ascii="Arial" w:cs="Arial" w:eastAsia="Arial" w:hAnsi="Arial"/>
          <w:sz w:val="18"/>
          <w:szCs w:val="18"/>
          <w:u w:val="single" w:color="auto"/>
          <w:color w:val="0000EE"/>
        </w:rPr>
      </w:pPr>
    </w:p>
    <w:p>
      <w:pPr>
        <w:jc w:val="both"/>
        <w:ind w:left="1140" w:right="280" w:hanging="838"/>
        <w:spacing w:after="0" w:line="302" w:lineRule="auto"/>
        <w:tabs>
          <w:tab w:leader="none" w:pos="1120" w:val="left"/>
        </w:tabs>
        <w:rPr>
          <w:rFonts w:ascii="Arial" w:cs="Arial" w:eastAsia="Arial" w:hAnsi="Arial"/>
          <w:sz w:val="16"/>
          <w:szCs w:val="16"/>
          <w:u w:val="single" w:color="auto"/>
          <w:color w:val="0000EE"/>
        </w:rPr>
      </w:pPr>
      <w:hyperlink w:anchor="page76">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76">
        <w:r>
          <w:rPr>
            <w:rFonts w:ascii="Arial" w:cs="Arial" w:eastAsia="Arial" w:hAnsi="Arial"/>
            <w:sz w:val="16"/>
            <w:szCs w:val="16"/>
            <w:u w:val="single" w:color="auto"/>
            <w:color w:val="0000EE"/>
          </w:rPr>
          <w:t>Certification of Chief Executive Officer of Harvard Bioscience,</w:t>
        </w:r>
      </w:hyperlink>
      <w:r>
        <w:rPr>
          <w:rFonts w:ascii="Arial" w:cs="Arial" w:eastAsia="Arial" w:hAnsi="Arial"/>
          <w:sz w:val="16"/>
          <w:szCs w:val="16"/>
          <w:u w:val="single" w:color="auto"/>
          <w:color w:val="0000EE"/>
        </w:rPr>
        <w:t xml:space="preserve"> </w:t>
      </w:r>
      <w:hyperlink w:anchor="page76">
        <w:r>
          <w:rPr>
            <w:rFonts w:ascii="Arial" w:cs="Arial" w:eastAsia="Arial" w:hAnsi="Arial"/>
            <w:sz w:val="16"/>
            <w:szCs w:val="16"/>
            <w:u w:val="single" w:color="auto"/>
            <w:color w:val="0000EE"/>
          </w:rPr>
          <w:t>Inc., pursuant to 18 U.S.C. Section 1350, as adopted pursuant to</w:t>
        </w:r>
      </w:hyperlink>
      <w:r>
        <w:rPr>
          <w:rFonts w:ascii="Arial" w:cs="Arial" w:eastAsia="Arial" w:hAnsi="Arial"/>
          <w:sz w:val="16"/>
          <w:szCs w:val="16"/>
          <w:u w:val="single" w:color="auto"/>
          <w:color w:val="0000EE"/>
        </w:rPr>
        <w:t xml:space="preserve"> </w:t>
      </w:r>
      <w:hyperlink w:anchor="page76">
        <w:r>
          <w:rPr>
            <w:rFonts w:ascii="Arial" w:cs="Arial" w:eastAsia="Arial" w:hAnsi="Arial"/>
            <w:sz w:val="16"/>
            <w:szCs w:val="16"/>
            <w:u w:val="single" w:color="auto"/>
            <w:color w:val="0000EE"/>
          </w:rPr>
          <w:t>Section 906 of the Sarbanes-Oxley Act of 2002</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28"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u w:val="single" w:color="auto"/>
          <w:color w:val="0000EE"/>
        </w:rPr>
        <w:t>Filed with this report</w:t>
      </w:r>
    </w:p>
    <w:p>
      <w:pPr>
        <w:spacing w:after="0" w:line="46"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Filed with this report</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Filed with this report</w:t>
        </w:r>
      </w:hyperlink>
    </w:p>
    <w:p>
      <w:pPr>
        <w:spacing w:after="0" w:line="200" w:lineRule="exact"/>
        <w:rPr>
          <w:rFonts w:ascii="Arial" w:cs="Arial" w:eastAsia="Arial" w:hAnsi="Arial"/>
          <w:sz w:val="16"/>
          <w:szCs w:val="16"/>
          <w:u w:val="single" w:color="auto"/>
          <w:color w:val="0000EE"/>
        </w:rPr>
      </w:pPr>
    </w:p>
    <w:p>
      <w:pPr>
        <w:spacing w:after="0" w:line="250"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Filed with this report</w:t>
        </w:r>
      </w:hyperlink>
    </w:p>
    <w:p>
      <w:pPr>
        <w:spacing w:after="0" w:line="200" w:lineRule="exact"/>
        <w:rPr>
          <w:rFonts w:ascii="Arial" w:cs="Arial" w:eastAsia="Arial" w:hAnsi="Arial"/>
          <w:sz w:val="16"/>
          <w:szCs w:val="16"/>
          <w:u w:val="single" w:color="auto"/>
          <w:color w:val="0000EE"/>
        </w:rPr>
      </w:pPr>
    </w:p>
    <w:p>
      <w:pPr>
        <w:spacing w:after="0" w:line="264"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w:t>
        </w:r>
      </w:hyperlink>
    </w:p>
    <w:p>
      <w:pPr>
        <w:spacing w:after="0" w:line="200" w:lineRule="exact"/>
        <w:rPr>
          <w:rFonts w:ascii="Arial" w:cs="Arial" w:eastAsia="Arial" w:hAnsi="Arial"/>
          <w:sz w:val="16"/>
          <w:szCs w:val="16"/>
          <w:u w:val="single" w:color="auto"/>
          <w:color w:val="0000EE"/>
        </w:rPr>
      </w:pPr>
    </w:p>
    <w:p>
      <w:pPr>
        <w:spacing w:after="0" w:line="24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w:t>
        </w:r>
      </w:hyperlink>
    </w:p>
    <w:p>
      <w:pPr>
        <w:spacing w:after="0" w:line="562" w:lineRule="exact"/>
        <w:rPr>
          <w:rFonts w:ascii="Arial" w:cs="Arial" w:eastAsia="Arial" w:hAnsi="Arial"/>
          <w:sz w:val="16"/>
          <w:szCs w:val="16"/>
          <w:u w:val="single" w:color="auto"/>
          <w:color w:val="0000EE"/>
        </w:rPr>
      </w:pPr>
    </w:p>
    <w:p>
      <w:pPr>
        <w:sectPr>
          <w:pgSz w:w="11900" w:h="16838" w:orient="portrait"/>
          <w:cols w:equalWidth="0" w:num="2">
            <w:col w:w="6040" w:space="260"/>
            <w:col w:w="4680"/>
          </w:cols>
          <w:pgMar w:left="320" w:top="125" w:right="599" w:bottom="1440" w:gutter="0" w:footer="0" w:header="0"/>
        </w:sectPr>
      </w:pPr>
    </w:p>
    <w:tbl>
      <w:tblPr>
        <w:tblLayout w:type="fixed"/>
        <w:tblInd w:w="120" w:type="dxa"/>
        <w:tblCellMar>
          <w:top w:w="0" w:type="dxa"/>
          <w:left w:w="0" w:type="dxa"/>
          <w:bottom w:w="0" w:type="dxa"/>
          <w:right w:w="0" w:type="dxa"/>
        </w:tblCellMar>
      </w:tblPr>
      <w:tr>
        <w:trPr>
          <w:trHeight w:val="216"/>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2"/>
              </w:rPr>
              <w:t>101.INS</w:t>
            </w:r>
          </w:p>
        </w:tc>
        <w:tc>
          <w:tcPr>
            <w:tcW w:w="5280" w:type="dxa"/>
            <w:vAlign w:val="bottom"/>
          </w:tcPr>
          <w:p>
            <w:pPr>
              <w:ind w:left="180"/>
              <w:spacing w:after="0"/>
              <w:rPr>
                <w:sz w:val="20"/>
                <w:szCs w:val="20"/>
                <w:color w:val="auto"/>
              </w:rPr>
            </w:pPr>
            <w:r>
              <w:rPr>
                <w:rFonts w:ascii="Arial" w:cs="Arial" w:eastAsia="Arial" w:hAnsi="Arial"/>
                <w:sz w:val="18"/>
                <w:szCs w:val="18"/>
                <w:color w:val="auto"/>
              </w:rPr>
              <w:t>Inline XBRL Instance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216"/>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3"/>
              </w:rPr>
              <w:t>101.SCH</w:t>
            </w:r>
          </w:p>
        </w:tc>
        <w:tc>
          <w:tcPr>
            <w:tcW w:w="528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216"/>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7"/>
              </w:rPr>
              <w:t>101.CAL</w:t>
            </w:r>
          </w:p>
        </w:tc>
        <w:tc>
          <w:tcPr>
            <w:tcW w:w="5280" w:type="dxa"/>
            <w:vAlign w:val="bottom"/>
          </w:tcPr>
          <w:p>
            <w:pPr>
              <w:ind w:left="180"/>
              <w:spacing w:after="0"/>
              <w:rPr>
                <w:sz w:val="20"/>
                <w:szCs w:val="20"/>
                <w:color w:val="auto"/>
              </w:rPr>
            </w:pPr>
            <w:r>
              <w:rPr>
                <w:rFonts w:ascii="Arial" w:cs="Arial" w:eastAsia="Arial" w:hAnsi="Arial"/>
                <w:sz w:val="18"/>
                <w:szCs w:val="18"/>
                <w:color w:val="auto"/>
                <w:w w:val="96"/>
              </w:rPr>
              <w:t>Inline XBRL Taxonomy Extension Calculation Linkbase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216"/>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0"/>
              </w:rPr>
              <w:t>101.DEF</w:t>
            </w:r>
          </w:p>
        </w:tc>
        <w:tc>
          <w:tcPr>
            <w:tcW w:w="5280" w:type="dxa"/>
            <w:vAlign w:val="bottom"/>
          </w:tcPr>
          <w:p>
            <w:pPr>
              <w:ind w:left="180"/>
              <w:spacing w:after="0"/>
              <w:rPr>
                <w:sz w:val="20"/>
                <w:szCs w:val="20"/>
                <w:color w:val="auto"/>
              </w:rPr>
            </w:pPr>
            <w:r>
              <w:rPr>
                <w:rFonts w:ascii="Arial" w:cs="Arial" w:eastAsia="Arial" w:hAnsi="Arial"/>
                <w:sz w:val="18"/>
                <w:szCs w:val="18"/>
                <w:color w:val="auto"/>
                <w:w w:val="99"/>
              </w:rPr>
              <w:t>Inline XBRL Taxonomy Extension Definition Linkbase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216"/>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8"/>
              </w:rPr>
              <w:t>101.LAB</w:t>
            </w:r>
          </w:p>
        </w:tc>
        <w:tc>
          <w:tcPr>
            <w:tcW w:w="528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r>
        <w:trPr>
          <w:trHeight w:val="216"/>
        </w:trPr>
        <w:tc>
          <w:tcPr>
            <w:tcW w:w="84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w:t>
            </w:r>
          </w:p>
        </w:tc>
        <w:tc>
          <w:tcPr>
            <w:tcW w:w="1680" w:type="dxa"/>
            <w:vAlign w:val="bottom"/>
          </w:tcPr>
          <w:p>
            <w:pPr>
              <w:spacing w:after="0"/>
              <w:rPr>
                <w:sz w:val="18"/>
                <w:szCs w:val="18"/>
                <w:color w:val="auto"/>
              </w:rPr>
            </w:pPr>
          </w:p>
        </w:tc>
      </w:tr>
      <w:tr>
        <w:trPr>
          <w:trHeight w:val="230"/>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88"/>
              </w:rPr>
              <w:t>101.PRE</w:t>
            </w:r>
          </w:p>
        </w:tc>
        <w:tc>
          <w:tcPr>
            <w:tcW w:w="528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680" w:type="dxa"/>
            <w:vAlign w:val="bottom"/>
          </w:tcPr>
          <w:p>
            <w:pPr>
              <w:ind w:left="160"/>
              <w:spacing w:after="0"/>
              <w:rPr>
                <w:sz w:val="20"/>
                <w:szCs w:val="20"/>
                <w:color w:val="auto"/>
              </w:rPr>
            </w:pPr>
            <w:r>
              <w:rPr>
                <w:rFonts w:ascii="Arial" w:cs="Arial" w:eastAsia="Arial" w:hAnsi="Arial"/>
                <w:sz w:val="18"/>
                <w:szCs w:val="18"/>
                <w:color w:val="auto"/>
                <w:w w:val="93"/>
              </w:rPr>
              <w:t>Filed with this report</w:t>
            </w:r>
          </w:p>
        </w:tc>
      </w:tr>
    </w:tbl>
    <w:p>
      <w:pPr>
        <w:ind w:left="1140" w:hanging="815"/>
        <w:spacing w:after="0"/>
        <w:tabs>
          <w:tab w:leader="none" w:pos="11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portions of this document have been granted confidential treatment by the Securities and Exchange Commission (the Commission).</w:t>
      </w:r>
    </w:p>
    <w:p>
      <w:pPr>
        <w:spacing w:after="0" w:line="46" w:lineRule="exact"/>
        <w:rPr>
          <w:rFonts w:ascii="Arial" w:cs="Arial" w:eastAsia="Arial" w:hAnsi="Arial"/>
          <w:sz w:val="16"/>
          <w:szCs w:val="16"/>
          <w:u w:val="single" w:color="auto"/>
          <w:color w:val="0000EE"/>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certification shall not be deemed “filed” for purposes of Section 18 of the Securities Exchange Act of 1934, or otherwise subject to the</w:t>
      </w:r>
    </w:p>
    <w:p>
      <w:pPr>
        <w:spacing w:after="0" w:line="32" w:lineRule="exact"/>
        <w:rPr>
          <w:rFonts w:ascii="Arial" w:cs="Arial" w:eastAsia="Arial" w:hAnsi="Arial"/>
          <w:sz w:val="16"/>
          <w:szCs w:val="16"/>
          <w:u w:val="single" w:color="auto"/>
          <w:color w:val="0000EE"/>
        </w:rPr>
      </w:pPr>
    </w:p>
    <w:p>
      <w:pPr>
        <w:ind w:left="660" w:right="80"/>
        <w:spacing w:after="0" w:line="250" w:lineRule="auto"/>
        <w:rPr>
          <w:sz w:val="20"/>
          <w:szCs w:val="20"/>
          <w:color w:val="auto"/>
        </w:rPr>
      </w:pPr>
      <w:r>
        <w:rPr>
          <w:rFonts w:ascii="Arial" w:cs="Arial" w:eastAsia="Arial" w:hAnsi="Arial"/>
          <w:sz w:val="18"/>
          <w:szCs w:val="18"/>
          <w:color w:val="auto"/>
        </w:rPr>
        <w:t>liability of that section, nor shall it be deemed to be incorporated by reference into any filing under the Securities Act of 1933 or the Securities Exchange Act of 1934</w:t>
      </w:r>
    </w:p>
    <w:p>
      <w:pPr>
        <w:spacing w:after="0" w:line="1" w:lineRule="exact"/>
        <w:rPr>
          <w:rFonts w:ascii="Arial" w:cs="Arial" w:eastAsia="Arial" w:hAnsi="Arial"/>
          <w:sz w:val="16"/>
          <w:szCs w:val="16"/>
          <w:u w:val="single" w:color="auto"/>
          <w:color w:val="0000EE"/>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rFonts w:ascii="Arial" w:cs="Arial" w:eastAsia="Arial" w:hAnsi="Arial"/>
          <w:sz w:val="16"/>
          <w:szCs w:val="16"/>
          <w:u w:val="single" w:color="auto"/>
          <w:color w:val="0000EE"/>
        </w:rPr>
      </w:pPr>
    </w:p>
    <w:p>
      <w:pPr>
        <w:ind w:left="660" w:right="260" w:hanging="652"/>
        <w:spacing w:after="0" w:line="26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schedules and exhibits have been omitted. A copy of any omitted schedule or exhibit will be furnished to the SEC supplementally upon request.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will furnish to stockholders a copy of any exhibit without charge upon written request.</w:t>
      </w:r>
    </w:p>
    <w:p>
      <w:pPr>
        <w:sectPr>
          <w:pgSz w:w="11900" w:h="16838" w:orient="portrait"/>
          <w:cols w:equalWidth="0" w:num="1">
            <w:col w:w="10980"/>
          </w:cols>
          <w:pgMar w:left="320" w:top="125" w:right="59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2940"/>
              <w:spacing w:after="0"/>
              <w:rPr>
                <w:sz w:val="20"/>
                <w:szCs w:val="20"/>
                <w:color w:val="auto"/>
              </w:rPr>
            </w:pPr>
            <w:r>
              <w:rPr>
                <w:rFonts w:ascii="Arial" w:cs="Arial" w:eastAsia="Arial" w:hAnsi="Arial"/>
                <w:sz w:val="18"/>
                <w:szCs w:val="18"/>
                <w:b w:val="1"/>
                <w:bCs w:val="1"/>
                <w:color w:val="auto"/>
                <w:w w:val="93"/>
              </w:rPr>
              <w:t>Subsidiaries Of Harvard Bioscience, Inc.</w:t>
            </w:r>
          </w:p>
        </w:tc>
        <w:tc>
          <w:tcPr>
            <w:tcW w:w="2780" w:type="dxa"/>
            <w:vAlign w:val="bottom"/>
          </w:tcPr>
          <w:p>
            <w:pPr>
              <w:spacing w:after="0"/>
              <w:rPr>
                <w:sz w:val="20"/>
                <w:szCs w:val="20"/>
                <w:color w:val="auto"/>
              </w:rPr>
            </w:pPr>
          </w:p>
        </w:tc>
      </w:tr>
      <w:tr>
        <w:trPr>
          <w:trHeight w:val="432"/>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2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Jurisdiction</w:t>
            </w: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Ahn Acquisition Gmbh</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Asys Hitech Gmbh</w:t>
            </w:r>
          </w:p>
        </w:tc>
        <w:tc>
          <w:tcPr>
            <w:tcW w:w="2780" w:type="dxa"/>
            <w:vAlign w:val="bottom"/>
          </w:tcPr>
          <w:p>
            <w:pPr>
              <w:ind w:left="120"/>
              <w:spacing w:after="0"/>
              <w:rPr>
                <w:sz w:val="20"/>
                <w:szCs w:val="20"/>
                <w:color w:val="auto"/>
              </w:rPr>
            </w:pPr>
            <w:r>
              <w:rPr>
                <w:rFonts w:ascii="Arial" w:cs="Arial" w:eastAsia="Arial" w:hAnsi="Arial"/>
                <w:sz w:val="18"/>
                <w:szCs w:val="18"/>
                <w:color w:val="auto"/>
              </w:rPr>
              <w:t>Austria</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Biochrom Limited</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Biochrom Us, Inc.</w:t>
            </w:r>
          </w:p>
        </w:tc>
        <w:tc>
          <w:tcPr>
            <w:tcW w:w="2780" w:type="dxa"/>
            <w:vAlign w:val="bottom"/>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Biodrop Ltd.</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Cartesian Technologies, Inc.</w:t>
            </w:r>
          </w:p>
        </w:tc>
        <w:tc>
          <w:tcPr>
            <w:tcW w:w="2780" w:type="dxa"/>
            <w:vAlign w:val="bottom"/>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Cma Microdialysis Ab</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Sweden</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Coulbourn Instruments, Llc</w:t>
            </w:r>
          </w:p>
        </w:tc>
        <w:tc>
          <w:tcPr>
            <w:tcW w:w="2780" w:type="dxa"/>
            <w:vAlign w:val="bottom"/>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Sciences International, Inc.</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Data Sciences (Uk) Mn, Ltd.</w:t>
            </w:r>
          </w:p>
        </w:tc>
        <w:tc>
          <w:tcPr>
            <w:tcW w:w="2780" w:type="dxa"/>
            <w:vAlign w:val="bottom"/>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Sciences Eurl</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France</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Data Sciences Gmbh</w:t>
            </w:r>
          </w:p>
        </w:tc>
        <w:tc>
          <w:tcPr>
            <w:tcW w:w="2780" w:type="dxa"/>
            <w:vAlign w:val="bottom"/>
          </w:tcPr>
          <w:p>
            <w:pPr>
              <w:ind w:left="120"/>
              <w:spacing w:after="0"/>
              <w:rPr>
                <w:sz w:val="20"/>
                <w:szCs w:val="20"/>
                <w:color w:val="auto"/>
              </w:rPr>
            </w:pPr>
            <w:r>
              <w:rPr>
                <w:rFonts w:ascii="Arial" w:cs="Arial" w:eastAsia="Arial" w:hAnsi="Arial"/>
                <w:sz w:val="18"/>
                <w:szCs w:val="18"/>
                <w:color w:val="auto"/>
              </w:rPr>
              <w:t>Germany</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Dsi (Shanghai) Trading Co Ltd.</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Ealing Scientific Limited (Dba Harvard Apparatus, Canada)</w:t>
            </w:r>
          </w:p>
        </w:tc>
        <w:tc>
          <w:tcPr>
            <w:tcW w:w="2780" w:type="dxa"/>
            <w:vAlign w:val="bottom"/>
          </w:tcPr>
          <w:p>
            <w:pPr>
              <w:ind w:left="120"/>
              <w:spacing w:after="0"/>
              <w:rPr>
                <w:sz w:val="20"/>
                <w:szCs w:val="20"/>
                <w:color w:val="auto"/>
              </w:rPr>
            </w:pPr>
            <w:r>
              <w:rPr>
                <w:rFonts w:ascii="Arial" w:cs="Arial" w:eastAsia="Arial" w:hAnsi="Arial"/>
                <w:sz w:val="18"/>
                <w:szCs w:val="18"/>
                <w:color w:val="auto"/>
              </w:rPr>
              <w:t>Canada</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Fka Gsi Us, Inc. (Formerly Genomic Solutions, Inc.)</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Fkaubi, Inc. (Formerly Union Biometrica, Inc.)</w:t>
            </w:r>
          </w:p>
        </w:tc>
        <w:tc>
          <w:tcPr>
            <w:tcW w:w="2780" w:type="dxa"/>
            <w:vAlign w:val="bottom"/>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Genomic Solutions Canada, Inc.</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Harvard Apparatus, S.A.R.L.</w:t>
            </w:r>
          </w:p>
        </w:tc>
        <w:tc>
          <w:tcPr>
            <w:tcW w:w="2780" w:type="dxa"/>
            <w:vAlign w:val="bottom"/>
          </w:tcPr>
          <w:p>
            <w:pPr>
              <w:ind w:left="120"/>
              <w:spacing w:after="0"/>
              <w:rPr>
                <w:sz w:val="20"/>
                <w:szCs w:val="20"/>
                <w:color w:val="auto"/>
              </w:rPr>
            </w:pPr>
            <w:r>
              <w:rPr>
                <w:rFonts w:ascii="Arial" w:cs="Arial" w:eastAsia="Arial" w:hAnsi="Arial"/>
                <w:sz w:val="18"/>
                <w:szCs w:val="18"/>
                <w:color w:val="auto"/>
              </w:rPr>
              <w:t>France</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Harvard Bioscience (Shanghai) Co. Ltd.</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Harvard Distribution Oldco, Inc. (Formerly Denville Scientific, Inc.)</w:t>
            </w:r>
          </w:p>
        </w:tc>
        <w:tc>
          <w:tcPr>
            <w:tcW w:w="2780" w:type="dxa"/>
            <w:vAlign w:val="bottom"/>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Heka Electronics Incorporated</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Heka Electronik Gmbh</w:t>
            </w:r>
          </w:p>
        </w:tc>
        <w:tc>
          <w:tcPr>
            <w:tcW w:w="2780" w:type="dxa"/>
            <w:vAlign w:val="bottom"/>
          </w:tcPr>
          <w:p>
            <w:pPr>
              <w:ind w:left="120"/>
              <w:spacing w:after="0"/>
              <w:rPr>
                <w:sz w:val="20"/>
                <w:szCs w:val="20"/>
                <w:color w:val="auto"/>
              </w:rPr>
            </w:pPr>
            <w:r>
              <w:rPr>
                <w:rFonts w:ascii="Arial" w:cs="Arial" w:eastAsia="Arial" w:hAnsi="Arial"/>
                <w:sz w:val="18"/>
                <w:szCs w:val="18"/>
                <w:color w:val="auto"/>
              </w:rPr>
              <w:t>Germany</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Heka Instruments Incorporated</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York, United States</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Hoefer, Inc.</w:t>
            </w:r>
          </w:p>
        </w:tc>
        <w:tc>
          <w:tcPr>
            <w:tcW w:w="2780" w:type="dxa"/>
            <w:vAlign w:val="bottom"/>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Hugo Sachs Elektronik - Harvard Apparatus Gmbh</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Kd Scientific, Inc.</w:t>
            </w:r>
          </w:p>
        </w:tc>
        <w:tc>
          <w:tcPr>
            <w:tcW w:w="2780" w:type="dxa"/>
            <w:vAlign w:val="bottom"/>
          </w:tcPr>
          <w:p>
            <w:pPr>
              <w:ind w:left="120"/>
              <w:spacing w:after="0"/>
              <w:rPr>
                <w:sz w:val="20"/>
                <w:szCs w:val="20"/>
                <w:color w:val="auto"/>
              </w:rPr>
            </w:pPr>
            <w:r>
              <w:rPr>
                <w:rFonts w:ascii="Arial" w:cs="Arial" w:eastAsia="Arial" w:hAnsi="Arial"/>
                <w:sz w:val="18"/>
                <w:szCs w:val="18"/>
                <w:color w:val="auto"/>
              </w:rPr>
              <w:t>Massachusetts, United States</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Multichannel Systems Mcs Gmbh</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Panlab S.L.</w:t>
            </w:r>
          </w:p>
        </w:tc>
        <w:tc>
          <w:tcPr>
            <w:tcW w:w="2780" w:type="dxa"/>
            <w:vAlign w:val="bottom"/>
          </w:tcPr>
          <w:p>
            <w:pPr>
              <w:ind w:left="120"/>
              <w:spacing w:after="0"/>
              <w:rPr>
                <w:sz w:val="20"/>
                <w:szCs w:val="20"/>
                <w:color w:val="auto"/>
              </w:rPr>
            </w:pPr>
            <w:r>
              <w:rPr>
                <w:rFonts w:ascii="Arial" w:cs="Arial" w:eastAsia="Arial" w:hAnsi="Arial"/>
                <w:sz w:val="18"/>
                <w:szCs w:val="18"/>
                <w:color w:val="auto"/>
              </w:rPr>
              <w:t>Spain</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Scie-Plas Ltd.</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Triangle Biosystems, Inc.</w:t>
            </w:r>
          </w:p>
        </w:tc>
        <w:tc>
          <w:tcPr>
            <w:tcW w:w="2780" w:type="dxa"/>
            <w:vAlign w:val="bottom"/>
          </w:tcPr>
          <w:p>
            <w:pPr>
              <w:ind w:left="120"/>
              <w:spacing w:after="0"/>
              <w:rPr>
                <w:sz w:val="20"/>
                <w:szCs w:val="20"/>
                <w:color w:val="auto"/>
              </w:rPr>
            </w:pPr>
            <w:r>
              <w:rPr>
                <w:rFonts w:ascii="Arial" w:cs="Arial" w:eastAsia="Arial" w:hAnsi="Arial"/>
                <w:sz w:val="18"/>
                <w:szCs w:val="18"/>
                <w:color w:val="auto"/>
              </w:rPr>
              <w:t>Delaware, United States</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Walden Precision Apparatus Ltd.</w:t>
            </w: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Kingdom</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Warner Instruments Llc</w:t>
            </w:r>
          </w:p>
        </w:tc>
        <w:tc>
          <w:tcPr>
            <w:tcW w:w="2780" w:type="dxa"/>
            <w:vAlign w:val="bottom"/>
          </w:tcPr>
          <w:p>
            <w:pPr>
              <w:ind w:left="120"/>
              <w:spacing w:after="0"/>
              <w:rPr>
                <w:sz w:val="20"/>
                <w:szCs w:val="20"/>
                <w:color w:val="auto"/>
              </w:rPr>
            </w:pPr>
            <w:r>
              <w:rPr>
                <w:rFonts w:ascii="Arial" w:cs="Arial" w:eastAsia="Arial" w:hAnsi="Arial"/>
                <w:sz w:val="18"/>
                <w:szCs w:val="18"/>
                <w:color w:val="auto"/>
              </w:rPr>
              <w:t>Delaware, United States</w:t>
            </w:r>
          </w:p>
        </w:tc>
      </w:tr>
    </w:tbl>
    <w:p>
      <w:pPr>
        <w:sectPr>
          <w:pgSz w:w="11900" w:h="16838" w:orient="portrait"/>
          <w:cols w:equalWidth="0" w:num="1">
            <w:col w:w="10120"/>
          </w:cols>
          <w:pgMar w:left="144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issued our reports dated March 12, 2021, with respect to the consolidated financial statements and internal control over financial reporting included in the Annual Report of Harvard Bioscience, Inc. on Form 10-K for the year ended December 31, 2020. We consent to the incorporation by reference of said reports in the Registration Statements of Harvard Bioscience, Inc. on Form S-3 (File No. 333-224535) and Forms S-8 (File No. 333-249943, File No. 333-53848, File No. 333-104544, File No. 333-135418, File No. 333-151003, File No. 333-174476, File No. 333-189175, File No. 333-204760, File No. 333-218497, File No. 333-225365 and File No. 333-231825).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A. Rossi, certify that:</w:t>
      </w:r>
    </w:p>
    <w:p>
      <w:pPr>
        <w:spacing w:after="0" w:line="211" w:lineRule="exact"/>
        <w:rPr>
          <w:sz w:val="20"/>
          <w:szCs w:val="20"/>
          <w:color w:val="auto"/>
        </w:rPr>
      </w:pPr>
    </w:p>
    <w:p>
      <w:pPr>
        <w:ind w:left="880" w:hanging="31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Harvard Bioscience, Inc.;</w:t>
      </w:r>
    </w:p>
    <w:p>
      <w:pPr>
        <w:spacing w:after="0" w:line="225" w:lineRule="exact"/>
        <w:rPr>
          <w:rFonts w:ascii="Arial" w:cs="Arial" w:eastAsia="Arial" w:hAnsi="Arial"/>
          <w:sz w:val="18"/>
          <w:szCs w:val="18"/>
          <w:color w:val="auto"/>
        </w:rPr>
      </w:pPr>
    </w:p>
    <w:p>
      <w:pPr>
        <w:jc w:val="both"/>
        <w:ind w:left="880" w:right="160" w:hanging="319"/>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120" w:hanging="319"/>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80" w:hanging="319"/>
        <w:spacing w:after="0" w:line="291"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100" w:hanging="317"/>
        <w:spacing w:after="0" w:line="286" w:lineRule="auto"/>
        <w:tabs>
          <w:tab w:leader="none" w:pos="15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80" w:hanging="331"/>
        <w:spacing w:after="0" w:line="263"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hanging="317"/>
        <w:spacing w:after="0" w:line="263"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380" w:hanging="331"/>
        <w:spacing w:after="0" w:line="286" w:lineRule="auto"/>
        <w:tabs>
          <w:tab w:leader="none" w:pos="15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40" w:hanging="319"/>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317"/>
        <w:spacing w:after="0" w:line="342" w:lineRule="auto"/>
        <w:tabs>
          <w:tab w:leader="none" w:pos="15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500" w:hanging="331"/>
        <w:spacing w:after="0" w:line="277"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17,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ROSSI</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Michael A. Rossi</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James Green, certify that:</w:t>
      </w:r>
    </w:p>
    <w:p>
      <w:pPr>
        <w:spacing w:after="0" w:line="211" w:lineRule="exact"/>
        <w:rPr>
          <w:sz w:val="20"/>
          <w:szCs w:val="20"/>
          <w:color w:val="auto"/>
        </w:rPr>
      </w:pPr>
    </w:p>
    <w:p>
      <w:pPr>
        <w:ind w:left="880" w:hanging="319"/>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Harvard Bioscience, Inc.;</w:t>
      </w:r>
    </w:p>
    <w:p>
      <w:pPr>
        <w:spacing w:after="0" w:line="225" w:lineRule="exact"/>
        <w:rPr>
          <w:rFonts w:ascii="Arial" w:cs="Arial" w:eastAsia="Arial" w:hAnsi="Arial"/>
          <w:sz w:val="18"/>
          <w:szCs w:val="18"/>
          <w:color w:val="auto"/>
        </w:rPr>
      </w:pPr>
    </w:p>
    <w:p>
      <w:pPr>
        <w:jc w:val="both"/>
        <w:ind w:left="880" w:right="160" w:hanging="319"/>
        <w:spacing w:after="0" w:line="263"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120" w:hanging="319"/>
        <w:spacing w:after="0" w:line="308"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80" w:hanging="319"/>
        <w:spacing w:after="0" w:line="291"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100" w:hanging="317"/>
        <w:spacing w:after="0" w:line="286"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80" w:hanging="331"/>
        <w:spacing w:after="0" w:line="263"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hanging="317"/>
        <w:spacing w:after="0" w:line="263"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380" w:hanging="331"/>
        <w:spacing w:after="0" w:line="286"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40" w:hanging="319"/>
        <w:spacing w:after="0" w:line="342"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317"/>
        <w:spacing w:after="0" w:line="342" w:lineRule="auto"/>
        <w:tabs>
          <w:tab w:leader="none" w:pos="15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500" w:hanging="331"/>
        <w:spacing w:after="0" w:line="277"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17,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GREEN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James Green</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annual report on Form 10-K/A for the year ended December 31, 2020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17,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ROSSI</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Name: Michael A. Rossi</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annual report on Form 10-K/A for the year ended December 31, 2020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17,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GREEN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Name: James Green</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6"/>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3"/>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lowerLetter"/>
      <w:start w:val="19"/>
    </w:lvl>
  </w:abstractNum>
  <w:abstractNum w:abstractNumId="16">
    <w:nsid w:val="4353D0CD"/>
    <w:multiLevelType w:val="hybridMultilevel"/>
    <w:lvl w:ilvl="0">
      <w:lvlJc w:val="left"/>
      <w:lvlText w:val="%1."/>
      <w:numFmt w:val="decimal"/>
      <w:start w:val="3"/>
    </w:lvl>
  </w:abstractNum>
  <w:abstractNum w:abstractNumId="17">
    <w:nsid w:val="B03E0C6"/>
    <w:multiLevelType w:val="hybridMultilevel"/>
    <w:lvl w:ilvl="0">
      <w:lvlJc w:val="left"/>
      <w:lvlText w:val="%1."/>
      <w:numFmt w:val="decimal"/>
      <w:start w:val="4"/>
    </w:lvl>
  </w:abstractNum>
  <w:abstractNum w:abstractNumId="18">
    <w:nsid w:val="189A769B"/>
    <w:multiLevelType w:val="hybridMultilevel"/>
    <w:lvl w:ilvl="0">
      <w:lvlJc w:val="left"/>
      <w:lvlText w:val="%1."/>
      <w:numFmt w:val="decimal"/>
      <w:start w:val="5"/>
    </w:lvl>
  </w:abstractNum>
  <w:abstractNum w:abstractNumId="19">
    <w:nsid w:val="54E49EB4"/>
    <w:multiLevelType w:val="hybridMultilevel"/>
    <w:lvl w:ilvl="0">
      <w:lvlJc w:val="left"/>
      <w:lvlText w:val="%1."/>
      <w:numFmt w:val="decimal"/>
      <w:start w:val="6"/>
    </w:lvl>
  </w:abstractNum>
  <w:abstractNum w:abstractNumId="20">
    <w:nsid w:val="71F32454"/>
    <w:multiLevelType w:val="hybridMultilevel"/>
    <w:lvl w:ilvl="0">
      <w:lvlJc w:val="left"/>
      <w:lvlText w:val="%1."/>
      <w:numFmt w:val="decimal"/>
      <w:start w:val="7"/>
    </w:lvl>
  </w:abstractNum>
  <w:abstractNum w:abstractNumId="21">
    <w:nsid w:val="2CA88611"/>
    <w:multiLevelType w:val="hybridMultilevel"/>
    <w:lvl w:ilvl="0">
      <w:lvlJc w:val="left"/>
      <w:lvlText w:val="%1."/>
      <w:numFmt w:val="decimal"/>
      <w:start w:val="8"/>
    </w:lvl>
  </w:abstractNum>
  <w:abstractNum w:abstractNumId="22">
    <w:nsid w:val="836C40E"/>
    <w:multiLevelType w:val="hybridMultilevel"/>
    <w:lvl w:ilvl="0">
      <w:lvlJc w:val="left"/>
      <w:lvlText w:val="(%1)"/>
      <w:numFmt w:val="decimal"/>
      <w:start w:val="733"/>
    </w:lvl>
  </w:abstractNum>
  <w:abstractNum w:abstractNumId="23">
    <w:nsid w:val="2901D82"/>
    <w:multiLevelType w:val="hybridMultilevel"/>
    <w:lvl w:ilvl="0">
      <w:lvlJc w:val="left"/>
      <w:lvlText w:val="%1"/>
      <w:numFmt w:val="decimal"/>
      <w:start w:val="105"/>
    </w:lvl>
  </w:abstractNum>
  <w:abstractNum w:abstractNumId="24">
    <w:nsid w:val="3A95F874"/>
    <w:multiLevelType w:val="hybridMultilevel"/>
    <w:lvl w:ilvl="0">
      <w:lvlJc w:val="left"/>
      <w:lvlText w:val="%1"/>
      <w:numFmt w:val="decimal"/>
      <w:start w:val="22"/>
    </w:lvl>
  </w:abstractNum>
  <w:abstractNum w:abstractNumId="25">
    <w:nsid w:val="8138641"/>
    <w:multiLevelType w:val="hybridMultilevel"/>
    <w:lvl w:ilvl="0">
      <w:lvlJc w:val="left"/>
      <w:lvlText w:val="%1."/>
      <w:numFmt w:val="decimal"/>
      <w:start w:val="9"/>
    </w:lvl>
  </w:abstractNum>
  <w:abstractNum w:abstractNumId="26">
    <w:nsid w:val="1E7FF521"/>
    <w:multiLevelType w:val="hybridMultilevel"/>
    <w:lvl w:ilvl="0">
      <w:lvlJc w:val="left"/>
      <w:lvlText w:val="%1."/>
      <w:numFmt w:val="decimal"/>
      <w:start w:val="1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
      <w:numFmt w:val="bullet"/>
      <w:start w:val="1"/>
    </w:lvl>
    <w:lvl w:ilvl="1">
      <w:lvlJc w:val="left"/>
      <w:lvlText w:val="%2"/>
      <w:numFmt w:val="decimal"/>
      <w:start w:val="104"/>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5"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87" Type="http://schemas.openxmlformats.org/officeDocument/2006/relationships/hyperlink" Target="http://www.sec.gov/Archives/edgar/data/1123494/000114420413059290/v359438_ex2-1.htm" TargetMode="External"/><Relationship Id="rId88" Type="http://schemas.openxmlformats.org/officeDocument/2006/relationships/hyperlink" Target="http://www.sec.gov/Archives/edgar/data/1123494/000117184318000685/exh_22.htm" TargetMode="External"/><Relationship Id="rId89" Type="http://schemas.openxmlformats.org/officeDocument/2006/relationships/hyperlink" Target="http://www.sec.gov/Archives/edgar/data/1123494/000091205700047957/a2029062zex-3_2.txt" TargetMode="External"/><Relationship Id="rId90" Type="http://schemas.openxmlformats.org/officeDocument/2006/relationships/hyperlink" Target="http://www.sec.gov/Archives/edgar/data/1123494/000091205700047957/a2029062zex-3_3.txt" TargetMode="External"/><Relationship Id="rId91" Type="http://schemas.openxmlformats.org/officeDocument/2006/relationships/hyperlink" Target="http://www.sec.gov/Archives/edgar/data/1123494/000119312507232564/dex31.htm" TargetMode="External"/><Relationship Id="rId92" Type="http://schemas.openxmlformats.org/officeDocument/2006/relationships/hyperlink" Target="http://www.sec.gov/Archives/edgar/data/1123494/000091205700047957/a2029062zex-4_1.txt" TargetMode="External"/><Relationship Id="rId93" Type="http://schemas.openxmlformats.org/officeDocument/2006/relationships/hyperlink" Target="http://www.sec.gov/Archives/edgar/data/0001123494/000117184320001755/exh_42.htm" TargetMode="External"/><Relationship Id="rId94" Type="http://schemas.openxmlformats.org/officeDocument/2006/relationships/hyperlink" Target="http://www.sec.gov/Archives/edgar/data/0001123494/000117184320005789/ex_196561.htm" TargetMode="External"/><Relationship Id="rId95" Type="http://schemas.openxmlformats.org/officeDocument/2006/relationships/hyperlink" Target="http://www.sec.gov/Archives/edgar/data/1123494/000117184319002260/def14a_040519.htm" TargetMode="External"/><Relationship Id="rId96" Type="http://schemas.openxmlformats.org/officeDocument/2006/relationships/hyperlink" Target="http://www.sec.gov/Archives/edgar/data/0001123494/000117184320003556/exh_102.htm" TargetMode="External"/><Relationship Id="rId97" Type="http://schemas.openxmlformats.org/officeDocument/2006/relationships/hyperlink" Target="http://www.sec.gov/Archives/edgar/data/1123494/000110465903010306/j0607_ex10d1.htm" TargetMode="External"/><Relationship Id="rId98" Type="http://schemas.openxmlformats.org/officeDocument/2006/relationships/hyperlink" Target="http://www.sec.gov/Archives/edgar/data/1123494/000110465906000389/a06-1106_1ex99d1.htm" TargetMode="External"/><Relationship Id="rId99" Type="http://schemas.openxmlformats.org/officeDocument/2006/relationships/hyperlink" Target="http://www.sec.gov/Archives/edgar/data/1123494/000110465906017303/a06-2607_1ex10d27.htm" TargetMode="External"/><Relationship Id="rId100" Type="http://schemas.openxmlformats.org/officeDocument/2006/relationships/hyperlink" Target="http://www.sec.gov/Archives/edgar/data/1123494/000110465906017303/a06-2607_1ex10d28.htm" TargetMode="External"/><Relationship Id="rId101" Type="http://schemas.openxmlformats.org/officeDocument/2006/relationships/hyperlink" Target="http://www.sec.gov/Archives/edgar/data/1123494/000110465906017303/a06-2607_1ex10d29.htm" TargetMode="External"/><Relationship Id="rId102" Type="http://schemas.openxmlformats.org/officeDocument/2006/relationships/hyperlink" Target="http://www.sec.gov/Archives/edgar/data/1123494/000119312510131559/dex101.htm" TargetMode="External"/><Relationship Id="rId103" Type="http://schemas.openxmlformats.org/officeDocument/2006/relationships/hyperlink" Target="http://www.sec.gov/Archives/edgar/data/1123494/000119312511068577/dex1026.htm" TargetMode="External"/><Relationship Id="rId104" Type="http://schemas.openxmlformats.org/officeDocument/2006/relationships/hyperlink" Target="http://www.sec.gov/Archives/edgar/data/1123494/000117184314003812/exh_101.htm" TargetMode="External"/><Relationship Id="rId106" Type="http://schemas.openxmlformats.org/officeDocument/2006/relationships/hyperlink" Target="http://www.sec.gov/Archives/edgar/data/0001123494/000117184320001755/exh_1012.htm" TargetMode="External"/><Relationship Id="rId107" Type="http://schemas.openxmlformats.org/officeDocument/2006/relationships/hyperlink" Target="http://www.sec.gov/Archives/edgar/data/1123494/000117184318002041/exh_1043.htm" TargetMode="External"/><Relationship Id="rId108" Type="http://schemas.openxmlformats.org/officeDocument/2006/relationships/hyperlink" Target="http://www.sec.gov/Archives/edgar/data/1123494/000117184318002041/exh_1044.htm" TargetMode="External"/><Relationship Id="rId109" Type="http://schemas.openxmlformats.org/officeDocument/2006/relationships/hyperlink" Target="http://www.sec.gov/Archives/edgar/data/1123494/000117184318002041/exh_1045.htm" TargetMode="External"/><Relationship Id="rId110" Type="http://schemas.openxmlformats.org/officeDocument/2006/relationships/hyperlink" Target="http://www.sec.gov/Archives/edgar/data/1123494/000117184318007705/exh_101.htm" TargetMode="External"/><Relationship Id="rId111" Type="http://schemas.openxmlformats.org/officeDocument/2006/relationships/hyperlink" Target="http://www.sec.gov/Archives/edgar/data/1123494/000117184319004441/exh_101.htm" TargetMode="External"/><Relationship Id="rId112" Type="http://schemas.openxmlformats.org/officeDocument/2006/relationships/hyperlink" Target="http://www.sec.gov/Archives/edgar/data/1123494/000117184319004677/exh_101.htm" TargetMode="External"/><Relationship Id="rId113" Type="http://schemas.openxmlformats.org/officeDocument/2006/relationships/hyperlink" Target="http://www.sec.gov/Archives/edgar/data/1123494/000117184319007062/exh_101.htm" TargetMode="External"/><Relationship Id="rId114" Type="http://schemas.openxmlformats.org/officeDocument/2006/relationships/hyperlink" Target="http://www.sec.gov/Archives/edgar/data/1123494/000117184320001543/exh_101.htm" TargetMode="External"/><Relationship Id="rId115" Type="http://schemas.openxmlformats.org/officeDocument/2006/relationships/hyperlink" Target="http://www.sec.gov/Archives/edgar/data/1123494/000117184320008774/exh_101.htm" TargetMode="External"/><Relationship Id="rId116" Type="http://schemas.openxmlformats.org/officeDocument/2006/relationships/hyperlink" Target="http://www.sec.gov/Archives/edgar/data/1123494/000117184320008774/exh_102.htm" TargetMode="External"/><Relationship Id="rId117" Type="http://schemas.openxmlformats.org/officeDocument/2006/relationships/hyperlink" Target="http://www.sec.gov/Archives/edgar/data/0001123494/000117184320008774/exh_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2021-03-17T08:23:19Z</dcterms:created>
  <dcterms:modified xsi:type="dcterms:W3CDTF">2021-03-17T08:23:19Z</dcterms:modified>
</cp:coreProperties>
</file>